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859790</wp:posOffset>
            </wp:positionH>
            <wp:positionV relativeFrom="page">
              <wp:posOffset>980440</wp:posOffset>
            </wp:positionV>
            <wp:extent cx="58293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0" cy="8255"/>
                    </a:xfrm>
                    <a:prstGeom prst="rect">
                      <a:avLst/>
                    </a:prstGeom>
                    <a:noFill/>
                  </pic:spPr>
                </pic:pic>
              </a:graphicData>
            </a:graphic>
          </wp:anchor>
        </w:drawing>
        <w:drawing>
          <wp:anchor simplePos="0" relativeHeight="251657728" behindDoc="1" locked="0" layoutInCell="0" allowOverlap="1">
            <wp:simplePos x="0" y="0"/>
            <wp:positionH relativeFrom="page">
              <wp:posOffset>859790</wp:posOffset>
            </wp:positionH>
            <wp:positionV relativeFrom="page">
              <wp:posOffset>997585</wp:posOffset>
            </wp:positionV>
            <wp:extent cx="58293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2477770</wp:posOffset>
            </wp:positionH>
            <wp:positionV relativeFrom="paragraph">
              <wp:posOffset>132715</wp:posOffset>
            </wp:positionV>
            <wp:extent cx="8915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2477770</wp:posOffset>
            </wp:positionH>
            <wp:positionV relativeFrom="paragraph">
              <wp:posOffset>165100</wp:posOffset>
            </wp:positionV>
            <wp:extent cx="8915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2477770</wp:posOffset>
            </wp:positionH>
            <wp:positionV relativeFrom="paragraph">
              <wp:posOffset>217170</wp:posOffset>
            </wp:positionV>
            <wp:extent cx="8915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Innospec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2477770</wp:posOffset>
            </wp:positionH>
            <wp:positionV relativeFrom="paragraph">
              <wp:posOffset>250190</wp:posOffset>
            </wp:positionV>
            <wp:extent cx="891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740" w:type="dxa"/>
        <w:tblCellMar>
          <w:top w:w="0" w:type="dxa"/>
          <w:left w:w="0" w:type="dxa"/>
          <w:bottom w:w="0" w:type="dxa"/>
          <w:right w:w="0" w:type="dxa"/>
        </w:tblCellMar>
      </w:tblPr>
      <w:tr>
        <w:trPr>
          <w:trHeight w:val="222"/>
        </w:trPr>
        <w:tc>
          <w:tcPr>
            <w:tcW w:w="270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60" w:type="dxa"/>
            <w:vAlign w:val="bottom"/>
          </w:tcPr>
          <w:p>
            <w:pPr>
              <w:jc w:val="right"/>
              <w:ind w:right="1021"/>
              <w:spacing w:after="0"/>
              <w:rPr>
                <w:sz w:val="20"/>
                <w:szCs w:val="20"/>
                <w:color w:val="auto"/>
              </w:rPr>
            </w:pPr>
            <w:r>
              <w:rPr>
                <w:rFonts w:ascii="Times New Roman" w:cs="Times New Roman" w:eastAsia="Times New Roman" w:hAnsi="Times New Roman"/>
                <w:sz w:val="18"/>
                <w:szCs w:val="18"/>
                <w:b w:val="1"/>
                <w:bCs w:val="1"/>
                <w:color w:val="auto"/>
              </w:rPr>
              <w:t>001-13879</w:t>
            </w:r>
          </w:p>
        </w:tc>
        <w:tc>
          <w:tcPr>
            <w:tcW w:w="174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98-0181725</w:t>
            </w:r>
          </w:p>
        </w:tc>
      </w:tr>
      <w:tr>
        <w:trPr>
          <w:trHeight w:val="149"/>
        </w:trPr>
        <w:tc>
          <w:tcPr>
            <w:tcW w:w="2700" w:type="dxa"/>
            <w:vAlign w:val="bottom"/>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6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1740" w:type="dxa"/>
            <w:vAlign w:val="bottom"/>
          </w:tcPr>
          <w:p>
            <w:pPr>
              <w:jc w:val="center"/>
              <w:ind w:left="6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700" w:type="dxa"/>
            <w:vAlign w:val="bottom"/>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660" w:type="dxa"/>
            <w:vAlign w:val="bottom"/>
          </w:tcPr>
          <w:p>
            <w:pPr>
              <w:spacing w:after="0"/>
              <w:rPr>
                <w:sz w:val="15"/>
                <w:szCs w:val="15"/>
                <w:color w:val="auto"/>
              </w:rPr>
            </w:pPr>
          </w:p>
        </w:tc>
        <w:tc>
          <w:tcPr>
            <w:tcW w:w="1740" w:type="dxa"/>
            <w:vAlign w:val="bottom"/>
          </w:tcPr>
          <w:p>
            <w:pPr>
              <w:jc w:val="center"/>
              <w:ind w:left="6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70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8310 South Valley Highway</w:t>
            </w:r>
          </w:p>
        </w:tc>
        <w:tc>
          <w:tcPr>
            <w:tcW w:w="26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16"/>
        </w:trPr>
        <w:tc>
          <w:tcPr>
            <w:tcW w:w="270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Suite 350</w:t>
            </w:r>
          </w:p>
        </w:tc>
        <w:tc>
          <w:tcPr>
            <w:tcW w:w="26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2"/>
        </w:trPr>
        <w:tc>
          <w:tcPr>
            <w:tcW w:w="2700" w:type="dxa"/>
            <w:vAlign w:val="bottom"/>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Englewood, Colorado</w:t>
            </w:r>
          </w:p>
        </w:tc>
        <w:tc>
          <w:tcPr>
            <w:tcW w:w="2660" w:type="dxa"/>
            <w:vAlign w:val="bottom"/>
          </w:tcPr>
          <w:p>
            <w:pPr>
              <w:spacing w:after="0"/>
              <w:rPr>
                <w:sz w:val="19"/>
                <w:szCs w:val="19"/>
                <w:color w:val="auto"/>
              </w:rPr>
            </w:pPr>
          </w:p>
        </w:tc>
        <w:tc>
          <w:tcPr>
            <w:tcW w:w="17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80112</w:t>
            </w:r>
          </w:p>
        </w:tc>
      </w:tr>
      <w:tr>
        <w:trPr>
          <w:trHeight w:val="178"/>
        </w:trPr>
        <w:tc>
          <w:tcPr>
            <w:tcW w:w="2700" w:type="dxa"/>
            <w:vAlign w:val="bottom"/>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660" w:type="dxa"/>
            <w:vAlign w:val="bottom"/>
          </w:tcPr>
          <w:p>
            <w:pPr>
              <w:spacing w:after="0"/>
              <w:rPr>
                <w:sz w:val="15"/>
                <w:szCs w:val="15"/>
                <w:color w:val="auto"/>
              </w:rPr>
            </w:pPr>
          </w:p>
        </w:tc>
        <w:tc>
          <w:tcPr>
            <w:tcW w:w="1740" w:type="dxa"/>
            <w:vAlign w:val="bottom"/>
          </w:tcPr>
          <w:p>
            <w:pPr>
              <w:jc w:val="center"/>
              <w:ind w:left="60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7925554</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2477770</wp:posOffset>
            </wp:positionH>
            <wp:positionV relativeFrom="paragraph">
              <wp:posOffset>258445</wp:posOffset>
            </wp:positionV>
            <wp:extent cx="891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154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8"/>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8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80" w:type="dxa"/>
            <w:vAlign w:val="bottom"/>
          </w:tcPr>
          <w:p>
            <w:pPr>
              <w:spacing w:after="0"/>
              <w:rPr>
                <w:sz w:val="20"/>
                <w:szCs w:val="20"/>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8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IOSP</w:t>
            </w:r>
          </w:p>
        </w:tc>
        <w:tc>
          <w:tcPr>
            <w:tcW w:w="80" w:type="dxa"/>
            <w:vAlign w:val="bottom"/>
          </w:tcPr>
          <w:p>
            <w:pPr>
              <w:spacing w:after="0"/>
              <w:rPr>
                <w:sz w:val="19"/>
                <w:szCs w:val="19"/>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6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163195</wp:posOffset>
            </wp:positionV>
            <wp:extent cx="58293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2930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180340</wp:posOffset>
            </wp:positionV>
            <wp:extent cx="5829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29300" cy="8890"/>
                    </a:xfrm>
                    <a:prstGeom prst="rect">
                      <a:avLst/>
                    </a:prstGeom>
                    <a:noFill/>
                  </pic:spPr>
                </pic:pic>
              </a:graphicData>
            </a:graphic>
          </wp:anchor>
        </w:drawing>
      </w:r>
    </w:p>
    <w:p>
      <w:pPr>
        <w:sectPr>
          <w:pgSz w:w="11900" w:h="16838" w:orient="portrait"/>
          <w:cols w:equalWidth="0" w:num="1">
            <w:col w:w="9200"/>
          </w:cols>
          <w:pgMar w:left="1340" w:top="1440" w:right="1359" w:bottom="1109"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349885</wp:posOffset>
            </wp:positionH>
            <wp:positionV relativeFrom="page">
              <wp:posOffset>170815</wp:posOffset>
            </wp:positionV>
            <wp:extent cx="684911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7, 2026, Innospec Inc. (the “Company”) issued a press release announcing its financial results for the fiscal quarter ended March 31, 2026 (the “Press Release”).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under this Item 2.02 and in Exhibit 99.1 hereto is being furnished and shall not be deemed “filed” for the purposes of Section 18 of the Securities Exchange Act of 1934, as amended (“Exchange Act”) or otherwise subject to the liabilities of that section. The information under this Item 2.02 and Exhibit 99.1 hereto shall not be deemed incorporated by reference into any registration statement or other document pursuant to the Securities Act of 1933, as amended (“Securities Act”), unless otherwise expressly indicated in such registration statement or other document.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and Share Repurchase Authorization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announced in the Press Release that on May 1, 2026, the Company’s Board of Directors declared a semi-annual cash dividend of $0.92 per share on the Company’s Common Stock, par value $0.01 per share (“Common Stock”). The dividend will be paid on May 29, 2026 to shareholders of record as of May 19, 2026.</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Board of Directors authorized the repurchase of up to $75 million in shares of the Company’s outstanding common stock over a three-year period commencing on May 12, 2026. This replaces the $50 million repurchase authorization announced on March 11, 2025, of which approximately $16 million remains. The timing, manner, price and amount of any repurchases will be determined in the discretion of management, depending on market conditions and other factors. Repurchases may be made from time to time through open market purchases or through privately negotiated transactions subject to market conditions, applicable legal requirements and other relevant factors. Open market repurchases will be structured to occur in accordance with the requirements of Rule 10b-18 of the Exchange Act. The Company may also, from time to time, enter into Rule 10b5-1 plans to facilitate repurchases of its shares under this authorization. The repurchase program does not obligate the Company to acquire any particular amount of its Common Stock and may be suspended at any time at the Company’s discretion.</w:t>
      </w:r>
    </w:p>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exact number of shares to be repurchased by the Company, if any, is not guaranteed. Depending on market conditions and other factors, these repurchases may be commenced or suspended at any time or periodically without prior notice.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and in Exhibit 99.1 hereto is being furnished and shall not be deemed “filed” for the purposes of Section 18 of the Exchange Act or otherwise subject to the liabilities of that section. The information under this Item 2.02 and Exhibit 99.1 hereto shall not be deemed incorporated by reference into any registration statement or other document pursuant to the Securities Act, unless otherwise expressly indicated in such registration statement or other document.</w:t>
      </w:r>
    </w:p>
    <w:p>
      <w:pPr>
        <w:sectPr>
          <w:pgSz w:w="11900" w:h="16838" w:orient="portrait"/>
          <w:cols w:equalWidth="0" w:num="1">
            <w:col w:w="9200"/>
          </w:cols>
          <w:pgMar w:left="1340" w:top="1440"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602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385"/>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7180" w:type="dxa"/>
            <w:vAlign w:val="bottom"/>
            <w:tcBorders>
              <w:bottom w:val="single" w:sz="8" w:color="0D6EFD"/>
            </w:tcBorders>
            <w:gridSpan w:val="2"/>
          </w:tcPr>
          <w:p>
            <w:pPr>
              <w:spacing w:after="0"/>
              <w:rPr>
                <w:sz w:val="20"/>
                <w:szCs w:val="20"/>
                <w:color w:val="auto"/>
              </w:rPr>
            </w:pPr>
            <w:r>
              <w:rPr>
                <w:rFonts w:ascii="Times New Roman" w:cs="Times New Roman" w:eastAsia="Times New Roman" w:hAnsi="Times New Roman"/>
                <w:sz w:val="18"/>
                <w:szCs w:val="18"/>
                <w:color w:val="0D6EFD"/>
              </w:rPr>
              <w:t>Press Release dated May 7, 2026 announcing Innospec Inc.’s financial results for the quarter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D6EFD"/>
              </w:rPr>
              <w:t>March 31, 2026.</w:t>
            </w:r>
          </w:p>
        </w:tc>
        <w:tc>
          <w:tcPr>
            <w:tcW w:w="0" w:type="dxa"/>
            <w:vAlign w:val="bottom"/>
          </w:tcPr>
          <w:p>
            <w:pPr>
              <w:spacing w:after="0"/>
              <w:rPr>
                <w:sz w:val="1"/>
                <w:szCs w:val="1"/>
                <w:color w:val="auto"/>
              </w:rPr>
            </w:pPr>
          </w:p>
        </w:tc>
      </w:tr>
      <w:tr>
        <w:trPr>
          <w:trHeight w:val="68"/>
        </w:trPr>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D6EFD"/>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60" w:right="480" w:hanging="746"/>
        <w:spacing w:after="0" w:line="184" w:lineRule="auto"/>
        <w:tabs>
          <w:tab w:leader="none" w:pos="760" w:val="left"/>
        </w:tabs>
        <w:numPr>
          <w:ilvl w:val="0"/>
          <w:numId w:val="2"/>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1016635</wp:posOffset>
            </wp:positionV>
            <wp:extent cx="684911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40640</wp:posOffset>
            </wp:positionV>
            <wp:extent cx="728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Filed Herewith</w:t>
      </w:r>
    </w:p>
    <w:p>
      <w:pPr>
        <w:sectPr>
          <w:pgSz w:w="11900" w:h="16838" w:orient="portrait"/>
          <w:cols w:equalWidth="0" w:num="2">
            <w:col w:w="7960" w:space="140"/>
            <w:col w:w="1100"/>
          </w:cols>
          <w:pgMar w:left="1340" w:top="1440" w:right="1359" w:bottom="1440" w:gutter="0" w:footer="0" w:header="0"/>
          <w:type w:val="continuous"/>
        </w:sectPr>
      </w:pPr>
    </w:p>
    <w:bookmarkStart w:id="3" w:name="page4"/>
    <w:bookmarkEnd w:id="3"/>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540" w:val="left"/>
          <w:tab w:leader="none" w:pos="4600" w:val="left"/>
        </w:tabs>
        <w:rPr>
          <w:sz w:val="20"/>
          <w:szCs w:val="20"/>
          <w:color w:val="auto"/>
        </w:rPr>
      </w:pPr>
      <w:r>
        <w:rPr>
          <w:rFonts w:ascii="Times New Roman" w:cs="Times New Roman" w:eastAsia="Times New Roman" w:hAnsi="Times New Roman"/>
          <w:sz w:val="18"/>
          <w:szCs w:val="18"/>
          <w:color w:val="auto"/>
        </w:rPr>
        <w:t>Date:</w:t>
        <w:tab/>
        <w:t>May 8, 2026</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David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156845</wp:posOffset>
            </wp:positionV>
            <wp:extent cx="26746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2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David B. Jones</w:t>
      </w:r>
    </w:p>
    <w:p>
      <w:pPr>
        <w:spacing w:after="0" w:line="2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Senior Vice President, General Counsel and Chief</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1124585</wp:posOffset>
            </wp:positionV>
            <wp:extent cx="684911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119"/>
          </w:cols>
          <w:pgMar w:left="1340" w:top="1413"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859790</wp:posOffset>
            </wp:positionH>
            <wp:positionV relativeFrom="page">
              <wp:posOffset>911860</wp:posOffset>
            </wp:positionV>
            <wp:extent cx="2057400" cy="4546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5740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Black" w:cs="Arial Black" w:eastAsia="Arial Black" w:hAnsi="Arial Black"/>
          <w:sz w:val="29"/>
          <w:szCs w:val="29"/>
          <w:b w:val="1"/>
          <w:bCs w:val="1"/>
          <w:color w:val="auto"/>
          <w:highlight w:val="black"/>
        </w:rPr>
        <w:t>PRESS RELEASE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INNOSPEC REPORTS FIRST QUARTER 2026 FINANCIAL RESULTS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Continued strength in Fuel Specialties offset negative US winter storm impacts in other businesses</w:t>
      </w:r>
    </w:p>
    <w:p>
      <w:pPr>
        <w:spacing w:after="0" w:line="210" w:lineRule="exact"/>
        <w:rPr>
          <w:sz w:val="20"/>
          <w:szCs w:val="20"/>
          <w:color w:val="auto"/>
        </w:rPr>
      </w:pPr>
    </w:p>
    <w:p>
      <w:pPr>
        <w:jc w:val="center"/>
        <w:ind w:right="20"/>
        <w:spacing w:after="0" w:line="280" w:lineRule="auto"/>
        <w:rPr>
          <w:sz w:val="20"/>
          <w:szCs w:val="20"/>
          <w:color w:val="auto"/>
        </w:rPr>
      </w:pPr>
      <w:r>
        <w:rPr>
          <w:rFonts w:ascii="Arial" w:cs="Arial" w:eastAsia="Arial" w:hAnsi="Arial"/>
          <w:sz w:val="17"/>
          <w:szCs w:val="17"/>
          <w:b w:val="1"/>
          <w:bCs w:val="1"/>
          <w:i w:val="1"/>
          <w:iCs w:val="1"/>
          <w:color w:val="auto"/>
        </w:rPr>
        <w:t>Increasing confidence for sequential operating income and margin growth in Performance Chemicals and Oilfield Services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Dividend increased by 10 percent; $6.2 million in share repurchases made in the quarter</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New $75 million buyback authorization</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GAAP EPS of $1.22 and adjusted non-GAAP EPS of $1.05</w:t>
      </w:r>
    </w:p>
    <w:p>
      <w:pPr>
        <w:spacing w:after="0" w:line="200" w:lineRule="exact"/>
        <w:rPr>
          <w:sz w:val="20"/>
          <w:szCs w:val="20"/>
          <w:color w:val="auto"/>
        </w:rPr>
      </w:pPr>
    </w:p>
    <w:p>
      <w:pPr>
        <w:spacing w:after="0" w:line="215" w:lineRule="exact"/>
        <w:rPr>
          <w:sz w:val="20"/>
          <w:szCs w:val="20"/>
          <w:color w:val="auto"/>
        </w:rPr>
      </w:pPr>
    </w:p>
    <w:p>
      <w:pPr>
        <w:jc w:val="both"/>
        <w:ind w:right="80"/>
        <w:spacing w:after="0" w:line="247" w:lineRule="auto"/>
        <w:rPr>
          <w:sz w:val="20"/>
          <w:szCs w:val="20"/>
          <w:color w:val="auto"/>
        </w:rPr>
      </w:pPr>
      <w:r>
        <w:rPr>
          <w:rFonts w:ascii="Arial" w:cs="Arial" w:eastAsia="Arial" w:hAnsi="Arial"/>
          <w:sz w:val="18"/>
          <w:szCs w:val="18"/>
          <w:b w:val="1"/>
          <w:bCs w:val="1"/>
          <w:color w:val="auto"/>
        </w:rPr>
        <w:t xml:space="preserve">Englewood, CO – May 7, 2026 </w:t>
      </w:r>
      <w:r>
        <w:rPr>
          <w:rFonts w:ascii="Arial" w:cs="Arial" w:eastAsia="Arial" w:hAnsi="Arial"/>
          <w:sz w:val="18"/>
          <w:szCs w:val="18"/>
          <w:color w:val="auto"/>
        </w:rPr>
        <w:t>– Innospec Inc. (NASDAQ: IOSP) today announced its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ended March 31, 2026. The Company declared its semi-annual dividend of 92 cents per common share for the first half of this year, representing an increase of 10 percent. This dividend will be paid on May 29, 2026 to shareholders of record on May 19, 2026.</w:t>
      </w:r>
    </w:p>
    <w:p>
      <w:pPr>
        <w:spacing w:after="0" w:line="160" w:lineRule="exact"/>
        <w:rPr>
          <w:sz w:val="20"/>
          <w:szCs w:val="20"/>
          <w:color w:val="auto"/>
        </w:rPr>
      </w:pPr>
    </w:p>
    <w:p>
      <w:pPr>
        <w:jc w:val="both"/>
        <w:ind w:right="80"/>
        <w:spacing w:after="0" w:line="244" w:lineRule="auto"/>
        <w:rPr>
          <w:sz w:val="20"/>
          <w:szCs w:val="20"/>
          <w:color w:val="auto"/>
        </w:rPr>
      </w:pPr>
      <w:r>
        <w:rPr>
          <w:rFonts w:ascii="Arial" w:cs="Arial" w:eastAsia="Arial" w:hAnsi="Arial"/>
          <w:sz w:val="18"/>
          <w:szCs w:val="18"/>
          <w:color w:val="auto"/>
        </w:rPr>
        <w:t>Total revenues for the first quarter were $453.2 million, an increase of 3 percent from $440.8 million in the corresponding period last year. Net income attributable to Innospec for the quarter was $30.4 million or $1.22 per diluted share compared to $32.8 million or $ 1.31 per diluted share recorded in the corresponding period last year. Adjusted EBITDA for the quarter was $43.7 million compared to $54.0 million reported in the same period a year ago.</w:t>
      </w:r>
    </w:p>
    <w:p>
      <w:pPr>
        <w:spacing w:after="0" w:line="163"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Results for this quarter include some special items, which are summarized in the table below. Excluding these items, adjusted non-GAAP EPS in the first quarter was $1.05 per diluted share, compared to $1.42 per diluted share a year ago.</w:t>
      </w:r>
    </w:p>
    <w:p>
      <w:pPr>
        <w:spacing w:after="0" w:line="155" w:lineRule="exact"/>
        <w:rPr>
          <w:sz w:val="20"/>
          <w:szCs w:val="20"/>
          <w:color w:val="auto"/>
        </w:rPr>
      </w:pPr>
    </w:p>
    <w:p>
      <w:pPr>
        <w:jc w:val="both"/>
        <w:ind w:right="80"/>
        <w:spacing w:after="0" w:line="271" w:lineRule="auto"/>
        <w:rPr>
          <w:sz w:val="20"/>
          <w:szCs w:val="20"/>
          <w:color w:val="auto"/>
        </w:rPr>
      </w:pPr>
      <w:r>
        <w:rPr>
          <w:rFonts w:ascii="Arial" w:cs="Arial" w:eastAsia="Arial" w:hAnsi="Arial"/>
          <w:sz w:val="18"/>
          <w:szCs w:val="18"/>
          <w:color w:val="auto"/>
        </w:rPr>
        <w:t>Cash from operating activities was $17.6 million before capital expenditures of $8.6 million. The quarter closed with net cash of $289.1 million.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Adjusted EBITDA and net income attributable to Innospec excluding special items, and related per-share amounts, together with net cash, are non-GAAP financial measures that are defined and reconciled with GAAP results herein and in the schedules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861060</wp:posOffset>
            </wp:positionV>
            <wp:extent cx="684911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180"/>
          </w:cols>
          <w:pgMar w:left="1340" w:top="1440" w:right="1379" w:bottom="1440" w:gutter="0" w:footer="0" w:header="0"/>
        </w:sectPr>
      </w:pPr>
    </w:p>
    <w:bookmarkStart w:id="5" w:name="page6"/>
    <w:bookmarkEnd w:id="5"/>
    <w:p>
      <w:pPr>
        <w:spacing w:after="0" w:line="200" w:lineRule="exact"/>
        <w:rPr>
          <w:sz w:val="20"/>
          <w:szCs w:val="20"/>
          <w:color w:val="auto"/>
        </w:rPr>
      </w:pPr>
    </w:p>
    <w:p>
      <w:pPr>
        <w:spacing w:after="0" w:line="324"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12"/>
          </w:tcPr>
          <w:p>
            <w:pPr>
              <w:spacing w:after="0"/>
              <w:rPr>
                <w:sz w:val="20"/>
                <w:szCs w:val="20"/>
                <w:color w:val="auto"/>
              </w:rPr>
            </w:pPr>
            <w:r>
              <w:rPr>
                <w:rFonts w:ascii="Arial" w:cs="Arial" w:eastAsia="Arial" w:hAnsi="Arial"/>
                <w:sz w:val="14"/>
                <w:szCs w:val="14"/>
                <w:b w:val="1"/>
                <w:bCs w:val="1"/>
                <w:color w:val="auto"/>
              </w:rPr>
              <w:t>Quarter ended March 31, 2026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40" w:type="dxa"/>
            <w:vAlign w:val="bottom"/>
            <w:gridSpan w:val="11"/>
          </w:tcPr>
          <w:p>
            <w:pPr>
              <w:spacing w:after="0"/>
              <w:rPr>
                <w:sz w:val="20"/>
                <w:szCs w:val="20"/>
                <w:color w:val="auto"/>
              </w:rPr>
            </w:pPr>
            <w:r>
              <w:rPr>
                <w:rFonts w:ascii="Arial" w:cs="Arial" w:eastAsia="Arial" w:hAnsi="Arial"/>
                <w:sz w:val="14"/>
                <w:szCs w:val="14"/>
                <w:b w:val="1"/>
                <w:bCs w:val="1"/>
                <w:color w:val="auto"/>
              </w:rPr>
              <w:t>Quarter ended March 31, 2025</w:t>
            </w:r>
          </w:p>
        </w:tc>
        <w:tc>
          <w:tcPr>
            <w:tcW w:w="0" w:type="dxa"/>
            <w:vAlign w:val="bottom"/>
          </w:tcPr>
          <w:p>
            <w:pPr>
              <w:spacing w:after="0"/>
              <w:rPr>
                <w:sz w:val="1"/>
                <w:szCs w:val="1"/>
                <w:color w:val="auto"/>
              </w:rPr>
            </w:pPr>
          </w:p>
        </w:tc>
      </w:tr>
      <w:tr>
        <w:trPr>
          <w:trHeight w:val="318"/>
        </w:trPr>
        <w:tc>
          <w:tcPr>
            <w:tcW w:w="3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4"/>
          </w:tcPr>
          <w:p>
            <w:pPr>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gridSpan w:val="4"/>
            <w:vMerge w:val="restart"/>
          </w:tcPr>
          <w:p>
            <w:pPr>
              <w:spacing w:after="0"/>
              <w:rPr>
                <w:sz w:val="20"/>
                <w:szCs w:val="20"/>
                <w:color w:val="auto"/>
              </w:rPr>
            </w:pPr>
            <w:r>
              <w:rPr>
                <w:rFonts w:ascii="Arial" w:cs="Arial" w:eastAsia="Arial" w:hAnsi="Arial"/>
                <w:sz w:val="14"/>
                <w:szCs w:val="14"/>
                <w:b w:val="1"/>
                <w:bCs w:val="1"/>
                <w:color w:val="auto"/>
              </w:rPr>
              <w:t>Diluted</w:t>
            </w:r>
          </w:p>
        </w:tc>
        <w:tc>
          <w:tcPr>
            <w:tcW w:w="4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share and per share data)</w:t>
            </w:r>
          </w:p>
        </w:tc>
        <w:tc>
          <w:tcPr>
            <w:tcW w:w="30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attributable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tcBorders>
            <w:gridSpan w:val="4"/>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attributable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Diluted EPS</w:t>
            </w:r>
          </w:p>
        </w:tc>
        <w:tc>
          <w:tcPr>
            <w:tcW w:w="0" w:type="dxa"/>
            <w:vAlign w:val="bottom"/>
          </w:tcPr>
          <w:p>
            <w:pPr>
              <w:spacing w:after="0"/>
              <w:rPr>
                <w:sz w:val="1"/>
                <w:szCs w:val="1"/>
                <w:color w:val="auto"/>
              </w:rPr>
            </w:pPr>
          </w:p>
        </w:tc>
      </w:tr>
      <w:tr>
        <w:trPr>
          <w:trHeight w:val="142"/>
        </w:trPr>
        <w:tc>
          <w:tcPr>
            <w:tcW w:w="310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to Innospec</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EPS</w:t>
            </w:r>
          </w:p>
        </w:tc>
        <w:tc>
          <w:tcPr>
            <w:tcW w:w="1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to Innospec</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100" w:type="dxa"/>
            <w:vAlign w:val="bottom"/>
          </w:tcPr>
          <w:p>
            <w:pPr>
              <w:spacing w:after="0"/>
              <w:rPr>
                <w:sz w:val="20"/>
                <w:szCs w:val="20"/>
                <w:color w:val="auto"/>
              </w:rPr>
            </w:pPr>
            <w:r>
              <w:rPr>
                <w:rFonts w:ascii="Arial" w:cs="Arial" w:eastAsia="Arial" w:hAnsi="Arial"/>
                <w:sz w:val="14"/>
                <w:szCs w:val="14"/>
                <w:b w:val="1"/>
                <w:bCs w:val="1"/>
                <w:color w:val="auto"/>
              </w:rPr>
              <w:t>Reported GAAP amounts</w:t>
            </w:r>
          </w:p>
        </w:tc>
        <w:tc>
          <w:tcPr>
            <w:tcW w:w="300" w:type="dxa"/>
            <w:vAlign w:val="bottom"/>
          </w:tcPr>
          <w:p>
            <w:pPr>
              <w:spacing w:after="0"/>
              <w:rPr>
                <w:sz w:val="24"/>
                <w:szCs w:val="24"/>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gridSpan w:val="3"/>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30.4</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1.22</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92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32.8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1.31</w:t>
            </w: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3400" w:type="dxa"/>
            <w:vAlign w:val="bottom"/>
            <w:gridSpan w:val="2"/>
          </w:tcPr>
          <w:p>
            <w:pPr>
              <w:spacing w:after="0"/>
              <w:rPr>
                <w:sz w:val="20"/>
                <w:szCs w:val="20"/>
                <w:color w:val="auto"/>
              </w:rPr>
            </w:pPr>
            <w:r>
              <w:rPr>
                <w:rFonts w:ascii="Arial" w:cs="Arial" w:eastAsia="Arial" w:hAnsi="Arial"/>
                <w:sz w:val="14"/>
                <w:szCs w:val="14"/>
                <w:color w:val="auto"/>
              </w:rPr>
              <w:t>Adjustment to fair value of contingent consideration</w:t>
            </w:r>
          </w:p>
        </w:tc>
        <w:tc>
          <w:tcPr>
            <w:tcW w:w="340" w:type="dxa"/>
            <w:vAlign w:val="bottom"/>
          </w:tcPr>
          <w:p>
            <w:pPr>
              <w:spacing w:after="0"/>
              <w:rPr>
                <w:sz w:val="24"/>
                <w:szCs w:val="24"/>
                <w:color w:val="auto"/>
              </w:rPr>
            </w:pPr>
          </w:p>
        </w:tc>
        <w:tc>
          <w:tcPr>
            <w:tcW w:w="920" w:type="dxa"/>
            <w:vAlign w:val="bottom"/>
            <w:gridSpan w:val="4"/>
          </w:tcPr>
          <w:p>
            <w:pPr>
              <w:jc w:val="center"/>
              <w:ind w:left="68"/>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(0.19)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4"/>
          </w:tcPr>
          <w:p>
            <w:pPr>
              <w:jc w:val="center"/>
              <w:ind w:left="6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0.03</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0" w:type="dxa"/>
            <w:vAlign w:val="bottom"/>
            <w:gridSpan w:val="2"/>
          </w:tcPr>
          <w:p>
            <w:pPr>
              <w:spacing w:after="0"/>
              <w:rPr>
                <w:sz w:val="20"/>
                <w:szCs w:val="20"/>
                <w:color w:val="auto"/>
              </w:rPr>
            </w:pPr>
            <w:r>
              <w:rPr>
                <w:rFonts w:ascii="Arial" w:cs="Arial" w:eastAsia="Arial" w:hAnsi="Arial"/>
                <w:sz w:val="14"/>
                <w:szCs w:val="14"/>
                <w:color w:val="auto"/>
              </w:rPr>
              <w:t>Foreign currency exchange gains</w:t>
            </w:r>
          </w:p>
        </w:tc>
        <w:tc>
          <w:tcPr>
            <w:tcW w:w="340" w:type="dxa"/>
            <w:vAlign w:val="bottom"/>
          </w:tcPr>
          <w:p>
            <w:pPr>
              <w:spacing w:after="0"/>
              <w:rPr>
                <w:sz w:val="22"/>
                <w:szCs w:val="22"/>
                <w:color w:val="auto"/>
              </w:rPr>
            </w:pPr>
          </w:p>
        </w:tc>
        <w:tc>
          <w:tcPr>
            <w:tcW w:w="920" w:type="dxa"/>
            <w:vAlign w:val="bottom"/>
            <w:gridSpan w:val="4"/>
          </w:tcPr>
          <w:p>
            <w:pPr>
              <w:jc w:val="center"/>
              <w:ind w:left="68"/>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(0.08)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4"/>
          </w:tcPr>
          <w:p>
            <w:pPr>
              <w:jc w:val="center"/>
              <w:ind w:left="88"/>
              <w:spacing w:after="0"/>
              <w:rPr>
                <w:sz w:val="20"/>
                <w:szCs w:val="20"/>
                <w:color w:val="auto"/>
              </w:rPr>
            </w:pPr>
            <w:r>
              <w:rPr>
                <w:rFonts w:ascii="Arial" w:cs="Arial" w:eastAsia="Arial" w:hAnsi="Arial"/>
                <w:sz w:val="14"/>
                <w:szCs w:val="14"/>
                <w:color w:val="auto"/>
              </w:rPr>
              <w:t>(0.3)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color w:val="auto"/>
              </w:rPr>
              <w:t>(0.01)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spacing w:after="0"/>
              <w:rPr>
                <w:sz w:val="20"/>
                <w:szCs w:val="20"/>
                <w:color w:val="auto"/>
              </w:rPr>
            </w:pPr>
            <w:r>
              <w:rPr>
                <w:rFonts w:ascii="Arial" w:cs="Arial" w:eastAsia="Arial" w:hAnsi="Arial"/>
                <w:sz w:val="14"/>
                <w:szCs w:val="14"/>
                <w:color w:val="auto"/>
              </w:rPr>
              <w:t>Legacy costs of closed operations</w:t>
            </w:r>
          </w:p>
        </w:tc>
        <w:tc>
          <w:tcPr>
            <w:tcW w:w="340" w:type="dxa"/>
            <w:vAlign w:val="bottom"/>
          </w:tcPr>
          <w:p>
            <w:pPr>
              <w:spacing w:after="0"/>
              <w:rPr>
                <w:sz w:val="22"/>
                <w:szCs w:val="22"/>
                <w:color w:val="auto"/>
              </w:rPr>
            </w:pPr>
          </w:p>
        </w:tc>
        <w:tc>
          <w:tcPr>
            <w:tcW w:w="920" w:type="dxa"/>
            <w:vAlign w:val="bottom"/>
            <w:gridSpan w:val="4"/>
          </w:tcPr>
          <w:p>
            <w:pPr>
              <w:jc w:val="center"/>
              <w:ind w:left="4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0.07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4"/>
          </w:tcPr>
          <w:p>
            <w:pPr>
              <w:jc w:val="center"/>
              <w:ind w:left="6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0.02</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400" w:type="dxa"/>
            <w:vAlign w:val="bottom"/>
            <w:gridSpan w:val="2"/>
          </w:tcPr>
          <w:p>
            <w:pPr>
              <w:spacing w:after="0"/>
              <w:rPr>
                <w:sz w:val="20"/>
                <w:szCs w:val="20"/>
                <w:color w:val="auto"/>
              </w:rPr>
            </w:pPr>
            <w:r>
              <w:rPr>
                <w:rFonts w:ascii="Arial" w:cs="Arial" w:eastAsia="Arial" w:hAnsi="Arial"/>
                <w:sz w:val="14"/>
                <w:szCs w:val="14"/>
                <w:color w:val="auto"/>
              </w:rPr>
              <w:t>Amortization of acquired intangible assets</w:t>
            </w:r>
          </w:p>
        </w:tc>
        <w:tc>
          <w:tcPr>
            <w:tcW w:w="340" w:type="dxa"/>
            <w:vAlign w:val="bottom"/>
          </w:tcPr>
          <w:p>
            <w:pPr>
              <w:spacing w:after="0"/>
              <w:rPr>
                <w:sz w:val="22"/>
                <w:szCs w:val="22"/>
                <w:color w:val="auto"/>
              </w:rPr>
            </w:pPr>
          </w:p>
        </w:tc>
        <w:tc>
          <w:tcPr>
            <w:tcW w:w="920" w:type="dxa"/>
            <w:vAlign w:val="bottom"/>
            <w:gridSpan w:val="4"/>
          </w:tcPr>
          <w:p>
            <w:pPr>
              <w:jc w:val="center"/>
              <w:ind w:left="48"/>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4"/>
          </w:tcPr>
          <w:p>
            <w:pPr>
              <w:jc w:val="center"/>
              <w:ind w:left="6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0.07</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3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3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4"/>
          </w:tcPr>
          <w:p>
            <w:pPr>
              <w:jc w:val="center"/>
              <w:ind w:left="68"/>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4"/>
                <w:szCs w:val="14"/>
                <w:color w:val="auto"/>
              </w:rPr>
              <w:t>(0.17)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4"/>
          </w:tcPr>
          <w:p>
            <w:pPr>
              <w:jc w:val="center"/>
              <w:ind w:left="68"/>
              <w:spacing w:after="0"/>
              <w:rPr>
                <w:sz w:val="20"/>
                <w:szCs w:val="20"/>
                <w:color w:val="auto"/>
              </w:rPr>
            </w:pPr>
            <w:r>
              <w:rPr>
                <w:rFonts w:ascii="Arial" w:cs="Arial" w:eastAsia="Arial" w:hAnsi="Arial"/>
                <w:sz w:val="14"/>
                <w:szCs w:val="14"/>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4"/>
                <w:szCs w:val="14"/>
                <w:color w:val="auto"/>
              </w:rPr>
              <w:t>0.11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3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Adjusted non-GAAP amounts</w:t>
            </w: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gridSpan w:val="4"/>
          </w:tcPr>
          <w:p>
            <w:pPr>
              <w:jc w:val="center"/>
              <w:ind w:left="48"/>
              <w:spacing w:after="0"/>
              <w:rPr>
                <w:sz w:val="20"/>
                <w:szCs w:val="20"/>
                <w:color w:val="auto"/>
              </w:rPr>
            </w:pPr>
            <w:r>
              <w:rPr>
                <w:rFonts w:ascii="Arial" w:cs="Arial" w:eastAsia="Arial" w:hAnsi="Arial"/>
                <w:sz w:val="14"/>
                <w:szCs w:val="14"/>
                <w:b w:val="1"/>
                <w:bCs w:val="1"/>
                <w:color w:val="auto"/>
              </w:rPr>
              <w:t>26.3</w:t>
            </w: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1.05</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920" w:type="dxa"/>
            <w:vAlign w:val="bottom"/>
            <w:tcBorders>
              <w:bottom w:val="single" w:sz="8" w:color="auto"/>
            </w:tcBorders>
            <w:gridSpan w:val="3"/>
          </w:tcPr>
          <w:p>
            <w:pPr>
              <w:jc w:val="center"/>
              <w:ind w:left="8"/>
              <w:spacing w:after="0"/>
              <w:rPr>
                <w:sz w:val="20"/>
                <w:szCs w:val="20"/>
                <w:color w:val="auto"/>
              </w:rPr>
            </w:pPr>
            <w:r>
              <w:rPr>
                <w:rFonts w:ascii="Arial" w:cs="Arial" w:eastAsia="Arial" w:hAnsi="Arial"/>
                <w:sz w:val="14"/>
                <w:szCs w:val="14"/>
                <w:b w:val="1"/>
                <w:bCs w:val="1"/>
                <w:color w:val="auto"/>
              </w:rPr>
              <w:t>35.5</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rPr>
              <w:t>1.42</w:t>
            </w:r>
          </w:p>
        </w:tc>
        <w:tc>
          <w:tcPr>
            <w:tcW w:w="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Commenting on the first quarter results, Patrick S. Williams, President and Chief Executive Officer, said,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“This was a mixed quarter for Innospec with continued strong results in Fuel Specialties partially offsetting the negative impacts of the January 2026 US winter storm on Performance Chemicals and Oilfield Services.</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Performance Chemicals sales were broadly flat with last year, but margins and operating income were significantly impacted by a shutdown of the North Carolina plants due to the US winter storm. We are prioritizing plant repairs in order to meet customer requirements. In parallel, we continue to execute on a range of other topline and margin opportunities identified in the business. We expect these combined efforts to drive sequential growth in the second quarter.</w:t>
      </w:r>
    </w:p>
    <w:p>
      <w:pPr>
        <w:spacing w:after="0" w:line="163"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Fuel Specialties had another strong quarter with sales growth and margins that remained at the upper end of our target range. As expected, the business has continued to deliver consistently strong results as our team advances on a broad set of regional and end-market opportunities in traditional fuel, renewable fuel and non-fuel applications.</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Oilfield Services operating income and margins improved on the prior year, but overall performance was negatively impacted by the US winter storm. While the Middle East conflict may delay the planned expansion in the region, we remain focused on driving incremental growth from our recent DRA expansion and other opportunities in our completions and production segments. We are cautiously optimistic that these efforts will drive sequential improvement in the second quarter and leave us well positioned for further improvement in the second half of 2026.”</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Revenues in Performance Chemicals of $ 169.4 million were up 1 percent over the first quarter of last year as volume reductions of 9 percent were offset by a positive price/mix of 1 percent and favorable currency impact of 9 percent. Gross margins of 16.8 percent decreased by 4.2 percentage points from the same quarter last year. Operating income of $10.7 million decreased 46 percent from $19.8 million in the corresponding prior year period.</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Revenues in Fuel Specialties of $181.6 million were up 7 percent from $170.3 million in the first quarter of last year with volume growth of 10 percent and a positive currency impact of 6 percent offsetting a negative price/mix of 9 percent. Gross margins of 35.4 percent decreased by 0.3 percentage points over last year. Operating income of $37.8 million was up 2 percent from $36.9 million a year ago.</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 Oilfield Services of $102.2 million for the quarter were consistent compared with the first quarter of last year. Gross margins of 30.1 percent increased by 1.7 percentage points from the same quarter last year on a richer sales mix. Operating income of $5.6 million increased 37 percent from $4.1 million in the prior year period.</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Corporate costs for the quarter were $22.3 million, compared with $17.7 million a year ago. The effective tax rate for the quarter was 22.8 percent compared to 25.7 percent in the same period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988060</wp:posOffset>
            </wp:positionV>
            <wp:extent cx="684911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200"/>
          </w:cols>
          <w:pgMar w:left="1340" w:top="1440" w:right="13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For the quarter, net cash provided by operating activities was $17.6 million compared to $28.3 million a year ago.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Innospec had $289.1 million in cash and cash equivalents and no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Mr. Williams concluded,</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“While the Middle East conflict is creating significant market uncertainty, we are seeing increased opportunities to deliver stand-out service and security of supply for all our customers. Our teams remain focused on elements within our control as we have in prior similar cycles. In parallel, margin enhancement, new technology commercialization and other opportunities remain the priority across our businesses, and we are optimistic about the impact that these actions will have on future results.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Operating cash generation was again positive in the quarter, and our net cash position closed at over $289 million. We have significant balance sheet flexibility for dividend growth, buybacks, organic investment and M&amp;A. This quarter our Board approved a further 10 percent increase in our semi-annual dividend to 92 cents per share, and we completed $6.2 million in share repurchases. Additionally, the Board approved a new $75 million buyback authorization to further enhance shareholder return flexibility.”</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information presented in this press release includes financial measures that are not calculated or presented in accordance with Generally Accepted Accounting Principles in the United States (GAAP). These non-GAAP financial measures comprise adjusted EBITDA, net income attributable to Innospec excluding special items and related per share amounts together with net cash. Adjusted EBITDA is net income attributable to Innospec per our consolidated financial statements adjusted for the exclusion of interest income, net, income taxes, depreciation and amortization, foreign currency exchange gains, legacy costs of closed operations and adjustment to fair value of contingent consideration. Net income attributable to Innospec and diluted EPS, excluding special items, per our consolidated financial statements are adjusted for the exclusion of adjustment to fair value of contingent consideration, foreign currency exchange gains, legacy costs of closed operations and amortization of acquired intangible assets. Net cash is cash and cash equivalents less total debt. Reconciliations of these non-GAAP financial measures to their most directly comparable GAAP financial measures are provided herein and in the schedules below.</w:t>
      </w:r>
    </w:p>
    <w:p>
      <w:pPr>
        <w:spacing w:after="0" w:line="16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believes that such non-GAAP financial measures provide useful information to investors and may assist them in evaluating the Company’s underlying performance and identifying operating trends. In addition, these non-GAAP measures address questions the Company routinely receives from analysts and investors and the Company has determined that it is appropriate to make this data available to all investors. While the Company believes that such measures are useful in evaluating the Company’s performance, investors should not consider them to be a substitute for financial measures prepared in accordance with GAAP. In addition, these non-GAAP financial measures may differ from similarly titled non-GAAP financial measures used by other companies and do not provide a comparable view of the Company’s performance relative to other companies in similar industries. Management uses adjusted EPS (the most directly comparable GAAP financial measure for which is GAAP EPS) and net income attributable to Innospec excluding special items and adjusted EBITDA (the most directly comparable GAAP financial measure for which is GAAP net income attributable to Innospec) to allocate resources and evaluate the performance of the Company’s operations and has provided a reconciliation of adjusted EBITDA and net income attributable to Innospec excluding special items, and related per share amounts, to GAAP net income attributable to Innospec herein and in the schedules below.</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Innospec Inc.</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Innospec Inc. is an international specialty chemicals company with approximately 2,450 employees in 22 countries. Innospec manufactures and supplies a wide range of specialty chemicals to markets in the Americas, Europe, the Middle East, Africa and Asia-Pacific. The Performance Chemicals business creates innovative technology-based solutions for our customers in the Personal Care, Home Care, Agrochemical, Mining and Industrial markets. The Fuel Specialties business specializes in manufacturing and supplying fuel additives that improve fuel efficiency, boost engine performance and reduce harmful emissions. Oilfield Services provides specialty chemicals to all elements of the oil and gas exploration and production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1264920</wp:posOffset>
            </wp:positionV>
            <wp:extent cx="684911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200"/>
          </w:cols>
          <w:pgMar w:left="1340" w:top="1417" w:right="1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press release contains certain "forward-looking statements" within the meaning of the Private Securities Litigation Reform Act of 1995. All statements other than statements of historical facts included or incorporated herein may constitute forward-looking statements. Such forward-looking statements include statements (covered by words like “expects,” “estimates,” “anticipates,” “may,” “could,” “believes,” “feels,” “plans,” “intends,” “outlook” or similar words or expressions, for example) which relate to earnings, growth potential, operating performance, events or developments that we expect or anticipate will or may occur in the future. Although forward-looking statements are believed by management to be reasonable when made, they are subject to certain risks, uncertainties and assumptions, and our actual performance or results may differ materially from these forward-looking statements. Additional information regarding risks, uncertainties and assumptions relating to Innospec and affecting our business operations and prospects are described in Innospec’s Annual Report on Form 10-K for the year ended December 31, 2025 and other reports filed with the U.S. Securities and Exchange Commission. You are urged to review our discussion of risks and uncertainties that could cause actual results to differ from forward-looking statements under the heading "Risk Factors” in such reports. Innospec undertakes no obligation to publicly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250825</wp:posOffset>
            </wp:positionV>
            <wp:extent cx="5829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29300"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Corbin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Innospec Inc.</w:t>
      </w:r>
    </w:p>
    <w:p>
      <w:pPr>
        <w:spacing w:after="0" w:line="234" w:lineRule="auto"/>
        <w:rPr>
          <w:sz w:val="20"/>
          <w:szCs w:val="20"/>
          <w:color w:val="auto"/>
        </w:rPr>
      </w:pPr>
      <w:r>
        <w:rPr>
          <w:rFonts w:ascii="Arial" w:cs="Arial" w:eastAsia="Arial" w:hAnsi="Arial"/>
          <w:sz w:val="18"/>
          <w:szCs w:val="18"/>
          <w:color w:val="auto"/>
        </w:rPr>
        <w:t>+1-303-792-5554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corbin.barnes@innospecinc.com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wp:posOffset>
            </wp:positionH>
            <wp:positionV relativeFrom="paragraph">
              <wp:posOffset>1656715</wp:posOffset>
            </wp:positionV>
            <wp:extent cx="684911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ectPr>
          <w:pgSz w:w="11900" w:h="16838" w:orient="portrait"/>
          <w:cols w:equalWidth="0" w:num="1">
            <w:col w:w="9200"/>
          </w:cols>
          <w:pgMar w:left="1340" w:top="1417" w:right="1359" w:bottom="1440" w:gutter="0" w:footer="0" w:header="0"/>
        </w:sectPr>
      </w:pPr>
    </w:p>
    <w:bookmarkStart w:id="8" w:name="page9"/>
    <w:bookmarkEnd w:id="8"/>
    <w:p>
      <w:pPr>
        <w:jc w:val="center"/>
        <w:ind w:right="20"/>
        <w:spacing w:after="0"/>
        <w:rPr>
          <w:sz w:val="20"/>
          <w:szCs w:val="20"/>
          <w:color w:val="auto"/>
        </w:rPr>
      </w:pPr>
      <w:r>
        <w:rPr>
          <w:rFonts w:ascii="Verdana" w:cs="Verdana" w:eastAsia="Verdana" w:hAnsi="Verdana"/>
          <w:sz w:val="14"/>
          <w:szCs w:val="14"/>
          <w:b w:val="1"/>
          <w:bCs w:val="1"/>
          <w:color w:val="auto"/>
        </w:rPr>
        <w:t>INNOSPEC INC. AND SUBSIDIARIES</w:t>
      </w:r>
    </w:p>
    <w:p>
      <w:pPr>
        <w:spacing w:after="0" w:line="5" w:lineRule="exact"/>
        <w:rPr>
          <w:sz w:val="20"/>
          <w:szCs w:val="20"/>
          <w:color w:val="auto"/>
        </w:rPr>
      </w:pPr>
    </w:p>
    <w:p>
      <w:pPr>
        <w:jc w:val="center"/>
        <w:ind w:right="20"/>
        <w:spacing w:after="0"/>
        <w:rPr>
          <w:sz w:val="20"/>
          <w:szCs w:val="20"/>
          <w:color w:val="auto"/>
        </w:rPr>
      </w:pPr>
      <w:r>
        <w:rPr>
          <w:rFonts w:ascii="Verdana" w:cs="Verdana" w:eastAsia="Verdana" w:hAnsi="Verdana"/>
          <w:sz w:val="14"/>
          <w:szCs w:val="14"/>
          <w:b w:val="1"/>
          <w:bCs w:val="1"/>
          <w:color w:val="auto"/>
        </w:rPr>
        <w:t>CONDENSED CONSOLIDATED STATEMENTS OF INCOME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ind w:left="160"/>
              <w:spacing w:after="0"/>
              <w:rPr>
                <w:sz w:val="20"/>
                <w:szCs w:val="20"/>
                <w:color w:val="auto"/>
              </w:rPr>
            </w:pPr>
            <w:r>
              <w:rPr>
                <w:rFonts w:ascii="Verdana" w:cs="Verdana" w:eastAsia="Verdana" w:hAnsi="Verdana"/>
                <w:sz w:val="14"/>
                <w:szCs w:val="14"/>
                <w:color w:val="auto"/>
              </w:rPr>
              <w:t>Schedule 1</w:t>
            </w:r>
          </w:p>
        </w:tc>
      </w:tr>
      <w:tr>
        <w:trPr>
          <w:trHeight w:val="488"/>
        </w:trPr>
        <w:tc>
          <w:tcPr>
            <w:tcW w:w="8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60" w:type="dxa"/>
            <w:vAlign w:val="bottom"/>
            <w:gridSpan w:val="6"/>
          </w:tcPr>
          <w:p>
            <w:pPr>
              <w:ind w:left="700"/>
              <w:spacing w:after="0"/>
              <w:rPr>
                <w:sz w:val="20"/>
                <w:szCs w:val="20"/>
                <w:color w:val="auto"/>
              </w:rPr>
            </w:pPr>
            <w:r>
              <w:rPr>
                <w:rFonts w:ascii="Verdana" w:cs="Verdana" w:eastAsia="Verdana" w:hAnsi="Verdana"/>
                <w:sz w:val="14"/>
                <w:szCs w:val="14"/>
                <w:b w:val="1"/>
                <w:bCs w:val="1"/>
                <w:color w:val="auto"/>
              </w:rPr>
              <w:t>Three Months Ended</w:t>
            </w:r>
          </w:p>
        </w:tc>
      </w:tr>
      <w:tr>
        <w:trPr>
          <w:trHeight w:val="172"/>
        </w:trPr>
        <w:tc>
          <w:tcPr>
            <w:tcW w:w="8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b w:val="1"/>
                <w:bCs w:val="1"/>
                <w:color w:val="auto"/>
              </w:rPr>
              <w:t>March 31</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155"/>
        </w:trPr>
        <w:tc>
          <w:tcPr>
            <w:tcW w:w="5620" w:type="dxa"/>
            <w:vAlign w:val="bottom"/>
            <w:gridSpan w:val="3"/>
          </w:tcPr>
          <w:p>
            <w:pPr>
              <w:ind w:left="880"/>
              <w:spacing w:after="0" w:line="156" w:lineRule="exact"/>
              <w:rPr>
                <w:sz w:val="20"/>
                <w:szCs w:val="20"/>
                <w:color w:val="auto"/>
              </w:rPr>
            </w:pPr>
            <w:r>
              <w:rPr>
                <w:rFonts w:ascii="Verdana" w:cs="Verdana" w:eastAsia="Verdana" w:hAnsi="Verdana"/>
                <w:sz w:val="14"/>
                <w:szCs w:val="14"/>
                <w:b w:val="1"/>
                <w:bCs w:val="1"/>
                <w:color w:val="auto"/>
              </w:rPr>
              <w:t>(in millions, except share and per share data)</w:t>
            </w:r>
          </w:p>
        </w:tc>
        <w:tc>
          <w:tcPr>
            <w:tcW w:w="126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Verdana" w:cs="Verdana" w:eastAsia="Verdana" w:hAnsi="Verdana"/>
                <w:sz w:val="14"/>
                <w:szCs w:val="14"/>
                <w:b w:val="1"/>
                <w:bCs w:val="1"/>
                <w:color w:val="auto"/>
              </w:rPr>
              <w:t>2026</w:t>
            </w:r>
          </w:p>
        </w:tc>
        <w:tc>
          <w:tcPr>
            <w:tcW w:w="1000" w:type="dxa"/>
            <w:vAlign w:val="bottom"/>
          </w:tcPr>
          <w:p>
            <w:pPr>
              <w:spacing w:after="0"/>
              <w:rPr>
                <w:sz w:val="13"/>
                <w:szCs w:val="13"/>
                <w:color w:val="auto"/>
              </w:rPr>
            </w:pPr>
          </w:p>
        </w:tc>
        <w:tc>
          <w:tcPr>
            <w:tcW w:w="940" w:type="dxa"/>
            <w:vAlign w:val="bottom"/>
            <w:gridSpan w:val="2"/>
          </w:tcPr>
          <w:p>
            <w:pPr>
              <w:jc w:val="center"/>
              <w:ind w:left="8"/>
              <w:spacing w:after="0" w:line="156" w:lineRule="exact"/>
              <w:rPr>
                <w:sz w:val="20"/>
                <w:szCs w:val="20"/>
                <w:color w:val="auto"/>
              </w:rPr>
            </w:pPr>
            <w:r>
              <w:rPr>
                <w:rFonts w:ascii="Verdana" w:cs="Verdana" w:eastAsia="Verdana" w:hAnsi="Verdana"/>
                <w:sz w:val="14"/>
                <w:szCs w:val="14"/>
                <w:b w:val="1"/>
                <w:bCs w:val="1"/>
                <w:color w:val="auto"/>
              </w:rPr>
              <w:t>2025</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7"/>
        </w:trPr>
        <w:tc>
          <w:tcPr>
            <w:tcW w:w="880" w:type="dxa"/>
            <w:vAlign w:val="bottom"/>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r>
      <w:tr>
        <w:trPr>
          <w:trHeight w:val="355"/>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Net sales</w:t>
            </w:r>
          </w:p>
        </w:tc>
        <w:tc>
          <w:tcPr>
            <w:tcW w:w="1260" w:type="dxa"/>
            <w:vAlign w:val="bottom"/>
          </w:tcPr>
          <w:p>
            <w:pPr>
              <w:jc w:val="right"/>
              <w:ind w:right="368"/>
              <w:spacing w:after="0"/>
              <w:rPr>
                <w:sz w:val="20"/>
                <w:szCs w:val="20"/>
                <w:color w:val="auto"/>
              </w:rPr>
            </w:pPr>
            <w:r>
              <w:rPr>
                <w:rFonts w:ascii="Verdana" w:cs="Verdana" w:eastAsia="Verdana" w:hAnsi="Verdana"/>
                <w:sz w:val="14"/>
                <w:szCs w:val="14"/>
                <w:color w:val="auto"/>
              </w:rPr>
              <w:t>$</w:t>
            </w:r>
          </w:p>
        </w:tc>
        <w:tc>
          <w:tcPr>
            <w:tcW w:w="1040" w:type="dxa"/>
            <w:vAlign w:val="bottom"/>
          </w:tcPr>
          <w:p>
            <w:pPr>
              <w:jc w:val="center"/>
              <w:spacing w:after="0"/>
              <w:rPr>
                <w:sz w:val="20"/>
                <w:szCs w:val="20"/>
                <w:color w:val="auto"/>
              </w:rPr>
            </w:pPr>
            <w:r>
              <w:rPr>
                <w:rFonts w:ascii="Verdana" w:cs="Verdana" w:eastAsia="Verdana" w:hAnsi="Verdana"/>
                <w:sz w:val="14"/>
                <w:szCs w:val="14"/>
                <w:color w:val="auto"/>
              </w:rPr>
              <w:t>453.2</w:t>
            </w:r>
          </w:p>
        </w:tc>
        <w:tc>
          <w:tcPr>
            <w:tcW w:w="1000" w:type="dxa"/>
            <w:vAlign w:val="bottom"/>
          </w:tcPr>
          <w:p>
            <w:pPr>
              <w:jc w:val="right"/>
              <w:ind w:right="728"/>
              <w:spacing w:after="0"/>
              <w:rPr>
                <w:sz w:val="20"/>
                <w:szCs w:val="20"/>
                <w:color w:val="auto"/>
              </w:rPr>
            </w:pPr>
            <w:r>
              <w:rPr>
                <w:rFonts w:ascii="Verdana" w:cs="Verdana" w:eastAsia="Verdana" w:hAnsi="Verdana"/>
                <w:sz w:val="14"/>
                <w:szCs w:val="14"/>
                <w:color w:val="auto"/>
              </w:rPr>
              <w:t>$</w:t>
            </w:r>
          </w:p>
        </w:tc>
        <w:tc>
          <w:tcPr>
            <w:tcW w:w="940" w:type="dxa"/>
            <w:vAlign w:val="bottom"/>
            <w:gridSpan w:val="2"/>
          </w:tcPr>
          <w:p>
            <w:pPr>
              <w:jc w:val="center"/>
              <w:ind w:left="8"/>
              <w:spacing w:after="0"/>
              <w:rPr>
                <w:sz w:val="20"/>
                <w:szCs w:val="20"/>
                <w:color w:val="auto"/>
              </w:rPr>
            </w:pPr>
            <w:r>
              <w:rPr>
                <w:rFonts w:ascii="Verdana" w:cs="Verdana" w:eastAsia="Verdana" w:hAnsi="Verdana"/>
                <w:sz w:val="14"/>
                <w:szCs w:val="14"/>
                <w:color w:val="auto"/>
              </w:rPr>
              <w:t>440.8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2"/>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Cost of goods sold</w:t>
            </w:r>
          </w:p>
        </w:tc>
        <w:tc>
          <w:tcPr>
            <w:tcW w:w="12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(329.7)</w:t>
            </w:r>
          </w:p>
        </w:tc>
        <w:tc>
          <w:tcPr>
            <w:tcW w:w="1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8"/>
              <w:spacing w:after="0"/>
              <w:rPr>
                <w:sz w:val="20"/>
                <w:szCs w:val="20"/>
                <w:color w:val="auto"/>
              </w:rPr>
            </w:pPr>
            <w:r>
              <w:rPr>
                <w:rFonts w:ascii="Verdana" w:cs="Verdana" w:eastAsia="Verdana" w:hAnsi="Verdana"/>
                <w:sz w:val="14"/>
                <w:szCs w:val="14"/>
                <w:color w:val="auto"/>
              </w:rPr>
              <w:t>(315.7)</w:t>
            </w:r>
          </w:p>
        </w:tc>
        <w:tc>
          <w:tcPr>
            <w:tcW w:w="1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184"/>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Gross profit</w:t>
            </w:r>
          </w:p>
        </w:tc>
        <w:tc>
          <w:tcPr>
            <w:tcW w:w="1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rPr>
              <w:t>123.5</w:t>
            </w:r>
          </w:p>
        </w:tc>
        <w:tc>
          <w:tcPr>
            <w:tcW w:w="1000" w:type="dxa"/>
            <w:vAlign w:val="bottom"/>
          </w:tcPr>
          <w:p>
            <w:pPr>
              <w:spacing w:after="0"/>
              <w:rPr>
                <w:sz w:val="16"/>
                <w:szCs w:val="16"/>
                <w:color w:val="auto"/>
              </w:rPr>
            </w:pPr>
          </w:p>
        </w:tc>
        <w:tc>
          <w:tcPr>
            <w:tcW w:w="940" w:type="dxa"/>
            <w:vAlign w:val="bottom"/>
            <w:gridSpan w:val="2"/>
          </w:tcPr>
          <w:p>
            <w:pPr>
              <w:jc w:val="center"/>
              <w:ind w:left="8"/>
              <w:spacing w:after="0"/>
              <w:rPr>
                <w:sz w:val="20"/>
                <w:szCs w:val="20"/>
                <w:color w:val="auto"/>
              </w:rPr>
            </w:pPr>
            <w:r>
              <w:rPr>
                <w:rFonts w:ascii="Verdana" w:cs="Verdana" w:eastAsia="Verdana" w:hAnsi="Verdana"/>
                <w:sz w:val="14"/>
                <w:szCs w:val="14"/>
                <w:color w:val="auto"/>
              </w:rPr>
              <w:t>125.1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40"/>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Operating expenses:</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880" w:type="dxa"/>
            <w:vAlign w:val="bottom"/>
          </w:tcPr>
          <w:p>
            <w:pPr>
              <w:spacing w:after="0"/>
              <w:rPr>
                <w:sz w:val="15"/>
                <w:szCs w:val="15"/>
                <w:color w:val="auto"/>
              </w:rPr>
            </w:pPr>
          </w:p>
        </w:tc>
        <w:tc>
          <w:tcPr>
            <w:tcW w:w="4740" w:type="dxa"/>
            <w:vAlign w:val="bottom"/>
            <w:gridSpan w:val="2"/>
          </w:tcPr>
          <w:p>
            <w:pPr>
              <w:ind w:left="240"/>
              <w:spacing w:after="0"/>
              <w:rPr>
                <w:sz w:val="20"/>
                <w:szCs w:val="20"/>
                <w:color w:val="auto"/>
              </w:rPr>
            </w:pPr>
            <w:r>
              <w:rPr>
                <w:rFonts w:ascii="Verdana" w:cs="Verdana" w:eastAsia="Verdana" w:hAnsi="Verdana"/>
                <w:sz w:val="14"/>
                <w:szCs w:val="14"/>
                <w:color w:val="auto"/>
              </w:rPr>
              <w:t>Selling, general and administrative</w:t>
            </w: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rPr>
              <w:t>(78.5)</w:t>
            </w:r>
          </w:p>
        </w:tc>
        <w:tc>
          <w:tcPr>
            <w:tcW w:w="1000" w:type="dxa"/>
            <w:vAlign w:val="bottom"/>
          </w:tcPr>
          <w:p>
            <w:pPr>
              <w:spacing w:after="0"/>
              <w:rPr>
                <w:sz w:val="15"/>
                <w:szCs w:val="15"/>
                <w:color w:val="auto"/>
              </w:rPr>
            </w:pPr>
          </w:p>
        </w:tc>
        <w:tc>
          <w:tcPr>
            <w:tcW w:w="940" w:type="dxa"/>
            <w:vAlign w:val="bottom"/>
            <w:gridSpan w:val="2"/>
          </w:tcPr>
          <w:p>
            <w:pPr>
              <w:jc w:val="center"/>
              <w:ind w:left="8"/>
              <w:spacing w:after="0"/>
              <w:rPr>
                <w:sz w:val="20"/>
                <w:szCs w:val="20"/>
                <w:color w:val="auto"/>
              </w:rPr>
            </w:pPr>
            <w:r>
              <w:rPr>
                <w:rFonts w:ascii="Verdana" w:cs="Verdana" w:eastAsia="Verdana" w:hAnsi="Verdana"/>
                <w:sz w:val="14"/>
                <w:szCs w:val="14"/>
                <w:color w:val="auto"/>
              </w:rPr>
              <w:t>(69.3)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4740" w:type="dxa"/>
            <w:vAlign w:val="bottom"/>
            <w:gridSpan w:val="2"/>
          </w:tcPr>
          <w:p>
            <w:pPr>
              <w:ind w:left="240"/>
              <w:spacing w:after="0"/>
              <w:rPr>
                <w:sz w:val="20"/>
                <w:szCs w:val="20"/>
                <w:color w:val="auto"/>
              </w:rPr>
            </w:pPr>
            <w:r>
              <w:rPr>
                <w:rFonts w:ascii="Verdana" w:cs="Verdana" w:eastAsia="Verdana" w:hAnsi="Verdana"/>
                <w:sz w:val="14"/>
                <w:szCs w:val="14"/>
                <w:color w:val="auto"/>
              </w:rPr>
              <w:t>Research and development</w:t>
            </w: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rPr>
              <w:t>(13.2)</w:t>
            </w:r>
          </w:p>
        </w:tc>
        <w:tc>
          <w:tcPr>
            <w:tcW w:w="1000" w:type="dxa"/>
            <w:vAlign w:val="bottom"/>
          </w:tcPr>
          <w:p>
            <w:pPr>
              <w:spacing w:after="0"/>
              <w:rPr>
                <w:sz w:val="15"/>
                <w:szCs w:val="15"/>
                <w:color w:val="auto"/>
              </w:rPr>
            </w:pPr>
          </w:p>
        </w:tc>
        <w:tc>
          <w:tcPr>
            <w:tcW w:w="940" w:type="dxa"/>
            <w:vAlign w:val="bottom"/>
            <w:gridSpan w:val="2"/>
          </w:tcPr>
          <w:p>
            <w:pPr>
              <w:jc w:val="center"/>
              <w:ind w:left="8"/>
              <w:spacing w:after="0"/>
              <w:rPr>
                <w:sz w:val="20"/>
                <w:szCs w:val="20"/>
                <w:color w:val="auto"/>
              </w:rPr>
            </w:pPr>
            <w:r>
              <w:rPr>
                <w:rFonts w:ascii="Verdana" w:cs="Verdana" w:eastAsia="Verdana" w:hAnsi="Verdana"/>
                <w:sz w:val="14"/>
                <w:szCs w:val="14"/>
                <w:color w:val="auto"/>
              </w:rPr>
              <w:t>(12.7)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4740" w:type="dxa"/>
            <w:vAlign w:val="bottom"/>
            <w:gridSpan w:val="2"/>
          </w:tcPr>
          <w:p>
            <w:pPr>
              <w:ind w:left="240"/>
              <w:spacing w:after="0"/>
              <w:rPr>
                <w:sz w:val="20"/>
                <w:szCs w:val="20"/>
                <w:color w:val="auto"/>
              </w:rPr>
            </w:pPr>
            <w:r>
              <w:rPr>
                <w:rFonts w:ascii="Verdana" w:cs="Verdana" w:eastAsia="Verdana" w:hAnsi="Verdana"/>
                <w:sz w:val="14"/>
                <w:szCs w:val="14"/>
                <w:color w:val="auto"/>
              </w:rPr>
              <w:t>Adjustment to fair value of contingent consideration</w:t>
            </w: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w w:val="95"/>
              </w:rPr>
              <w:t>4.7</w:t>
            </w:r>
          </w:p>
        </w:tc>
        <w:tc>
          <w:tcPr>
            <w:tcW w:w="1000" w:type="dxa"/>
            <w:vAlign w:val="bottom"/>
          </w:tcPr>
          <w:p>
            <w:pPr>
              <w:spacing w:after="0"/>
              <w:rPr>
                <w:sz w:val="15"/>
                <w:szCs w:val="15"/>
                <w:color w:val="auto"/>
              </w:rPr>
            </w:pPr>
          </w:p>
        </w:tc>
        <w:tc>
          <w:tcPr>
            <w:tcW w:w="940" w:type="dxa"/>
            <w:vAlign w:val="bottom"/>
            <w:gridSpan w:val="2"/>
          </w:tcPr>
          <w:p>
            <w:pPr>
              <w:jc w:val="center"/>
              <w:ind w:left="28"/>
              <w:spacing w:after="0"/>
              <w:rPr>
                <w:sz w:val="20"/>
                <w:szCs w:val="20"/>
                <w:color w:val="auto"/>
              </w:rPr>
            </w:pPr>
            <w:r>
              <w:rPr>
                <w:rFonts w:ascii="Verdana" w:cs="Verdana" w:eastAsia="Verdana" w:hAnsi="Verdana"/>
                <w:sz w:val="14"/>
                <w:szCs w:val="14"/>
                <w:color w:val="auto"/>
              </w:rPr>
              <w:t>(0.7)</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2"/>
        </w:trPr>
        <w:tc>
          <w:tcPr>
            <w:tcW w:w="880" w:type="dxa"/>
            <w:vAlign w:val="bottom"/>
          </w:tcPr>
          <w:p>
            <w:pPr>
              <w:spacing w:after="0"/>
              <w:rPr>
                <w:sz w:val="14"/>
                <w:szCs w:val="14"/>
                <w:color w:val="auto"/>
              </w:rPr>
            </w:pPr>
          </w:p>
        </w:tc>
        <w:tc>
          <w:tcPr>
            <w:tcW w:w="4740" w:type="dxa"/>
            <w:vAlign w:val="bottom"/>
            <w:gridSpan w:val="2"/>
          </w:tcPr>
          <w:p>
            <w:pPr>
              <w:ind w:left="240"/>
              <w:spacing w:after="0"/>
              <w:rPr>
                <w:sz w:val="20"/>
                <w:szCs w:val="20"/>
                <w:color w:val="auto"/>
              </w:rPr>
            </w:pPr>
            <w:r>
              <w:rPr>
                <w:rFonts w:ascii="Verdana" w:cs="Verdana" w:eastAsia="Verdana" w:hAnsi="Verdana"/>
                <w:sz w:val="14"/>
                <w:szCs w:val="14"/>
                <w:color w:val="auto"/>
              </w:rPr>
              <w:t>Profit on disposal of property, plant and equipment</w:t>
            </w:r>
          </w:p>
        </w:tc>
        <w:tc>
          <w:tcPr>
            <w:tcW w:w="12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w w:val="92"/>
              </w:rPr>
              <w:t>-</w:t>
            </w:r>
          </w:p>
        </w:tc>
        <w:tc>
          <w:tcPr>
            <w:tcW w:w="1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28"/>
              <w:spacing w:after="0"/>
              <w:rPr>
                <w:sz w:val="20"/>
                <w:szCs w:val="20"/>
                <w:color w:val="auto"/>
              </w:rPr>
            </w:pPr>
            <w:r>
              <w:rPr>
                <w:rFonts w:ascii="Verdana" w:cs="Verdana" w:eastAsia="Verdana" w:hAnsi="Verdana"/>
                <w:sz w:val="14"/>
                <w:szCs w:val="14"/>
                <w:color w:val="auto"/>
              </w:rPr>
              <w:t>0.1</w:t>
            </w:r>
          </w:p>
        </w:tc>
        <w:tc>
          <w:tcPr>
            <w:tcW w:w="1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169"/>
        </w:trPr>
        <w:tc>
          <w:tcPr>
            <w:tcW w:w="5620" w:type="dxa"/>
            <w:vAlign w:val="bottom"/>
            <w:gridSpan w:val="3"/>
          </w:tcPr>
          <w:p>
            <w:pPr>
              <w:ind w:left="880"/>
              <w:spacing w:after="0" w:line="169" w:lineRule="exact"/>
              <w:rPr>
                <w:sz w:val="20"/>
                <w:szCs w:val="20"/>
                <w:color w:val="auto"/>
              </w:rPr>
            </w:pPr>
            <w:r>
              <w:rPr>
                <w:rFonts w:ascii="Verdana" w:cs="Verdana" w:eastAsia="Verdana" w:hAnsi="Verdana"/>
                <w:sz w:val="14"/>
                <w:szCs w:val="14"/>
                <w:color w:val="auto"/>
              </w:rPr>
              <w:t>Total operating expenses</w:t>
            </w:r>
          </w:p>
        </w:tc>
        <w:tc>
          <w:tcPr>
            <w:tcW w:w="1260" w:type="dxa"/>
            <w:vAlign w:val="bottom"/>
          </w:tcPr>
          <w:p>
            <w:pPr>
              <w:spacing w:after="0"/>
              <w:rPr>
                <w:sz w:val="14"/>
                <w:szCs w:val="14"/>
                <w:color w:val="auto"/>
              </w:rPr>
            </w:pPr>
          </w:p>
        </w:tc>
        <w:tc>
          <w:tcPr>
            <w:tcW w:w="104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(87.0)</w:t>
            </w:r>
          </w:p>
        </w:tc>
        <w:tc>
          <w:tcPr>
            <w:tcW w:w="1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8"/>
              <w:spacing w:after="0" w:line="169" w:lineRule="exact"/>
              <w:rPr>
                <w:sz w:val="20"/>
                <w:szCs w:val="20"/>
                <w:color w:val="auto"/>
              </w:rPr>
            </w:pPr>
            <w:r>
              <w:rPr>
                <w:rFonts w:ascii="Verdana" w:cs="Verdana" w:eastAsia="Verdana" w:hAnsi="Verdana"/>
                <w:sz w:val="14"/>
                <w:szCs w:val="14"/>
                <w:color w:val="auto"/>
              </w:rPr>
              <w:t>(82.6)</w:t>
            </w:r>
          </w:p>
        </w:tc>
        <w:tc>
          <w:tcPr>
            <w:tcW w:w="1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Operating income</w:t>
            </w: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rPr>
              <w:t>36.5</w:t>
            </w:r>
          </w:p>
        </w:tc>
        <w:tc>
          <w:tcPr>
            <w:tcW w:w="1000" w:type="dxa"/>
            <w:vAlign w:val="bottom"/>
          </w:tcPr>
          <w:p>
            <w:pPr>
              <w:spacing w:after="0"/>
              <w:rPr>
                <w:sz w:val="15"/>
                <w:szCs w:val="15"/>
                <w:color w:val="auto"/>
              </w:rPr>
            </w:pPr>
          </w:p>
        </w:tc>
        <w:tc>
          <w:tcPr>
            <w:tcW w:w="940" w:type="dxa"/>
            <w:vAlign w:val="bottom"/>
            <w:gridSpan w:val="2"/>
          </w:tcPr>
          <w:p>
            <w:pPr>
              <w:jc w:val="center"/>
              <w:ind w:left="28"/>
              <w:spacing w:after="0"/>
              <w:rPr>
                <w:sz w:val="20"/>
                <w:szCs w:val="20"/>
                <w:color w:val="auto"/>
              </w:rPr>
            </w:pPr>
            <w:r>
              <w:rPr>
                <w:rFonts w:ascii="Verdana" w:cs="Verdana" w:eastAsia="Verdana" w:hAnsi="Verdana"/>
                <w:sz w:val="14"/>
                <w:szCs w:val="14"/>
                <w:color w:val="auto"/>
              </w:rPr>
              <w:t>42.5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Other income, net</w:t>
            </w: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w w:val="95"/>
              </w:rPr>
              <w:t>2.6</w:t>
            </w:r>
          </w:p>
        </w:tc>
        <w:tc>
          <w:tcPr>
            <w:tcW w:w="1000" w:type="dxa"/>
            <w:vAlign w:val="bottom"/>
          </w:tcPr>
          <w:p>
            <w:pPr>
              <w:spacing w:after="0"/>
              <w:rPr>
                <w:sz w:val="15"/>
                <w:szCs w:val="15"/>
                <w:color w:val="auto"/>
              </w:rPr>
            </w:pPr>
          </w:p>
        </w:tc>
        <w:tc>
          <w:tcPr>
            <w:tcW w:w="940" w:type="dxa"/>
            <w:vAlign w:val="bottom"/>
            <w:gridSpan w:val="2"/>
          </w:tcPr>
          <w:p>
            <w:pPr>
              <w:jc w:val="center"/>
              <w:ind w:left="28"/>
              <w:spacing w:after="0"/>
              <w:rPr>
                <w:sz w:val="20"/>
                <w:szCs w:val="20"/>
                <w:color w:val="auto"/>
              </w:rPr>
            </w:pPr>
            <w:r>
              <w:rPr>
                <w:rFonts w:ascii="Verdana" w:cs="Verdana" w:eastAsia="Verdana" w:hAnsi="Verdana"/>
                <w:sz w:val="14"/>
                <w:szCs w:val="14"/>
                <w:color w:val="auto"/>
              </w:rPr>
              <w:t>0.3</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2"/>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Interest income, net</w:t>
            </w:r>
          </w:p>
        </w:tc>
        <w:tc>
          <w:tcPr>
            <w:tcW w:w="12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w w:val="95"/>
              </w:rPr>
              <w:t>0.8</w:t>
            </w:r>
          </w:p>
        </w:tc>
        <w:tc>
          <w:tcPr>
            <w:tcW w:w="1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28"/>
              <w:spacing w:after="0"/>
              <w:rPr>
                <w:sz w:val="20"/>
                <w:szCs w:val="20"/>
                <w:color w:val="auto"/>
              </w:rPr>
            </w:pPr>
            <w:r>
              <w:rPr>
                <w:rFonts w:ascii="Verdana" w:cs="Verdana" w:eastAsia="Verdana" w:hAnsi="Verdana"/>
                <w:sz w:val="14"/>
                <w:szCs w:val="14"/>
                <w:color w:val="auto"/>
              </w:rPr>
              <w:t>2.4</w:t>
            </w:r>
          </w:p>
        </w:tc>
        <w:tc>
          <w:tcPr>
            <w:tcW w:w="1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Income before income taxes</w:t>
            </w: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rPr>
              <w:t>39.9</w:t>
            </w:r>
          </w:p>
        </w:tc>
        <w:tc>
          <w:tcPr>
            <w:tcW w:w="1000" w:type="dxa"/>
            <w:vAlign w:val="bottom"/>
          </w:tcPr>
          <w:p>
            <w:pPr>
              <w:spacing w:after="0"/>
              <w:rPr>
                <w:sz w:val="15"/>
                <w:szCs w:val="15"/>
                <w:color w:val="auto"/>
              </w:rPr>
            </w:pPr>
          </w:p>
        </w:tc>
        <w:tc>
          <w:tcPr>
            <w:tcW w:w="940" w:type="dxa"/>
            <w:vAlign w:val="bottom"/>
            <w:gridSpan w:val="2"/>
          </w:tcPr>
          <w:p>
            <w:pPr>
              <w:jc w:val="center"/>
              <w:ind w:left="28"/>
              <w:spacing w:after="0"/>
              <w:rPr>
                <w:sz w:val="20"/>
                <w:szCs w:val="20"/>
                <w:color w:val="auto"/>
              </w:rPr>
            </w:pPr>
            <w:r>
              <w:rPr>
                <w:rFonts w:ascii="Verdana" w:cs="Verdana" w:eastAsia="Verdana" w:hAnsi="Verdana"/>
                <w:sz w:val="14"/>
                <w:szCs w:val="14"/>
                <w:color w:val="auto"/>
              </w:rPr>
              <w:t>45.2</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2"/>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Income taxes</w:t>
            </w:r>
          </w:p>
        </w:tc>
        <w:tc>
          <w:tcPr>
            <w:tcW w:w="12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(9.1)</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(11.6)</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0"/>
        </w:trPr>
        <w:tc>
          <w:tcPr>
            <w:tcW w:w="5620" w:type="dxa"/>
            <w:vAlign w:val="bottom"/>
            <w:gridSpan w:val="3"/>
          </w:tcPr>
          <w:p>
            <w:pPr>
              <w:ind w:left="880"/>
              <w:spacing w:after="0" w:line="167" w:lineRule="exact"/>
              <w:rPr>
                <w:sz w:val="20"/>
                <w:szCs w:val="20"/>
                <w:color w:val="auto"/>
              </w:rPr>
            </w:pPr>
            <w:r>
              <w:rPr>
                <w:rFonts w:ascii="Verdana" w:cs="Verdana" w:eastAsia="Verdana" w:hAnsi="Verdana"/>
                <w:sz w:val="14"/>
                <w:szCs w:val="14"/>
                <w:color w:val="auto"/>
              </w:rPr>
              <w:t>Net income</w:t>
            </w:r>
          </w:p>
        </w:tc>
        <w:tc>
          <w:tcPr>
            <w:tcW w:w="1260" w:type="dxa"/>
            <w:vAlign w:val="bottom"/>
          </w:tcPr>
          <w:p>
            <w:pPr>
              <w:spacing w:after="0"/>
              <w:rPr>
                <w:sz w:val="15"/>
                <w:szCs w:val="15"/>
                <w:color w:val="auto"/>
              </w:rPr>
            </w:pPr>
          </w:p>
        </w:tc>
        <w:tc>
          <w:tcPr>
            <w:tcW w:w="1040" w:type="dxa"/>
            <w:vAlign w:val="bottom"/>
          </w:tcPr>
          <w:p>
            <w:pPr>
              <w:jc w:val="center"/>
              <w:spacing w:after="0" w:line="167" w:lineRule="exact"/>
              <w:rPr>
                <w:sz w:val="20"/>
                <w:szCs w:val="20"/>
                <w:color w:val="auto"/>
              </w:rPr>
            </w:pPr>
            <w:r>
              <w:rPr>
                <w:rFonts w:ascii="Verdana" w:cs="Verdana" w:eastAsia="Verdana" w:hAnsi="Verdana"/>
                <w:sz w:val="14"/>
                <w:szCs w:val="14"/>
                <w:color w:val="auto"/>
              </w:rPr>
              <w:t>30.8</w:t>
            </w:r>
          </w:p>
        </w:tc>
        <w:tc>
          <w:tcPr>
            <w:tcW w:w="1000" w:type="dxa"/>
            <w:vAlign w:val="bottom"/>
          </w:tcPr>
          <w:p>
            <w:pPr>
              <w:spacing w:after="0"/>
              <w:rPr>
                <w:sz w:val="15"/>
                <w:szCs w:val="15"/>
                <w:color w:val="auto"/>
              </w:rPr>
            </w:pPr>
          </w:p>
        </w:tc>
        <w:tc>
          <w:tcPr>
            <w:tcW w:w="940" w:type="dxa"/>
            <w:vAlign w:val="bottom"/>
            <w:gridSpan w:val="2"/>
          </w:tcPr>
          <w:p>
            <w:pPr>
              <w:jc w:val="center"/>
              <w:ind w:left="28"/>
              <w:spacing w:after="0"/>
              <w:rPr>
                <w:sz w:val="20"/>
                <w:szCs w:val="20"/>
                <w:color w:val="auto"/>
              </w:rPr>
            </w:pPr>
            <w:r>
              <w:rPr>
                <w:rFonts w:ascii="Verdana" w:cs="Verdana" w:eastAsia="Verdana" w:hAnsi="Verdana"/>
                <w:sz w:val="14"/>
                <w:szCs w:val="14"/>
                <w:color w:val="auto"/>
              </w:rPr>
              <w:t>33.6</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2"/>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Net income attributable to non-controlling interests</w:t>
            </w:r>
          </w:p>
        </w:tc>
        <w:tc>
          <w:tcPr>
            <w:tcW w:w="12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(0.4)</w:t>
            </w:r>
          </w:p>
        </w:tc>
        <w:tc>
          <w:tcPr>
            <w:tcW w:w="1000" w:type="dxa"/>
            <w:vAlign w:val="bottom"/>
          </w:tcPr>
          <w:p>
            <w:pPr>
              <w:spacing w:after="0"/>
              <w:rPr>
                <w:sz w:val="14"/>
                <w:szCs w:val="14"/>
                <w:color w:val="auto"/>
              </w:rPr>
            </w:pPr>
          </w:p>
        </w:tc>
        <w:tc>
          <w:tcPr>
            <w:tcW w:w="940" w:type="dxa"/>
            <w:vAlign w:val="bottom"/>
            <w:tcBorders>
              <w:bottom w:val="single" w:sz="8" w:color="auto"/>
            </w:tcBorders>
            <w:gridSpan w:val="2"/>
          </w:tcPr>
          <w:p>
            <w:pPr>
              <w:jc w:val="center"/>
              <w:ind w:left="28"/>
              <w:spacing w:after="0"/>
              <w:rPr>
                <w:sz w:val="20"/>
                <w:szCs w:val="20"/>
                <w:color w:val="auto"/>
              </w:rPr>
            </w:pPr>
            <w:r>
              <w:rPr>
                <w:rFonts w:ascii="Verdana" w:cs="Verdana" w:eastAsia="Verdana" w:hAnsi="Verdana"/>
                <w:sz w:val="14"/>
                <w:szCs w:val="14"/>
                <w:color w:val="auto"/>
              </w:rPr>
              <w:t>(0.8)</w:t>
            </w:r>
          </w:p>
        </w:tc>
        <w:tc>
          <w:tcPr>
            <w:tcW w:w="10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5620" w:type="dxa"/>
            <w:vAlign w:val="bottom"/>
            <w:gridSpan w:val="3"/>
          </w:tcPr>
          <w:p>
            <w:pPr>
              <w:ind w:left="880"/>
              <w:spacing w:after="0" w:line="169" w:lineRule="exact"/>
              <w:rPr>
                <w:sz w:val="20"/>
                <w:szCs w:val="20"/>
                <w:color w:val="auto"/>
              </w:rPr>
            </w:pPr>
            <w:r>
              <w:rPr>
                <w:rFonts w:ascii="Verdana" w:cs="Verdana" w:eastAsia="Verdana" w:hAnsi="Verdana"/>
                <w:sz w:val="14"/>
                <w:szCs w:val="14"/>
                <w:color w:val="auto"/>
              </w:rPr>
              <w:t>Net income attributable to Innospec</w:t>
            </w:r>
          </w:p>
        </w:tc>
        <w:tc>
          <w:tcPr>
            <w:tcW w:w="1260" w:type="dxa"/>
            <w:vAlign w:val="bottom"/>
          </w:tcPr>
          <w:p>
            <w:pPr>
              <w:jc w:val="right"/>
              <w:ind w:right="368"/>
              <w:spacing w:after="0" w:line="169" w:lineRule="exact"/>
              <w:rPr>
                <w:sz w:val="20"/>
                <w:szCs w:val="20"/>
                <w:color w:val="auto"/>
              </w:rPr>
            </w:pPr>
            <w:r>
              <w:rPr>
                <w:rFonts w:ascii="Verdana" w:cs="Verdana" w:eastAsia="Verdana" w:hAnsi="Verdana"/>
                <w:sz w:val="14"/>
                <w:szCs w:val="14"/>
                <w:color w:val="auto"/>
              </w:rPr>
              <w:t>$</w:t>
            </w:r>
          </w:p>
        </w:tc>
        <w:tc>
          <w:tcPr>
            <w:tcW w:w="104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30.4</w:t>
            </w:r>
          </w:p>
        </w:tc>
        <w:tc>
          <w:tcPr>
            <w:tcW w:w="1000" w:type="dxa"/>
            <w:vAlign w:val="bottom"/>
          </w:tcPr>
          <w:p>
            <w:pPr>
              <w:jc w:val="right"/>
              <w:ind w:right="728"/>
              <w:spacing w:after="0" w:line="169" w:lineRule="exact"/>
              <w:rPr>
                <w:sz w:val="20"/>
                <w:szCs w:val="20"/>
                <w:color w:val="auto"/>
              </w:rPr>
            </w:pPr>
            <w:r>
              <w:rPr>
                <w:rFonts w:ascii="Verdana" w:cs="Verdana" w:eastAsia="Verdana" w:hAnsi="Verdana"/>
                <w:sz w:val="14"/>
                <w:szCs w:val="14"/>
                <w:color w:val="auto"/>
              </w:rPr>
              <w:t>$</w:t>
            </w:r>
          </w:p>
        </w:tc>
        <w:tc>
          <w:tcPr>
            <w:tcW w:w="940" w:type="dxa"/>
            <w:vAlign w:val="bottom"/>
            <w:tcBorders>
              <w:bottom w:val="single" w:sz="8" w:color="auto"/>
            </w:tcBorders>
            <w:gridSpan w:val="2"/>
          </w:tcPr>
          <w:p>
            <w:pPr>
              <w:jc w:val="center"/>
              <w:ind w:left="28"/>
              <w:spacing w:after="0" w:line="169" w:lineRule="exact"/>
              <w:rPr>
                <w:sz w:val="20"/>
                <w:szCs w:val="20"/>
                <w:color w:val="auto"/>
              </w:rPr>
            </w:pPr>
            <w:r>
              <w:rPr>
                <w:rFonts w:ascii="Verdana" w:cs="Verdana" w:eastAsia="Verdana" w:hAnsi="Verdana"/>
                <w:sz w:val="14"/>
                <w:szCs w:val="14"/>
                <w:color w:val="auto"/>
              </w:rPr>
              <w:t>32.8</w:t>
            </w:r>
          </w:p>
        </w:tc>
        <w:tc>
          <w:tcPr>
            <w:tcW w:w="10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r>
      <w:tr>
        <w:trPr>
          <w:trHeight w:val="355"/>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Earnings per share:</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880" w:type="dxa"/>
            <w:vAlign w:val="bottom"/>
          </w:tcPr>
          <w:p>
            <w:pPr>
              <w:spacing w:after="0"/>
              <w:rPr>
                <w:sz w:val="15"/>
                <w:szCs w:val="15"/>
                <w:color w:val="auto"/>
              </w:rPr>
            </w:pPr>
          </w:p>
        </w:tc>
        <w:tc>
          <w:tcPr>
            <w:tcW w:w="4740" w:type="dxa"/>
            <w:vAlign w:val="bottom"/>
            <w:gridSpan w:val="2"/>
          </w:tcPr>
          <w:p>
            <w:pPr>
              <w:ind w:left="200"/>
              <w:spacing w:after="0"/>
              <w:rPr>
                <w:sz w:val="20"/>
                <w:szCs w:val="20"/>
                <w:color w:val="auto"/>
              </w:rPr>
            </w:pPr>
            <w:r>
              <w:rPr>
                <w:rFonts w:ascii="Verdana" w:cs="Verdana" w:eastAsia="Verdana" w:hAnsi="Verdana"/>
                <w:sz w:val="14"/>
                <w:szCs w:val="14"/>
                <w:color w:val="auto"/>
              </w:rPr>
              <w:t>Basic</w:t>
            </w:r>
          </w:p>
        </w:tc>
        <w:tc>
          <w:tcPr>
            <w:tcW w:w="1260" w:type="dxa"/>
            <w:vAlign w:val="bottom"/>
          </w:tcPr>
          <w:p>
            <w:pPr>
              <w:jc w:val="right"/>
              <w:ind w:right="368"/>
              <w:spacing w:after="0"/>
              <w:rPr>
                <w:sz w:val="20"/>
                <w:szCs w:val="20"/>
                <w:color w:val="auto"/>
              </w:rPr>
            </w:pPr>
            <w:r>
              <w:rPr>
                <w:rFonts w:ascii="Verdana" w:cs="Verdana" w:eastAsia="Verdana" w:hAnsi="Verdana"/>
                <w:sz w:val="14"/>
                <w:szCs w:val="14"/>
                <w:color w:val="auto"/>
              </w:rPr>
              <w:t>$</w:t>
            </w:r>
          </w:p>
        </w:tc>
        <w:tc>
          <w:tcPr>
            <w:tcW w:w="1040" w:type="dxa"/>
            <w:vAlign w:val="bottom"/>
          </w:tcPr>
          <w:p>
            <w:pPr>
              <w:jc w:val="center"/>
              <w:spacing w:after="0"/>
              <w:rPr>
                <w:sz w:val="20"/>
                <w:szCs w:val="20"/>
                <w:color w:val="auto"/>
              </w:rPr>
            </w:pPr>
            <w:r>
              <w:rPr>
                <w:rFonts w:ascii="Verdana" w:cs="Verdana" w:eastAsia="Verdana" w:hAnsi="Verdana"/>
                <w:sz w:val="14"/>
                <w:szCs w:val="14"/>
                <w:color w:val="auto"/>
              </w:rPr>
              <w:t>1.23</w:t>
            </w:r>
          </w:p>
        </w:tc>
        <w:tc>
          <w:tcPr>
            <w:tcW w:w="1000" w:type="dxa"/>
            <w:vAlign w:val="bottom"/>
          </w:tcPr>
          <w:p>
            <w:pPr>
              <w:jc w:val="center"/>
              <w:spacing w:after="0"/>
              <w:rPr>
                <w:sz w:val="20"/>
                <w:szCs w:val="20"/>
                <w:color w:val="auto"/>
              </w:rPr>
            </w:pPr>
            <w:r>
              <w:rPr>
                <w:rFonts w:ascii="Verdana" w:cs="Verdana" w:eastAsia="Verdana" w:hAnsi="Verdana"/>
                <w:sz w:val="14"/>
                <w:szCs w:val="14"/>
                <w:color w:val="auto"/>
                <w:w w:val="88"/>
              </w:rPr>
              <w:t>$</w:t>
            </w:r>
          </w:p>
        </w:tc>
        <w:tc>
          <w:tcPr>
            <w:tcW w:w="940" w:type="dxa"/>
            <w:vAlign w:val="bottom"/>
            <w:gridSpan w:val="2"/>
          </w:tcPr>
          <w:p>
            <w:pPr>
              <w:jc w:val="center"/>
              <w:ind w:left="28"/>
              <w:spacing w:after="0"/>
              <w:rPr>
                <w:sz w:val="20"/>
                <w:szCs w:val="20"/>
                <w:color w:val="auto"/>
              </w:rPr>
            </w:pPr>
            <w:r>
              <w:rPr>
                <w:rFonts w:ascii="Verdana" w:cs="Verdana" w:eastAsia="Verdana" w:hAnsi="Verdana"/>
                <w:sz w:val="14"/>
                <w:szCs w:val="14"/>
                <w:color w:val="auto"/>
              </w:rPr>
              <w:t>1.31</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880" w:type="dxa"/>
            <w:vAlign w:val="bottom"/>
          </w:tcPr>
          <w:p>
            <w:pPr>
              <w:spacing w:after="0"/>
              <w:rPr>
                <w:sz w:val="16"/>
                <w:szCs w:val="16"/>
                <w:color w:val="auto"/>
              </w:rPr>
            </w:pPr>
          </w:p>
        </w:tc>
        <w:tc>
          <w:tcPr>
            <w:tcW w:w="4740" w:type="dxa"/>
            <w:vAlign w:val="bottom"/>
            <w:gridSpan w:val="2"/>
          </w:tcPr>
          <w:p>
            <w:pPr>
              <w:ind w:left="200"/>
              <w:spacing w:after="0"/>
              <w:rPr>
                <w:sz w:val="20"/>
                <w:szCs w:val="20"/>
                <w:color w:val="auto"/>
              </w:rPr>
            </w:pPr>
            <w:r>
              <w:rPr>
                <w:rFonts w:ascii="Verdana" w:cs="Verdana" w:eastAsia="Verdana" w:hAnsi="Verdana"/>
                <w:sz w:val="14"/>
                <w:szCs w:val="14"/>
                <w:color w:val="auto"/>
              </w:rPr>
              <w:t>Diluted</w:t>
            </w:r>
          </w:p>
        </w:tc>
        <w:tc>
          <w:tcPr>
            <w:tcW w:w="1260" w:type="dxa"/>
            <w:vAlign w:val="bottom"/>
          </w:tcPr>
          <w:p>
            <w:pPr>
              <w:jc w:val="right"/>
              <w:ind w:right="368"/>
              <w:spacing w:after="0"/>
              <w:rPr>
                <w:sz w:val="20"/>
                <w:szCs w:val="20"/>
                <w:color w:val="auto"/>
              </w:rPr>
            </w:pPr>
            <w:r>
              <w:rPr>
                <w:rFonts w:ascii="Verdana" w:cs="Verdana" w:eastAsia="Verdana" w:hAnsi="Verdana"/>
                <w:sz w:val="14"/>
                <w:szCs w:val="14"/>
                <w:color w:val="auto"/>
              </w:rPr>
              <w:t>$</w:t>
            </w:r>
          </w:p>
        </w:tc>
        <w:tc>
          <w:tcPr>
            <w:tcW w:w="1040" w:type="dxa"/>
            <w:vAlign w:val="bottom"/>
          </w:tcPr>
          <w:p>
            <w:pPr>
              <w:jc w:val="center"/>
              <w:spacing w:after="0"/>
              <w:rPr>
                <w:sz w:val="20"/>
                <w:szCs w:val="20"/>
                <w:color w:val="auto"/>
              </w:rPr>
            </w:pPr>
            <w:r>
              <w:rPr>
                <w:rFonts w:ascii="Verdana" w:cs="Verdana" w:eastAsia="Verdana" w:hAnsi="Verdana"/>
                <w:sz w:val="14"/>
                <w:szCs w:val="14"/>
                <w:color w:val="auto"/>
              </w:rPr>
              <w:t>1.22</w:t>
            </w:r>
          </w:p>
        </w:tc>
        <w:tc>
          <w:tcPr>
            <w:tcW w:w="1000" w:type="dxa"/>
            <w:vAlign w:val="bottom"/>
          </w:tcPr>
          <w:p>
            <w:pPr>
              <w:jc w:val="center"/>
              <w:spacing w:after="0"/>
              <w:rPr>
                <w:sz w:val="20"/>
                <w:szCs w:val="20"/>
                <w:color w:val="auto"/>
              </w:rPr>
            </w:pPr>
            <w:r>
              <w:rPr>
                <w:rFonts w:ascii="Verdana" w:cs="Verdana" w:eastAsia="Verdana" w:hAnsi="Verdana"/>
                <w:sz w:val="14"/>
                <w:szCs w:val="14"/>
                <w:color w:val="auto"/>
                <w:w w:val="88"/>
              </w:rPr>
              <w:t>$</w:t>
            </w:r>
          </w:p>
        </w:tc>
        <w:tc>
          <w:tcPr>
            <w:tcW w:w="940" w:type="dxa"/>
            <w:vAlign w:val="bottom"/>
            <w:gridSpan w:val="2"/>
          </w:tcPr>
          <w:p>
            <w:pPr>
              <w:jc w:val="center"/>
              <w:ind w:left="28"/>
              <w:spacing w:after="0"/>
              <w:rPr>
                <w:sz w:val="20"/>
                <w:szCs w:val="20"/>
                <w:color w:val="auto"/>
              </w:rPr>
            </w:pPr>
            <w:r>
              <w:rPr>
                <w:rFonts w:ascii="Verdana" w:cs="Verdana" w:eastAsia="Verdana" w:hAnsi="Verdana"/>
                <w:sz w:val="14"/>
                <w:szCs w:val="14"/>
                <w:color w:val="auto"/>
              </w:rPr>
              <w:t>1.31</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40"/>
        </w:trPr>
        <w:tc>
          <w:tcPr>
            <w:tcW w:w="5620" w:type="dxa"/>
            <w:vAlign w:val="bottom"/>
            <w:gridSpan w:val="3"/>
          </w:tcPr>
          <w:p>
            <w:pPr>
              <w:ind w:left="880"/>
              <w:spacing w:after="0"/>
              <w:rPr>
                <w:sz w:val="20"/>
                <w:szCs w:val="20"/>
                <w:color w:val="auto"/>
              </w:rPr>
            </w:pPr>
            <w:r>
              <w:rPr>
                <w:rFonts w:ascii="Verdana" w:cs="Verdana" w:eastAsia="Verdana" w:hAnsi="Verdana"/>
                <w:sz w:val="14"/>
                <w:szCs w:val="14"/>
                <w:color w:val="auto"/>
              </w:rPr>
              <w:t>Weighted average shares outstanding (in thousands):</w:t>
            </w: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880" w:type="dxa"/>
            <w:vAlign w:val="bottom"/>
          </w:tcPr>
          <w:p>
            <w:pPr>
              <w:spacing w:after="0"/>
              <w:rPr>
                <w:sz w:val="15"/>
                <w:szCs w:val="15"/>
                <w:color w:val="auto"/>
              </w:rPr>
            </w:pPr>
          </w:p>
        </w:tc>
        <w:tc>
          <w:tcPr>
            <w:tcW w:w="4740" w:type="dxa"/>
            <w:vAlign w:val="bottom"/>
            <w:gridSpan w:val="2"/>
          </w:tcPr>
          <w:p>
            <w:pPr>
              <w:ind w:left="200"/>
              <w:spacing w:after="0"/>
              <w:rPr>
                <w:sz w:val="20"/>
                <w:szCs w:val="20"/>
                <w:color w:val="auto"/>
              </w:rPr>
            </w:pPr>
            <w:r>
              <w:rPr>
                <w:rFonts w:ascii="Verdana" w:cs="Verdana" w:eastAsia="Verdana" w:hAnsi="Verdana"/>
                <w:sz w:val="14"/>
                <w:szCs w:val="14"/>
                <w:color w:val="auto"/>
              </w:rPr>
              <w:t>Basic</w:t>
            </w: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rPr>
              <w:t>24,776</w:t>
            </w:r>
          </w:p>
        </w:tc>
        <w:tc>
          <w:tcPr>
            <w:tcW w:w="1000" w:type="dxa"/>
            <w:vAlign w:val="bottom"/>
          </w:tcPr>
          <w:p>
            <w:pPr>
              <w:spacing w:after="0"/>
              <w:rPr>
                <w:sz w:val="15"/>
                <w:szCs w:val="15"/>
                <w:color w:val="auto"/>
              </w:rPr>
            </w:pPr>
          </w:p>
        </w:tc>
        <w:tc>
          <w:tcPr>
            <w:tcW w:w="940" w:type="dxa"/>
            <w:vAlign w:val="bottom"/>
            <w:gridSpan w:val="2"/>
          </w:tcPr>
          <w:p>
            <w:pPr>
              <w:jc w:val="center"/>
              <w:ind w:left="8"/>
              <w:spacing w:after="0"/>
              <w:rPr>
                <w:sz w:val="20"/>
                <w:szCs w:val="20"/>
                <w:color w:val="auto"/>
              </w:rPr>
            </w:pPr>
            <w:r>
              <w:rPr>
                <w:rFonts w:ascii="Verdana" w:cs="Verdana" w:eastAsia="Verdana" w:hAnsi="Verdana"/>
                <w:sz w:val="14"/>
                <w:szCs w:val="14"/>
                <w:color w:val="auto"/>
              </w:rPr>
              <w:t>24,970</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880" w:type="dxa"/>
            <w:vAlign w:val="bottom"/>
          </w:tcPr>
          <w:p>
            <w:pPr>
              <w:spacing w:after="0"/>
              <w:rPr>
                <w:sz w:val="16"/>
                <w:szCs w:val="16"/>
                <w:color w:val="auto"/>
              </w:rPr>
            </w:pPr>
          </w:p>
        </w:tc>
        <w:tc>
          <w:tcPr>
            <w:tcW w:w="4740" w:type="dxa"/>
            <w:vAlign w:val="bottom"/>
            <w:gridSpan w:val="2"/>
          </w:tcPr>
          <w:p>
            <w:pPr>
              <w:ind w:left="200"/>
              <w:spacing w:after="0"/>
              <w:rPr>
                <w:sz w:val="20"/>
                <w:szCs w:val="20"/>
                <w:color w:val="auto"/>
              </w:rPr>
            </w:pPr>
            <w:r>
              <w:rPr>
                <w:rFonts w:ascii="Verdana" w:cs="Verdana" w:eastAsia="Verdana" w:hAnsi="Verdana"/>
                <w:sz w:val="14"/>
                <w:szCs w:val="14"/>
                <w:color w:val="auto"/>
              </w:rPr>
              <w:t>Diluted</w:t>
            </w:r>
          </w:p>
        </w:tc>
        <w:tc>
          <w:tcPr>
            <w:tcW w:w="1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Verdana" w:cs="Verdana" w:eastAsia="Verdana" w:hAnsi="Verdana"/>
                <w:sz w:val="14"/>
                <w:szCs w:val="14"/>
                <w:color w:val="auto"/>
              </w:rPr>
              <w:t>24,844</w:t>
            </w:r>
          </w:p>
        </w:tc>
        <w:tc>
          <w:tcPr>
            <w:tcW w:w="1000" w:type="dxa"/>
            <w:vAlign w:val="bottom"/>
          </w:tcPr>
          <w:p>
            <w:pPr>
              <w:spacing w:after="0"/>
              <w:rPr>
                <w:sz w:val="16"/>
                <w:szCs w:val="16"/>
                <w:color w:val="auto"/>
              </w:rPr>
            </w:pPr>
          </w:p>
        </w:tc>
        <w:tc>
          <w:tcPr>
            <w:tcW w:w="940" w:type="dxa"/>
            <w:vAlign w:val="bottom"/>
            <w:gridSpan w:val="2"/>
          </w:tcPr>
          <w:p>
            <w:pPr>
              <w:jc w:val="center"/>
              <w:ind w:left="8"/>
              <w:spacing w:after="0"/>
              <w:rPr>
                <w:sz w:val="20"/>
                <w:szCs w:val="20"/>
                <w:color w:val="auto"/>
              </w:rPr>
            </w:pPr>
            <w:r>
              <w:rPr>
                <w:rFonts w:ascii="Verdana" w:cs="Verdana" w:eastAsia="Verdana" w:hAnsi="Verdana"/>
                <w:sz w:val="14"/>
                <w:szCs w:val="14"/>
                <w:color w:val="auto"/>
              </w:rPr>
              <w:t>25,102</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422"/>
        </w:trPr>
        <w:tc>
          <w:tcPr>
            <w:tcW w:w="8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439" w:right="57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187"/>
        </w:trPr>
        <w:tc>
          <w:tcPr>
            <w:tcW w:w="980" w:type="dxa"/>
            <w:vAlign w:val="bottom"/>
          </w:tcPr>
          <w:p>
            <w:pPr>
              <w:spacing w:after="0"/>
              <w:rPr>
                <w:sz w:val="16"/>
                <w:szCs w:val="16"/>
                <w:color w:val="auto"/>
              </w:rPr>
            </w:pPr>
          </w:p>
        </w:tc>
        <w:tc>
          <w:tcPr>
            <w:tcW w:w="5440" w:type="dxa"/>
            <w:vAlign w:val="bottom"/>
            <w:gridSpan w:val="2"/>
          </w:tcPr>
          <w:p>
            <w:pPr>
              <w:jc w:val="right"/>
              <w:ind w:right="408"/>
              <w:spacing w:after="0"/>
              <w:rPr>
                <w:sz w:val="20"/>
                <w:szCs w:val="20"/>
                <w:color w:val="auto"/>
              </w:rPr>
            </w:pPr>
            <w:r>
              <w:rPr>
                <w:rFonts w:ascii="Verdana" w:cs="Verdana" w:eastAsia="Verdana" w:hAnsi="Verdana"/>
                <w:sz w:val="14"/>
                <w:szCs w:val="14"/>
                <w:b w:val="1"/>
                <w:bCs w:val="1"/>
                <w:color w:val="auto"/>
              </w:rPr>
              <w:t>INNOSPEC INC. AND SUBSIDIARIES</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51"/>
        </w:trPr>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Verdana" w:cs="Verdana" w:eastAsia="Verdana" w:hAnsi="Verdana"/>
                <w:sz w:val="14"/>
                <w:szCs w:val="14"/>
                <w:color w:val="auto"/>
              </w:rPr>
              <w:t>Schedule 2A</w:t>
            </w:r>
          </w:p>
        </w:tc>
      </w:tr>
      <w:tr>
        <w:trPr>
          <w:trHeight w:val="340"/>
        </w:trPr>
        <w:tc>
          <w:tcPr>
            <w:tcW w:w="4820" w:type="dxa"/>
            <w:vAlign w:val="bottom"/>
            <w:gridSpan w:val="2"/>
          </w:tcPr>
          <w:p>
            <w:pPr>
              <w:spacing w:after="0"/>
              <w:rPr>
                <w:sz w:val="20"/>
                <w:szCs w:val="20"/>
                <w:color w:val="auto"/>
              </w:rPr>
            </w:pPr>
            <w:r>
              <w:rPr>
                <w:rFonts w:ascii="Verdana" w:cs="Verdana" w:eastAsia="Verdana" w:hAnsi="Verdana"/>
                <w:sz w:val="14"/>
                <w:szCs w:val="14"/>
                <w:b w:val="1"/>
                <w:bCs w:val="1"/>
                <w:i w:val="1"/>
                <w:iCs w:val="1"/>
                <w:color w:val="auto"/>
              </w:rPr>
              <w:t>SEGMENTAL ANALYSIS OF RESULTS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center"/>
              <w:ind w:right="220"/>
              <w:spacing w:after="0"/>
              <w:rPr>
                <w:sz w:val="20"/>
                <w:szCs w:val="20"/>
                <w:color w:val="auto"/>
              </w:rPr>
            </w:pPr>
            <w:r>
              <w:rPr>
                <w:rFonts w:ascii="Verdana" w:cs="Verdana" w:eastAsia="Verdana" w:hAnsi="Verdana"/>
                <w:sz w:val="14"/>
                <w:szCs w:val="14"/>
                <w:b w:val="1"/>
                <w:bCs w:val="1"/>
                <w:color w:val="auto"/>
              </w:rPr>
              <w:t>Three Months Ended</w:t>
            </w:r>
          </w:p>
        </w:tc>
      </w:tr>
      <w:tr>
        <w:trPr>
          <w:trHeight w:val="172"/>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880"/>
              <w:spacing w:after="0"/>
              <w:rPr>
                <w:sz w:val="20"/>
                <w:szCs w:val="20"/>
                <w:color w:val="auto"/>
              </w:rPr>
            </w:pPr>
            <w:r>
              <w:rPr>
                <w:rFonts w:ascii="Verdana" w:cs="Verdana" w:eastAsia="Verdana" w:hAnsi="Verdana"/>
                <w:sz w:val="14"/>
                <w:szCs w:val="14"/>
                <w:b w:val="1"/>
                <w:bCs w:val="1"/>
                <w:color w:val="auto"/>
              </w:rPr>
              <w:t>March 31</w:t>
            </w:r>
          </w:p>
        </w:tc>
      </w:tr>
      <w:tr>
        <w:trPr>
          <w:trHeight w:val="176"/>
        </w:trPr>
        <w:tc>
          <w:tcPr>
            <w:tcW w:w="4820" w:type="dxa"/>
            <w:vAlign w:val="bottom"/>
            <w:gridSpan w:val="2"/>
          </w:tcPr>
          <w:p>
            <w:pPr>
              <w:spacing w:after="0" w:line="156" w:lineRule="exact"/>
              <w:rPr>
                <w:sz w:val="20"/>
                <w:szCs w:val="20"/>
                <w:color w:val="auto"/>
              </w:rPr>
            </w:pPr>
            <w:r>
              <w:rPr>
                <w:rFonts w:ascii="Verdana" w:cs="Verdana" w:eastAsia="Verdana" w:hAnsi="Verdana"/>
                <w:sz w:val="14"/>
                <w:szCs w:val="14"/>
                <w:b w:val="1"/>
                <w:bCs w:val="1"/>
                <w:color w:val="auto"/>
              </w:rPr>
              <w:t>(in millions)</w:t>
            </w:r>
          </w:p>
        </w:tc>
        <w:tc>
          <w:tcPr>
            <w:tcW w:w="1600" w:type="dxa"/>
            <w:vAlign w:val="bottom"/>
          </w:tcPr>
          <w:p>
            <w:pPr>
              <w:spacing w:after="0"/>
              <w:rPr>
                <w:sz w:val="15"/>
                <w:szCs w:val="15"/>
                <w:color w:val="auto"/>
              </w:rPr>
            </w:pPr>
          </w:p>
        </w:tc>
        <w:tc>
          <w:tcPr>
            <w:tcW w:w="680" w:type="dxa"/>
            <w:vAlign w:val="bottom"/>
            <w:gridSpan w:val="2"/>
          </w:tcPr>
          <w:p>
            <w:pPr>
              <w:jc w:val="center"/>
              <w:spacing w:after="0" w:line="156" w:lineRule="exact"/>
              <w:rPr>
                <w:sz w:val="20"/>
                <w:szCs w:val="20"/>
                <w:color w:val="auto"/>
              </w:rPr>
            </w:pPr>
            <w:r>
              <w:rPr>
                <w:rFonts w:ascii="Verdana" w:cs="Verdana" w:eastAsia="Verdana" w:hAnsi="Verdana"/>
                <w:sz w:val="14"/>
                <w:szCs w:val="14"/>
                <w:b w:val="1"/>
                <w:bCs w:val="1"/>
                <w:color w:val="auto"/>
              </w:rPr>
              <w:t>2026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08"/>
              <w:spacing w:after="0" w:line="156" w:lineRule="exact"/>
              <w:rPr>
                <w:sz w:val="20"/>
                <w:szCs w:val="20"/>
                <w:color w:val="auto"/>
              </w:rPr>
            </w:pPr>
            <w:r>
              <w:rPr>
                <w:rFonts w:ascii="Verdana" w:cs="Verdana" w:eastAsia="Verdana" w:hAnsi="Verdana"/>
                <w:sz w:val="14"/>
                <w:szCs w:val="14"/>
                <w:b w:val="1"/>
                <w:bCs w:val="1"/>
                <w:color w:val="auto"/>
              </w:rPr>
              <w:t>2025</w:t>
            </w:r>
          </w:p>
        </w:tc>
      </w:tr>
      <w:tr>
        <w:trPr>
          <w:trHeight w:val="342"/>
        </w:trPr>
        <w:tc>
          <w:tcPr>
            <w:tcW w:w="980" w:type="dxa"/>
            <w:vAlign w:val="bottom"/>
            <w:tcBorders>
              <w:top w:val="single" w:sz="8" w:color="auto"/>
            </w:tcBorders>
          </w:tcPr>
          <w:p>
            <w:pPr>
              <w:spacing w:after="0"/>
              <w:rPr>
                <w:sz w:val="20"/>
                <w:szCs w:val="20"/>
                <w:color w:val="auto"/>
              </w:rPr>
            </w:pPr>
            <w:r>
              <w:rPr>
                <w:rFonts w:ascii="Verdana" w:cs="Verdana" w:eastAsia="Verdana" w:hAnsi="Verdana"/>
                <w:sz w:val="14"/>
                <w:szCs w:val="14"/>
                <w:color w:val="auto"/>
              </w:rPr>
              <w:t>Net sales:</w:t>
            </w: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176"/>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Performance Chemicals</w:t>
            </w:r>
          </w:p>
        </w:tc>
        <w:tc>
          <w:tcPr>
            <w:tcW w:w="1600" w:type="dxa"/>
            <w:vAlign w:val="bottom"/>
          </w:tcPr>
          <w:p>
            <w:pPr>
              <w:jc w:val="right"/>
              <w:ind w:right="368"/>
              <w:spacing w:after="0"/>
              <w:rPr>
                <w:sz w:val="20"/>
                <w:szCs w:val="20"/>
                <w:color w:val="auto"/>
              </w:rPr>
            </w:pPr>
            <w:r>
              <w:rPr>
                <w:rFonts w:ascii="Verdana" w:cs="Verdana" w:eastAsia="Verdana" w:hAnsi="Verdana"/>
                <w:sz w:val="14"/>
                <w:szCs w:val="14"/>
                <w:color w:val="auto"/>
              </w:rPr>
              <w:t>$</w:t>
            </w: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169.4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780" w:type="dxa"/>
            <w:vAlign w:val="bottom"/>
            <w:gridSpan w:val="3"/>
          </w:tcPr>
          <w:p>
            <w:pPr>
              <w:jc w:val="center"/>
              <w:ind w:left="728"/>
              <w:spacing w:after="0"/>
              <w:rPr>
                <w:sz w:val="20"/>
                <w:szCs w:val="20"/>
                <w:color w:val="auto"/>
              </w:rPr>
            </w:pPr>
            <w:r>
              <w:rPr>
                <w:rFonts w:ascii="Verdana" w:cs="Verdana" w:eastAsia="Verdana" w:hAnsi="Verdana"/>
                <w:sz w:val="14"/>
                <w:szCs w:val="14"/>
                <w:color w:val="auto"/>
              </w:rPr>
              <w:t>168.4</w:t>
            </w:r>
          </w:p>
        </w:tc>
      </w:tr>
      <w:tr>
        <w:trPr>
          <w:trHeight w:val="175"/>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Fuel Specialties</w:t>
            </w:r>
          </w:p>
        </w:tc>
        <w:tc>
          <w:tcPr>
            <w:tcW w:w="16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181.6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28"/>
              <w:spacing w:after="0"/>
              <w:rPr>
                <w:sz w:val="20"/>
                <w:szCs w:val="20"/>
                <w:color w:val="auto"/>
              </w:rPr>
            </w:pPr>
            <w:r>
              <w:rPr>
                <w:rFonts w:ascii="Verdana" w:cs="Verdana" w:eastAsia="Verdana" w:hAnsi="Verdana"/>
                <w:sz w:val="14"/>
                <w:szCs w:val="14"/>
                <w:color w:val="auto"/>
              </w:rPr>
              <w:t>170.3</w:t>
            </w:r>
          </w:p>
        </w:tc>
      </w:tr>
      <w:tr>
        <w:trPr>
          <w:trHeight w:val="172"/>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Oilfield Services</w:t>
            </w:r>
          </w:p>
        </w:tc>
        <w:tc>
          <w:tcPr>
            <w:tcW w:w="16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rPr>
              <w:t>102.2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rPr>
              <w:t>102.1</w:t>
            </w:r>
          </w:p>
        </w:tc>
      </w:tr>
      <w:tr>
        <w:trPr>
          <w:trHeight w:val="176"/>
        </w:trPr>
        <w:tc>
          <w:tcPr>
            <w:tcW w:w="9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gridSpan w:val="2"/>
          </w:tcPr>
          <w:p>
            <w:pPr>
              <w:jc w:val="center"/>
              <w:spacing w:after="0" w:line="169" w:lineRule="exact"/>
              <w:rPr>
                <w:sz w:val="20"/>
                <w:szCs w:val="20"/>
                <w:color w:val="auto"/>
              </w:rPr>
            </w:pPr>
            <w:r>
              <w:rPr>
                <w:rFonts w:ascii="Verdana" w:cs="Verdana" w:eastAsia="Verdana" w:hAnsi="Verdana"/>
                <w:sz w:val="14"/>
                <w:szCs w:val="14"/>
                <w:color w:val="auto"/>
              </w:rPr>
              <w:t>453.2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28"/>
              <w:spacing w:after="0" w:line="169" w:lineRule="exact"/>
              <w:rPr>
                <w:sz w:val="20"/>
                <w:szCs w:val="20"/>
                <w:color w:val="auto"/>
              </w:rPr>
            </w:pPr>
            <w:r>
              <w:rPr>
                <w:rFonts w:ascii="Verdana" w:cs="Verdana" w:eastAsia="Verdana" w:hAnsi="Verdana"/>
                <w:sz w:val="14"/>
                <w:szCs w:val="14"/>
                <w:color w:val="auto"/>
              </w:rPr>
              <w:t>440.8</w:t>
            </w:r>
          </w:p>
        </w:tc>
      </w:tr>
      <w:tr>
        <w:trPr>
          <w:trHeight w:val="355"/>
        </w:trPr>
        <w:tc>
          <w:tcPr>
            <w:tcW w:w="4820" w:type="dxa"/>
            <w:vAlign w:val="bottom"/>
            <w:gridSpan w:val="2"/>
          </w:tcPr>
          <w:p>
            <w:pPr>
              <w:spacing w:after="0"/>
              <w:rPr>
                <w:sz w:val="20"/>
                <w:szCs w:val="20"/>
                <w:color w:val="auto"/>
              </w:rPr>
            </w:pPr>
            <w:r>
              <w:rPr>
                <w:rFonts w:ascii="Verdana" w:cs="Verdana" w:eastAsia="Verdana" w:hAnsi="Verdana"/>
                <w:sz w:val="14"/>
                <w:szCs w:val="14"/>
                <w:color w:val="auto"/>
              </w:rPr>
              <w:t>Gross profit:</w:t>
            </w:r>
          </w:p>
        </w:tc>
        <w:tc>
          <w:tcPr>
            <w:tcW w:w="16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176"/>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Performance Chemicals</w:t>
            </w:r>
          </w:p>
        </w:tc>
        <w:tc>
          <w:tcPr>
            <w:tcW w:w="16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28.4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35.3</w:t>
            </w:r>
          </w:p>
        </w:tc>
      </w:tr>
      <w:tr>
        <w:trPr>
          <w:trHeight w:val="175"/>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Fuel Specialties</w:t>
            </w:r>
          </w:p>
        </w:tc>
        <w:tc>
          <w:tcPr>
            <w:tcW w:w="16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64.3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60.8</w:t>
            </w:r>
          </w:p>
        </w:tc>
      </w:tr>
      <w:tr>
        <w:trPr>
          <w:trHeight w:val="172"/>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Oilfield Services</w:t>
            </w:r>
          </w:p>
        </w:tc>
        <w:tc>
          <w:tcPr>
            <w:tcW w:w="16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rPr>
              <w:t>30.8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rPr>
              <w:t>29.0</w:t>
            </w:r>
          </w:p>
        </w:tc>
      </w:tr>
      <w:tr>
        <w:trPr>
          <w:trHeight w:val="176"/>
        </w:trPr>
        <w:tc>
          <w:tcPr>
            <w:tcW w:w="9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680" w:type="dxa"/>
            <w:vAlign w:val="bottom"/>
            <w:gridSpan w:val="2"/>
          </w:tcPr>
          <w:p>
            <w:pPr>
              <w:jc w:val="center"/>
              <w:spacing w:after="0" w:line="169" w:lineRule="exact"/>
              <w:rPr>
                <w:sz w:val="20"/>
                <w:szCs w:val="20"/>
                <w:color w:val="auto"/>
              </w:rPr>
            </w:pPr>
            <w:r>
              <w:rPr>
                <w:rFonts w:ascii="Verdana" w:cs="Verdana" w:eastAsia="Verdana" w:hAnsi="Verdana"/>
                <w:sz w:val="14"/>
                <w:szCs w:val="14"/>
                <w:color w:val="auto"/>
              </w:rPr>
              <w:t>123.5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28"/>
              <w:spacing w:after="0" w:line="169" w:lineRule="exact"/>
              <w:rPr>
                <w:sz w:val="20"/>
                <w:szCs w:val="20"/>
                <w:color w:val="auto"/>
              </w:rPr>
            </w:pPr>
            <w:r>
              <w:rPr>
                <w:rFonts w:ascii="Verdana" w:cs="Verdana" w:eastAsia="Verdana" w:hAnsi="Verdana"/>
                <w:sz w:val="14"/>
                <w:szCs w:val="14"/>
                <w:color w:val="auto"/>
              </w:rPr>
              <w:t>125.1</w:t>
            </w:r>
          </w:p>
        </w:tc>
      </w:tr>
      <w:tr>
        <w:trPr>
          <w:trHeight w:val="355"/>
        </w:trPr>
        <w:tc>
          <w:tcPr>
            <w:tcW w:w="4820" w:type="dxa"/>
            <w:vAlign w:val="bottom"/>
            <w:gridSpan w:val="2"/>
          </w:tcPr>
          <w:p>
            <w:pPr>
              <w:spacing w:after="0"/>
              <w:rPr>
                <w:sz w:val="20"/>
                <w:szCs w:val="20"/>
                <w:color w:val="auto"/>
              </w:rPr>
            </w:pPr>
            <w:r>
              <w:rPr>
                <w:rFonts w:ascii="Verdana" w:cs="Verdana" w:eastAsia="Verdana" w:hAnsi="Verdana"/>
                <w:sz w:val="14"/>
                <w:szCs w:val="14"/>
                <w:color w:val="auto"/>
              </w:rPr>
              <w:t>Operating income:</w:t>
            </w:r>
          </w:p>
        </w:tc>
        <w:tc>
          <w:tcPr>
            <w:tcW w:w="16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r>
        <w:trPr>
          <w:trHeight w:val="176"/>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Performance Chemicals</w:t>
            </w:r>
          </w:p>
        </w:tc>
        <w:tc>
          <w:tcPr>
            <w:tcW w:w="16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10.7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19.8</w:t>
            </w:r>
          </w:p>
        </w:tc>
      </w:tr>
      <w:tr>
        <w:trPr>
          <w:trHeight w:val="175"/>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Fuel Specialties</w:t>
            </w:r>
          </w:p>
        </w:tc>
        <w:tc>
          <w:tcPr>
            <w:tcW w:w="16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37.8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36.9</w:t>
            </w:r>
          </w:p>
        </w:tc>
      </w:tr>
      <w:tr>
        <w:trPr>
          <w:trHeight w:val="176"/>
        </w:trPr>
        <w:tc>
          <w:tcPr>
            <w:tcW w:w="4820" w:type="dxa"/>
            <w:vAlign w:val="bottom"/>
            <w:gridSpan w:val="2"/>
          </w:tcPr>
          <w:p>
            <w:pPr>
              <w:ind w:left="240"/>
              <w:spacing w:after="0"/>
              <w:rPr>
                <w:sz w:val="20"/>
                <w:szCs w:val="20"/>
                <w:color w:val="auto"/>
              </w:rPr>
            </w:pPr>
            <w:r>
              <w:rPr>
                <w:rFonts w:ascii="Verdana" w:cs="Verdana" w:eastAsia="Verdana" w:hAnsi="Verdana"/>
                <w:sz w:val="14"/>
                <w:szCs w:val="14"/>
                <w:color w:val="auto"/>
              </w:rPr>
              <w:t>Oilfield Services</w:t>
            </w:r>
          </w:p>
        </w:tc>
        <w:tc>
          <w:tcPr>
            <w:tcW w:w="1600" w:type="dxa"/>
            <w:vAlign w:val="bottom"/>
          </w:tcPr>
          <w:p>
            <w:pPr>
              <w:spacing w:after="0"/>
              <w:rPr>
                <w:sz w:val="15"/>
                <w:szCs w:val="15"/>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4.1</w:t>
            </w:r>
          </w:p>
        </w:tc>
      </w:tr>
      <w:tr>
        <w:trPr>
          <w:trHeight w:val="172"/>
        </w:trPr>
        <w:tc>
          <w:tcPr>
            <w:tcW w:w="4820" w:type="dxa"/>
            <w:vAlign w:val="bottom"/>
            <w:gridSpan w:val="2"/>
          </w:tcPr>
          <w:p>
            <w:pPr>
              <w:spacing w:after="0"/>
              <w:rPr>
                <w:sz w:val="20"/>
                <w:szCs w:val="20"/>
                <w:color w:val="auto"/>
              </w:rPr>
            </w:pPr>
            <w:r>
              <w:rPr>
                <w:rFonts w:ascii="Verdana" w:cs="Verdana" w:eastAsia="Verdana" w:hAnsi="Verdana"/>
                <w:sz w:val="14"/>
                <w:szCs w:val="14"/>
                <w:color w:val="auto"/>
              </w:rPr>
              <w:t>Corporate costs</w:t>
            </w:r>
          </w:p>
        </w:tc>
        <w:tc>
          <w:tcPr>
            <w:tcW w:w="160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rPr>
              <w:t>(22.3)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rPr>
              <w:t>(17.7)</w:t>
            </w:r>
          </w:p>
        </w:tc>
      </w:tr>
      <w:tr>
        <w:trPr>
          <w:trHeight w:val="184"/>
        </w:trPr>
        <w:tc>
          <w:tcPr>
            <w:tcW w:w="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31.8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43.1</w:t>
            </w:r>
          </w:p>
        </w:tc>
      </w:tr>
      <w:tr>
        <w:trPr>
          <w:trHeight w:val="205"/>
        </w:trPr>
        <w:tc>
          <w:tcPr>
            <w:tcW w:w="4820" w:type="dxa"/>
            <w:vAlign w:val="bottom"/>
            <w:gridSpan w:val="2"/>
          </w:tcPr>
          <w:p>
            <w:pPr>
              <w:spacing w:after="0"/>
              <w:rPr>
                <w:sz w:val="20"/>
                <w:szCs w:val="20"/>
                <w:color w:val="auto"/>
              </w:rPr>
            </w:pPr>
            <w:r>
              <w:rPr>
                <w:rFonts w:ascii="Verdana" w:cs="Verdana" w:eastAsia="Verdana" w:hAnsi="Verdana"/>
                <w:sz w:val="14"/>
                <w:szCs w:val="14"/>
                <w:color w:val="auto"/>
              </w:rPr>
              <w:t>Adjustment to fair value of contingent consideration</w:t>
            </w:r>
          </w:p>
        </w:tc>
        <w:tc>
          <w:tcPr>
            <w:tcW w:w="1600" w:type="dxa"/>
            <w:vAlign w:val="bottom"/>
          </w:tcPr>
          <w:p>
            <w:pPr>
              <w:spacing w:after="0"/>
              <w:rPr>
                <w:sz w:val="17"/>
                <w:szCs w:val="17"/>
                <w:color w:val="auto"/>
              </w:rPr>
            </w:pP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4.7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(0.7)</w:t>
            </w:r>
          </w:p>
        </w:tc>
      </w:tr>
      <w:tr>
        <w:trPr>
          <w:trHeight w:val="192"/>
        </w:trPr>
        <w:tc>
          <w:tcPr>
            <w:tcW w:w="4820" w:type="dxa"/>
            <w:vAlign w:val="bottom"/>
            <w:gridSpan w:val="2"/>
          </w:tcPr>
          <w:p>
            <w:pPr>
              <w:spacing w:after="0"/>
              <w:rPr>
                <w:sz w:val="20"/>
                <w:szCs w:val="20"/>
                <w:color w:val="auto"/>
              </w:rPr>
            </w:pPr>
            <w:r>
              <w:rPr>
                <w:rFonts w:ascii="Verdana" w:cs="Verdana" w:eastAsia="Verdana" w:hAnsi="Verdana"/>
                <w:sz w:val="14"/>
                <w:szCs w:val="14"/>
                <w:color w:val="auto"/>
              </w:rPr>
              <w:t>Profit on disposal of property, plant and equipment</w:t>
            </w:r>
          </w:p>
        </w:tc>
        <w:tc>
          <w:tcPr>
            <w:tcW w:w="1600" w:type="dxa"/>
            <w:vAlign w:val="bottom"/>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w w:val="92"/>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Verdana" w:cs="Verdana" w:eastAsia="Verdana" w:hAnsi="Verdana"/>
                <w:sz w:val="14"/>
                <w:szCs w:val="14"/>
                <w:color w:val="auto"/>
              </w:rPr>
              <w:t>0.1</w:t>
            </w:r>
          </w:p>
        </w:tc>
      </w:tr>
      <w:tr>
        <w:trPr>
          <w:trHeight w:val="196"/>
        </w:trPr>
        <w:tc>
          <w:tcPr>
            <w:tcW w:w="4820" w:type="dxa"/>
            <w:vAlign w:val="bottom"/>
            <w:gridSpan w:val="2"/>
          </w:tcPr>
          <w:p>
            <w:pPr>
              <w:spacing w:after="0"/>
              <w:rPr>
                <w:sz w:val="20"/>
                <w:szCs w:val="20"/>
                <w:color w:val="auto"/>
              </w:rPr>
            </w:pPr>
            <w:r>
              <w:rPr>
                <w:rFonts w:ascii="Verdana" w:cs="Verdana" w:eastAsia="Verdana" w:hAnsi="Verdana"/>
                <w:sz w:val="14"/>
                <w:szCs w:val="14"/>
                <w:color w:val="auto"/>
              </w:rPr>
              <w:t>Total operating income</w:t>
            </w:r>
          </w:p>
        </w:tc>
        <w:tc>
          <w:tcPr>
            <w:tcW w:w="1600" w:type="dxa"/>
            <w:vAlign w:val="bottom"/>
          </w:tcPr>
          <w:p>
            <w:pPr>
              <w:jc w:val="right"/>
              <w:ind w:right="368"/>
              <w:spacing w:after="0"/>
              <w:rPr>
                <w:sz w:val="20"/>
                <w:szCs w:val="20"/>
                <w:color w:val="auto"/>
              </w:rPr>
            </w:pPr>
            <w:r>
              <w:rPr>
                <w:rFonts w:ascii="Verdana" w:cs="Verdana" w:eastAsia="Verdana" w:hAnsi="Verdana"/>
                <w:sz w:val="14"/>
                <w:szCs w:val="14"/>
                <w:color w:val="auto"/>
              </w:rPr>
              <w:t>$</w:t>
            </w:r>
          </w:p>
        </w:tc>
        <w:tc>
          <w:tcPr>
            <w:tcW w:w="680" w:type="dxa"/>
            <w:vAlign w:val="bottom"/>
            <w:gridSpan w:val="2"/>
          </w:tcPr>
          <w:p>
            <w:pPr>
              <w:jc w:val="center"/>
              <w:spacing w:after="0"/>
              <w:rPr>
                <w:sz w:val="20"/>
                <w:szCs w:val="20"/>
                <w:color w:val="auto"/>
              </w:rPr>
            </w:pPr>
            <w:r>
              <w:rPr>
                <w:rFonts w:ascii="Verdana" w:cs="Verdana" w:eastAsia="Verdana" w:hAnsi="Verdana"/>
                <w:sz w:val="14"/>
                <w:szCs w:val="14"/>
                <w:color w:val="auto"/>
              </w:rPr>
              <w:t>36.5</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Verdana" w:cs="Verdana" w:eastAsia="Verdana" w:hAnsi="Verdana"/>
                <w:sz w:val="14"/>
                <w:szCs w:val="14"/>
                <w:color w:val="auto"/>
              </w:rPr>
              <w:t>$</w:t>
            </w:r>
          </w:p>
        </w:tc>
        <w:tc>
          <w:tcPr>
            <w:tcW w:w="1780" w:type="dxa"/>
            <w:vAlign w:val="bottom"/>
            <w:gridSpan w:val="3"/>
          </w:tcPr>
          <w:p>
            <w:pPr>
              <w:jc w:val="center"/>
              <w:ind w:left="708"/>
              <w:spacing w:after="0"/>
              <w:rPr>
                <w:sz w:val="20"/>
                <w:szCs w:val="20"/>
                <w:color w:val="auto"/>
              </w:rPr>
            </w:pPr>
            <w:r>
              <w:rPr>
                <w:rFonts w:ascii="Verdana" w:cs="Verdana" w:eastAsia="Verdana" w:hAnsi="Verdana"/>
                <w:sz w:val="14"/>
                <w:szCs w:val="14"/>
                <w:color w:val="auto"/>
              </w:rPr>
              <w:t>42.5</w:t>
            </w:r>
          </w:p>
        </w:tc>
      </w:tr>
      <w:tr>
        <w:trPr>
          <w:trHeight w:val="879"/>
        </w:trPr>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Borders>
              <w:top w:val="single" w:sz="8" w:color="auto"/>
            </w:tcBorders>
            <w:gridSpan w:val="2"/>
          </w:tcPr>
          <w:p>
            <w:pPr>
              <w:ind w:left="100"/>
              <w:spacing w:after="0"/>
              <w:rPr>
                <w:sz w:val="20"/>
                <w:szCs w:val="20"/>
                <w:color w:val="auto"/>
              </w:rPr>
            </w:pPr>
            <w:r>
              <w:rPr>
                <w:rFonts w:ascii="Verdana" w:cs="Verdana" w:eastAsia="Verdana" w:hAnsi="Verdana"/>
                <w:sz w:val="14"/>
                <w:szCs w:val="14"/>
                <w:color w:val="auto"/>
              </w:rPr>
              <w:t>Schedule 2B</w:t>
            </w:r>
          </w:p>
        </w:tc>
      </w:tr>
      <w:tr>
        <w:trPr>
          <w:trHeight w:val="340"/>
        </w:trPr>
        <w:tc>
          <w:tcPr>
            <w:tcW w:w="4820" w:type="dxa"/>
            <w:vAlign w:val="bottom"/>
            <w:gridSpan w:val="2"/>
          </w:tcPr>
          <w:p>
            <w:pPr>
              <w:spacing w:after="0"/>
              <w:rPr>
                <w:sz w:val="20"/>
                <w:szCs w:val="20"/>
                <w:color w:val="auto"/>
              </w:rPr>
            </w:pPr>
            <w:r>
              <w:rPr>
                <w:rFonts w:ascii="Verdana" w:cs="Verdana" w:eastAsia="Verdana" w:hAnsi="Verdana"/>
                <w:sz w:val="14"/>
                <w:szCs w:val="14"/>
                <w:b w:val="1"/>
                <w:bCs w:val="1"/>
                <w:i w:val="1"/>
                <w:iCs w:val="1"/>
                <w:color w:val="auto"/>
              </w:rPr>
              <w:t>NON-GAAP MEASURES</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6"/>
          </w:tcPr>
          <w:p>
            <w:pPr>
              <w:jc w:val="center"/>
              <w:ind w:right="260"/>
              <w:spacing w:after="0"/>
              <w:rPr>
                <w:sz w:val="20"/>
                <w:szCs w:val="20"/>
                <w:color w:val="auto"/>
              </w:rPr>
            </w:pPr>
            <w:r>
              <w:rPr>
                <w:rFonts w:ascii="Verdana" w:cs="Verdana" w:eastAsia="Verdana" w:hAnsi="Verdana"/>
                <w:sz w:val="14"/>
                <w:szCs w:val="14"/>
                <w:b w:val="1"/>
                <w:bCs w:val="1"/>
                <w:color w:val="auto"/>
              </w:rPr>
              <w:t>Three Months Ended</w:t>
            </w:r>
          </w:p>
        </w:tc>
      </w:tr>
      <w:tr>
        <w:trPr>
          <w:trHeight w:val="172"/>
        </w:trPr>
        <w:tc>
          <w:tcPr>
            <w:tcW w:w="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860"/>
              <w:spacing w:after="0"/>
              <w:rPr>
                <w:sz w:val="20"/>
                <w:szCs w:val="20"/>
                <w:color w:val="auto"/>
              </w:rPr>
            </w:pPr>
            <w:r>
              <w:rPr>
                <w:rFonts w:ascii="Verdana" w:cs="Verdana" w:eastAsia="Verdana" w:hAnsi="Verdana"/>
                <w:sz w:val="14"/>
                <w:szCs w:val="14"/>
                <w:b w:val="1"/>
                <w:bCs w:val="1"/>
                <w:color w:val="auto"/>
              </w:rPr>
              <w:t>March 31</w:t>
            </w:r>
          </w:p>
        </w:tc>
      </w:tr>
      <w:tr>
        <w:trPr>
          <w:trHeight w:val="155"/>
        </w:trPr>
        <w:tc>
          <w:tcPr>
            <w:tcW w:w="4820" w:type="dxa"/>
            <w:vAlign w:val="bottom"/>
            <w:gridSpan w:val="2"/>
          </w:tcPr>
          <w:p>
            <w:pPr>
              <w:spacing w:after="0" w:line="156" w:lineRule="exact"/>
              <w:rPr>
                <w:sz w:val="20"/>
                <w:szCs w:val="20"/>
                <w:color w:val="auto"/>
              </w:rPr>
            </w:pPr>
            <w:r>
              <w:rPr>
                <w:rFonts w:ascii="Verdana" w:cs="Verdana" w:eastAsia="Verdana" w:hAnsi="Verdana"/>
                <w:sz w:val="14"/>
                <w:szCs w:val="14"/>
                <w:b w:val="1"/>
                <w:bCs w:val="1"/>
                <w:color w:val="auto"/>
              </w:rPr>
              <w:t>(in millions)</w:t>
            </w:r>
          </w:p>
        </w:tc>
        <w:tc>
          <w:tcPr>
            <w:tcW w:w="1600" w:type="dxa"/>
            <w:vAlign w:val="bottom"/>
          </w:tcPr>
          <w:p>
            <w:pPr>
              <w:spacing w:after="0"/>
              <w:rPr>
                <w:sz w:val="13"/>
                <w:szCs w:val="13"/>
                <w:color w:val="auto"/>
              </w:rPr>
            </w:pPr>
          </w:p>
        </w:tc>
        <w:tc>
          <w:tcPr>
            <w:tcW w:w="760" w:type="dxa"/>
            <w:vAlign w:val="bottom"/>
            <w:gridSpan w:val="3"/>
          </w:tcPr>
          <w:p>
            <w:pPr>
              <w:jc w:val="right"/>
              <w:ind w:right="20"/>
              <w:spacing w:after="0" w:line="156" w:lineRule="exact"/>
              <w:rPr>
                <w:sz w:val="20"/>
                <w:szCs w:val="20"/>
                <w:color w:val="auto"/>
              </w:rPr>
            </w:pPr>
            <w:r>
              <w:rPr>
                <w:rFonts w:ascii="Verdana" w:cs="Verdana" w:eastAsia="Verdana" w:hAnsi="Verdana"/>
                <w:sz w:val="14"/>
                <w:szCs w:val="14"/>
                <w:b w:val="1"/>
                <w:bCs w:val="1"/>
                <w:color w:val="auto"/>
              </w:rPr>
              <w:t>2026</w:t>
            </w:r>
          </w:p>
        </w:tc>
        <w:tc>
          <w:tcPr>
            <w:tcW w:w="120" w:type="dxa"/>
            <w:vAlign w:val="bottom"/>
          </w:tcPr>
          <w:p>
            <w:pPr>
              <w:spacing w:after="0"/>
              <w:rPr>
                <w:sz w:val="13"/>
                <w:szCs w:val="13"/>
                <w:color w:val="auto"/>
              </w:rPr>
            </w:pPr>
          </w:p>
        </w:tc>
        <w:tc>
          <w:tcPr>
            <w:tcW w:w="1780" w:type="dxa"/>
            <w:vAlign w:val="bottom"/>
            <w:gridSpan w:val="3"/>
          </w:tcPr>
          <w:p>
            <w:pPr>
              <w:jc w:val="right"/>
              <w:ind w:right="200"/>
              <w:spacing w:after="0" w:line="156" w:lineRule="exact"/>
              <w:rPr>
                <w:sz w:val="20"/>
                <w:szCs w:val="20"/>
                <w:color w:val="auto"/>
              </w:rPr>
            </w:pPr>
            <w:r>
              <w:rPr>
                <w:rFonts w:ascii="Verdana" w:cs="Verdana" w:eastAsia="Verdana" w:hAnsi="Verdana"/>
                <w:sz w:val="14"/>
                <w:szCs w:val="14"/>
                <w:b w:val="1"/>
                <w:bCs w:val="1"/>
                <w:color w:val="auto"/>
              </w:rPr>
              <w:t>2025</w:t>
            </w:r>
          </w:p>
        </w:tc>
      </w:tr>
      <w:tr>
        <w:trPr>
          <w:trHeight w:val="27"/>
        </w:trPr>
        <w:tc>
          <w:tcPr>
            <w:tcW w:w="98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-3054985</wp:posOffset>
            </wp:positionV>
            <wp:extent cx="650875"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0875" cy="162560"/>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-2360930</wp:posOffset>
            </wp:positionV>
            <wp:extent cx="650875"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50875" cy="162560"/>
                    </a:xfrm>
                    <a:prstGeom prst="rect">
                      <a:avLst/>
                    </a:prstGeom>
                    <a:noFill/>
                  </pic:spPr>
                </pic:pic>
              </a:graphicData>
            </a:graphic>
          </wp:anchor>
        </w:drawing>
      </w:r>
    </w:p>
    <w:p>
      <w:pPr>
        <w:sectPr>
          <w:pgSz w:w="11900" w:h="16838" w:orient="portrait"/>
          <w:cols w:equalWidth="0" w:num="1">
            <w:col w:w="9100"/>
          </w:cols>
          <w:pgMar w:left="1440" w:top="1439" w:right="1359" w:bottom="1440" w:gutter="0" w:footer="0" w:header="0"/>
        </w:sectPr>
      </w:pPr>
    </w:p>
    <w:p>
      <w:pPr>
        <w:spacing w:after="0" w:line="179"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Net income attributable to Innospec</w:t>
      </w:r>
    </w:p>
    <w:p>
      <w:pPr>
        <w:spacing w:after="0" w:line="5"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Interest income, net</w:t>
      </w:r>
    </w:p>
    <w:p>
      <w:pPr>
        <w:spacing w:after="0" w:line="5"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Income taxes</w:t>
      </w:r>
    </w:p>
    <w:p>
      <w:pPr>
        <w:spacing w:after="0" w:line="5"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Depreciation and amortization</w:t>
      </w:r>
    </w:p>
    <w:p>
      <w:pPr>
        <w:spacing w:after="0" w:line="5"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Foreign currency exchange gains</w:t>
      </w:r>
    </w:p>
    <w:p>
      <w:pPr>
        <w:spacing w:after="0" w:line="5" w:lineRule="exact"/>
        <w:rPr>
          <w:sz w:val="20"/>
          <w:szCs w:val="20"/>
          <w:color w:val="auto"/>
        </w:rPr>
      </w:pPr>
    </w:p>
    <w:p>
      <w:pPr>
        <w:ind w:left="20"/>
        <w:spacing w:after="0"/>
        <w:rPr>
          <w:sz w:val="20"/>
          <w:szCs w:val="20"/>
          <w:color w:val="auto"/>
        </w:rPr>
      </w:pPr>
      <w:r>
        <w:rPr>
          <w:rFonts w:ascii="Verdana" w:cs="Verdana" w:eastAsia="Verdana" w:hAnsi="Verdana"/>
          <w:sz w:val="14"/>
          <w:szCs w:val="14"/>
          <w:color w:val="auto"/>
        </w:rPr>
        <w:t>Legacy costs of closed operations</w:t>
      </w:r>
    </w:p>
    <w:p>
      <w:pPr>
        <w:spacing w:after="0" w:line="5" w:lineRule="exact"/>
        <w:rPr>
          <w:sz w:val="20"/>
          <w:szCs w:val="20"/>
          <w:color w:val="auto"/>
        </w:rPr>
      </w:pPr>
    </w:p>
    <w:p>
      <w:pPr>
        <w:ind w:left="20" w:right="1620"/>
        <w:spacing w:after="0" w:line="270" w:lineRule="auto"/>
        <w:rPr>
          <w:sz w:val="20"/>
          <w:szCs w:val="20"/>
          <w:color w:val="auto"/>
        </w:rPr>
      </w:pPr>
      <w:r>
        <w:rPr>
          <w:rFonts w:ascii="Verdana" w:cs="Verdana" w:eastAsia="Verdana" w:hAnsi="Verdana"/>
          <w:sz w:val="14"/>
          <w:szCs w:val="14"/>
          <w:color w:val="auto"/>
        </w:rPr>
        <w:t>Adjustment to fair value of contingent consideration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3376295</wp:posOffset>
            </wp:positionV>
            <wp:extent cx="684911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4911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540" w:type="dxa"/>
            <w:vAlign w:val="bottom"/>
          </w:tcPr>
          <w:p>
            <w:pPr>
              <w:jc w:val="right"/>
              <w:ind w:right="393"/>
              <w:spacing w:after="0"/>
              <w:rPr>
                <w:sz w:val="20"/>
                <w:szCs w:val="20"/>
                <w:color w:val="auto"/>
              </w:rPr>
            </w:pPr>
            <w:r>
              <w:rPr>
                <w:rFonts w:ascii="Verdana" w:cs="Verdana" w:eastAsia="Verdana" w:hAnsi="Verdana"/>
                <w:sz w:val="13"/>
                <w:szCs w:val="13"/>
                <w:color w:val="auto"/>
                <w:w w:val="71"/>
              </w:rPr>
              <w:t>$</w:t>
            </w:r>
          </w:p>
        </w:tc>
        <w:tc>
          <w:tcPr>
            <w:tcW w:w="660" w:type="dxa"/>
            <w:vAlign w:val="bottom"/>
          </w:tcPr>
          <w:p>
            <w:pPr>
              <w:jc w:val="center"/>
              <w:spacing w:after="0"/>
              <w:rPr>
                <w:sz w:val="20"/>
                <w:szCs w:val="20"/>
                <w:color w:val="auto"/>
              </w:rPr>
            </w:pPr>
            <w:r>
              <w:rPr>
                <w:rFonts w:ascii="Verdana" w:cs="Verdana" w:eastAsia="Verdana" w:hAnsi="Verdana"/>
                <w:sz w:val="14"/>
                <w:szCs w:val="14"/>
                <w:color w:val="auto"/>
              </w:rPr>
              <w:t>30.4</w:t>
            </w:r>
          </w:p>
        </w:tc>
        <w:tc>
          <w:tcPr>
            <w:tcW w:w="980" w:type="dxa"/>
            <w:vAlign w:val="bottom"/>
          </w:tcPr>
          <w:p>
            <w:pPr>
              <w:jc w:val="right"/>
              <w:ind w:right="728"/>
              <w:spacing w:after="0"/>
              <w:rPr>
                <w:sz w:val="20"/>
                <w:szCs w:val="20"/>
                <w:color w:val="auto"/>
              </w:rPr>
            </w:pPr>
            <w:r>
              <w:rPr>
                <w:rFonts w:ascii="Verdana" w:cs="Verdana" w:eastAsia="Verdana" w:hAnsi="Verdana"/>
                <w:sz w:val="14"/>
                <w:szCs w:val="14"/>
                <w:color w:val="auto"/>
              </w:rPr>
              <w:t>$</w:t>
            </w:r>
          </w:p>
        </w:tc>
        <w:tc>
          <w:tcPr>
            <w:tcW w:w="800" w:type="dxa"/>
            <w:vAlign w:val="bottom"/>
          </w:tcPr>
          <w:p>
            <w:pPr>
              <w:jc w:val="center"/>
              <w:spacing w:after="0"/>
              <w:rPr>
                <w:sz w:val="20"/>
                <w:szCs w:val="20"/>
                <w:color w:val="auto"/>
              </w:rPr>
            </w:pPr>
            <w:r>
              <w:rPr>
                <w:rFonts w:ascii="Verdana" w:cs="Verdana" w:eastAsia="Verdana" w:hAnsi="Verdana"/>
                <w:sz w:val="14"/>
                <w:szCs w:val="14"/>
                <w:color w:val="auto"/>
              </w:rPr>
              <w:t>32.8</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Verdana" w:cs="Verdana" w:eastAsia="Verdana" w:hAnsi="Verdana"/>
                <w:sz w:val="14"/>
                <w:szCs w:val="14"/>
                <w:color w:val="auto"/>
              </w:rPr>
              <w:t>(0.8)</w:t>
            </w:r>
          </w:p>
        </w:tc>
        <w:tc>
          <w:tcPr>
            <w:tcW w:w="9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Verdana" w:cs="Verdana" w:eastAsia="Verdana" w:hAnsi="Verdana"/>
                <w:sz w:val="14"/>
                <w:szCs w:val="14"/>
                <w:color w:val="auto"/>
              </w:rPr>
              <w:t>(2.4)</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Verdana" w:cs="Verdana" w:eastAsia="Verdana" w:hAnsi="Verdana"/>
                <w:sz w:val="14"/>
                <w:szCs w:val="14"/>
                <w:color w:val="auto"/>
              </w:rPr>
              <w:t>9.1</w:t>
            </w:r>
          </w:p>
        </w:tc>
        <w:tc>
          <w:tcPr>
            <w:tcW w:w="9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Verdana" w:cs="Verdana" w:eastAsia="Verdana" w:hAnsi="Verdana"/>
                <w:sz w:val="14"/>
                <w:szCs w:val="14"/>
                <w:color w:val="auto"/>
              </w:rPr>
              <w:t>11.6</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Verdana" w:cs="Verdana" w:eastAsia="Verdana" w:hAnsi="Verdana"/>
                <w:sz w:val="14"/>
                <w:szCs w:val="14"/>
                <w:color w:val="auto"/>
              </w:rPr>
              <w:t>9.9</w:t>
            </w:r>
          </w:p>
        </w:tc>
        <w:tc>
          <w:tcPr>
            <w:tcW w:w="9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Verdana" w:cs="Verdana" w:eastAsia="Verdana" w:hAnsi="Verdana"/>
                <w:sz w:val="14"/>
                <w:szCs w:val="14"/>
                <w:color w:val="auto"/>
              </w:rPr>
              <w:t>10.9</w:t>
            </w:r>
          </w:p>
        </w:tc>
        <w:tc>
          <w:tcPr>
            <w:tcW w:w="0" w:type="dxa"/>
            <w:vAlign w:val="bottom"/>
          </w:tcPr>
          <w:p>
            <w:pPr>
              <w:spacing w:after="0"/>
              <w:rPr>
                <w:sz w:val="1"/>
                <w:szCs w:val="1"/>
                <w:color w:val="auto"/>
              </w:rPr>
            </w:pPr>
          </w:p>
        </w:tc>
      </w:tr>
      <w:tr>
        <w:trPr>
          <w:trHeight w:val="176"/>
        </w:trPr>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Verdana" w:cs="Verdana" w:eastAsia="Verdana" w:hAnsi="Verdana"/>
                <w:sz w:val="14"/>
                <w:szCs w:val="14"/>
                <w:color w:val="auto"/>
              </w:rPr>
              <w:t>(2.5)</w:t>
            </w:r>
          </w:p>
        </w:tc>
        <w:tc>
          <w:tcPr>
            <w:tcW w:w="9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Verdana" w:cs="Verdana" w:eastAsia="Verdana" w:hAnsi="Verdana"/>
                <w:sz w:val="14"/>
                <w:szCs w:val="14"/>
                <w:color w:val="auto"/>
              </w:rPr>
              <w:t>(0.4)</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Verdana" w:cs="Verdana" w:eastAsia="Verdana" w:hAnsi="Verdana"/>
                <w:sz w:val="14"/>
                <w:szCs w:val="14"/>
                <w:color w:val="auto"/>
              </w:rPr>
              <w:t>2.3</w:t>
            </w:r>
          </w:p>
        </w:tc>
        <w:tc>
          <w:tcPr>
            <w:tcW w:w="9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Verdana" w:cs="Verdana" w:eastAsia="Verdana" w:hAnsi="Verdana"/>
                <w:sz w:val="14"/>
                <w:szCs w:val="14"/>
                <w:color w:val="auto"/>
              </w:rPr>
              <w:t>0.8</w:t>
            </w:r>
          </w:p>
        </w:tc>
        <w:tc>
          <w:tcPr>
            <w:tcW w:w="0" w:type="dxa"/>
            <w:vAlign w:val="bottom"/>
          </w:tcPr>
          <w:p>
            <w:pPr>
              <w:spacing w:after="0"/>
              <w:rPr>
                <w:sz w:val="1"/>
                <w:szCs w:val="1"/>
                <w:color w:val="auto"/>
              </w:rPr>
            </w:pPr>
          </w:p>
        </w:tc>
      </w:tr>
      <w:tr>
        <w:trPr>
          <w:trHeight w:val="172"/>
        </w:trPr>
        <w:tc>
          <w:tcPr>
            <w:tcW w:w="540" w:type="dxa"/>
            <w:vAlign w:val="bottom"/>
            <w:vMerge w:val="restart"/>
          </w:tcPr>
          <w:p>
            <w:pPr>
              <w:jc w:val="right"/>
              <w:ind w:right="393"/>
              <w:spacing w:after="0"/>
              <w:rPr>
                <w:sz w:val="20"/>
                <w:szCs w:val="20"/>
                <w:color w:val="auto"/>
              </w:rPr>
            </w:pPr>
            <w:r>
              <w:rPr>
                <w:rFonts w:ascii="Verdana" w:cs="Verdana" w:eastAsia="Verdana" w:hAnsi="Verdana"/>
                <w:sz w:val="13"/>
                <w:szCs w:val="13"/>
                <w:color w:val="auto"/>
                <w:w w:val="71"/>
              </w:rPr>
              <w:t>$</w:t>
            </w:r>
          </w:p>
        </w:tc>
        <w:tc>
          <w:tcPr>
            <w:tcW w:w="6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(4.7)</w:t>
            </w:r>
          </w:p>
        </w:tc>
        <w:tc>
          <w:tcPr>
            <w:tcW w:w="9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0.7</w:t>
            </w:r>
          </w:p>
        </w:tc>
        <w:tc>
          <w:tcPr>
            <w:tcW w:w="0" w:type="dxa"/>
            <w:vAlign w:val="bottom"/>
          </w:tcPr>
          <w:p>
            <w:pPr>
              <w:spacing w:after="0"/>
              <w:rPr>
                <w:sz w:val="1"/>
                <w:szCs w:val="1"/>
                <w:color w:val="auto"/>
              </w:rPr>
            </w:pPr>
          </w:p>
        </w:tc>
      </w:tr>
      <w:tr>
        <w:trPr>
          <w:trHeight w:val="176"/>
        </w:trPr>
        <w:tc>
          <w:tcPr>
            <w:tcW w:w="540" w:type="dxa"/>
            <w:vAlign w:val="bottom"/>
            <w:vMerge w:val="continue"/>
          </w:tcPr>
          <w:p>
            <w:pPr>
              <w:spacing w:after="0"/>
              <w:rPr>
                <w:sz w:val="15"/>
                <w:szCs w:val="15"/>
                <w:color w:val="auto"/>
              </w:rPr>
            </w:pPr>
          </w:p>
        </w:tc>
        <w:tc>
          <w:tcPr>
            <w:tcW w:w="66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43.7</w:t>
            </w:r>
          </w:p>
        </w:tc>
        <w:tc>
          <w:tcPr>
            <w:tcW w:w="980" w:type="dxa"/>
            <w:vAlign w:val="bottom"/>
          </w:tcPr>
          <w:p>
            <w:pPr>
              <w:jc w:val="right"/>
              <w:ind w:right="728"/>
              <w:spacing w:after="0" w:line="169" w:lineRule="exact"/>
              <w:rPr>
                <w:sz w:val="20"/>
                <w:szCs w:val="20"/>
                <w:color w:val="auto"/>
              </w:rPr>
            </w:pPr>
            <w:r>
              <w:rPr>
                <w:rFonts w:ascii="Verdana" w:cs="Verdana" w:eastAsia="Verdana" w:hAnsi="Verdana"/>
                <w:sz w:val="14"/>
                <w:szCs w:val="14"/>
                <w:color w:val="auto"/>
              </w:rPr>
              <w:t>$</w:t>
            </w:r>
          </w:p>
        </w:tc>
        <w:tc>
          <w:tcPr>
            <w:tcW w:w="80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54.0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744220</wp:posOffset>
            </wp:positionH>
            <wp:positionV relativeFrom="paragraph">
              <wp:posOffset>-149225</wp:posOffset>
            </wp:positionV>
            <wp:extent cx="65087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0875" cy="162560"/>
                    </a:xfrm>
                    <a:prstGeom prst="rect">
                      <a:avLst/>
                    </a:prstGeom>
                    <a:noFill/>
                  </pic:spPr>
                </pic:pic>
              </a:graphicData>
            </a:graphic>
          </wp:anchor>
        </w:drawing>
      </w:r>
    </w:p>
    <w:p>
      <w:pPr>
        <w:sectPr>
          <w:pgSz w:w="11900" w:h="16838" w:orient="portrait"/>
          <w:cols w:equalWidth="0" w:num="2">
            <w:col w:w="5400" w:space="720"/>
            <w:col w:w="2980"/>
          </w:cols>
          <w:pgMar w:left="1440" w:top="1439" w:right="1359" w:bottom="1440" w:gutter="0" w:footer="0" w:header="0"/>
          <w:type w:val="continuous"/>
        </w:sectPr>
      </w:pPr>
    </w:p>
    <w:bookmarkStart w:id="10" w:name="page11"/>
    <w:bookmarkEnd w:id="10"/>
    <w:p>
      <w:pPr>
        <w:ind w:left="8940"/>
        <w:spacing w:after="0"/>
        <w:rPr>
          <w:sz w:val="20"/>
          <w:szCs w:val="20"/>
          <w:color w:val="auto"/>
        </w:rPr>
      </w:pPr>
      <w:r>
        <w:rPr>
          <w:rFonts w:ascii="Verdana" w:cs="Verdana" w:eastAsia="Verdana" w:hAnsi="Verdana"/>
          <w:sz w:val="14"/>
          <w:szCs w:val="14"/>
          <w:color w:val="auto"/>
        </w:rPr>
        <w:t>Schedule 3</w:t>
      </w:r>
    </w:p>
    <w:p>
      <w:pPr>
        <w:spacing w:after="0" w:line="5" w:lineRule="exact"/>
        <w:rPr>
          <w:sz w:val="20"/>
          <w:szCs w:val="20"/>
          <w:color w:val="auto"/>
        </w:rPr>
      </w:pPr>
    </w:p>
    <w:p>
      <w:pPr>
        <w:jc w:val="center"/>
        <w:ind w:right="20"/>
        <w:spacing w:after="0"/>
        <w:rPr>
          <w:sz w:val="20"/>
          <w:szCs w:val="20"/>
          <w:color w:val="auto"/>
        </w:rPr>
      </w:pPr>
      <w:r>
        <w:rPr>
          <w:rFonts w:ascii="Verdana" w:cs="Verdana" w:eastAsia="Verdana" w:hAnsi="Verdana"/>
          <w:sz w:val="14"/>
          <w:szCs w:val="14"/>
          <w:b w:val="1"/>
          <w:bCs w:val="1"/>
          <w:color w:val="auto"/>
        </w:rPr>
        <w:t>INNOSPEC INC. AND SUBSIDIARIES</w:t>
      </w:r>
    </w:p>
    <w:p>
      <w:pPr>
        <w:spacing w:after="0" w:line="5" w:lineRule="exact"/>
        <w:rPr>
          <w:sz w:val="20"/>
          <w:szCs w:val="20"/>
          <w:color w:val="auto"/>
        </w:rPr>
      </w:pPr>
    </w:p>
    <w:p>
      <w:pPr>
        <w:jc w:val="center"/>
        <w:ind w:right="20"/>
        <w:spacing w:after="0"/>
        <w:rPr>
          <w:sz w:val="20"/>
          <w:szCs w:val="20"/>
          <w:color w:val="auto"/>
        </w:rPr>
      </w:pPr>
      <w:r>
        <w:rPr>
          <w:rFonts w:ascii="Verdana" w:cs="Verdana" w:eastAsia="Verdana" w:hAnsi="Verdana"/>
          <w:sz w:val="14"/>
          <w:szCs w:val="14"/>
          <w:b w:val="1"/>
          <w:bCs w:val="1"/>
          <w:color w:val="auto"/>
        </w:rPr>
        <w:t>CONDENSED CONSOLIDATED BALANCE SHEETS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ind w:left="260"/>
              <w:spacing w:after="0"/>
              <w:rPr>
                <w:sz w:val="20"/>
                <w:szCs w:val="20"/>
                <w:color w:val="auto"/>
              </w:rPr>
            </w:pPr>
            <w:r>
              <w:rPr>
                <w:rFonts w:ascii="Verdana" w:cs="Verdana" w:eastAsia="Verdana" w:hAnsi="Verdana"/>
                <w:sz w:val="14"/>
                <w:szCs w:val="14"/>
                <w:b w:val="1"/>
                <w:bCs w:val="1"/>
                <w:color w:val="auto"/>
              </w:rPr>
              <w:t>March 31,</w:t>
            </w:r>
          </w:p>
        </w:tc>
        <w:tc>
          <w:tcPr>
            <w:tcW w:w="300" w:type="dxa"/>
            <w:vAlign w:val="bottom"/>
          </w:tcPr>
          <w:p>
            <w:pPr>
              <w:spacing w:after="0"/>
              <w:rPr>
                <w:sz w:val="15"/>
                <w:szCs w:val="15"/>
                <w:color w:val="auto"/>
              </w:rPr>
            </w:pPr>
          </w:p>
        </w:tc>
        <w:tc>
          <w:tcPr>
            <w:tcW w:w="2140" w:type="dxa"/>
            <w:vAlign w:val="bottom"/>
            <w:gridSpan w:val="2"/>
          </w:tcPr>
          <w:p>
            <w:pPr>
              <w:ind w:left="120"/>
              <w:spacing w:after="0"/>
              <w:rPr>
                <w:sz w:val="20"/>
                <w:szCs w:val="20"/>
                <w:color w:val="auto"/>
              </w:rPr>
            </w:pPr>
            <w:r>
              <w:rPr>
                <w:rFonts w:ascii="Verdana" w:cs="Verdana" w:eastAsia="Verdana" w:hAnsi="Verdana"/>
                <w:sz w:val="14"/>
                <w:szCs w:val="14"/>
                <w:b w:val="1"/>
                <w:bCs w:val="1"/>
                <w:color w:val="auto"/>
              </w:rPr>
              <w:t>December 31,</w:t>
            </w:r>
          </w:p>
        </w:tc>
      </w:tr>
      <w:tr>
        <w:trPr>
          <w:trHeight w:val="178"/>
        </w:trPr>
        <w:tc>
          <w:tcPr>
            <w:tcW w:w="860" w:type="dxa"/>
            <w:vAlign w:val="bottom"/>
          </w:tcPr>
          <w:p>
            <w:pPr>
              <w:spacing w:after="0"/>
              <w:rPr>
                <w:sz w:val="15"/>
                <w:szCs w:val="15"/>
                <w:color w:val="auto"/>
              </w:rPr>
            </w:pPr>
          </w:p>
        </w:tc>
        <w:tc>
          <w:tcPr>
            <w:tcW w:w="1000" w:type="dxa"/>
            <w:vAlign w:val="bottom"/>
            <w:tcBorders>
              <w:bottom w:val="single" w:sz="8" w:color="auto"/>
            </w:tcBorders>
            <w:gridSpan w:val="2"/>
          </w:tcPr>
          <w:p>
            <w:pPr>
              <w:spacing w:after="0" w:line="159" w:lineRule="exact"/>
              <w:rPr>
                <w:sz w:val="20"/>
                <w:szCs w:val="20"/>
                <w:color w:val="auto"/>
              </w:rPr>
            </w:pPr>
            <w:r>
              <w:rPr>
                <w:rFonts w:ascii="Verdana" w:cs="Verdana" w:eastAsia="Verdana" w:hAnsi="Verdana"/>
                <w:sz w:val="14"/>
                <w:szCs w:val="14"/>
                <w:b w:val="1"/>
                <w:bCs w:val="1"/>
                <w:color w:val="auto"/>
              </w:rPr>
              <w:t>(in millions)</w:t>
            </w:r>
          </w:p>
        </w:tc>
        <w:tc>
          <w:tcPr>
            <w:tcW w:w="43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Borders>
              <w:bottom w:val="single" w:sz="8" w:color="auto"/>
            </w:tcBorders>
          </w:tcPr>
          <w:p>
            <w:pPr>
              <w:jc w:val="center"/>
              <w:spacing w:after="0" w:line="159" w:lineRule="exact"/>
              <w:rPr>
                <w:sz w:val="20"/>
                <w:szCs w:val="20"/>
                <w:color w:val="auto"/>
              </w:rPr>
            </w:pPr>
            <w:r>
              <w:rPr>
                <w:rFonts w:ascii="Verdana" w:cs="Verdana" w:eastAsia="Verdana" w:hAnsi="Verdana"/>
                <w:sz w:val="14"/>
                <w:szCs w:val="14"/>
                <w:b w:val="1"/>
                <w:bCs w:val="1"/>
                <w:color w:val="auto"/>
              </w:rPr>
              <w:t>2026</w:t>
            </w:r>
          </w:p>
        </w:tc>
        <w:tc>
          <w:tcPr>
            <w:tcW w:w="300" w:type="dxa"/>
            <w:vAlign w:val="bottom"/>
          </w:tcPr>
          <w:p>
            <w:pPr>
              <w:spacing w:after="0"/>
              <w:rPr>
                <w:sz w:val="15"/>
                <w:szCs w:val="15"/>
                <w:color w:val="auto"/>
              </w:rPr>
            </w:pPr>
          </w:p>
        </w:tc>
        <w:tc>
          <w:tcPr>
            <w:tcW w:w="1360" w:type="dxa"/>
            <w:vAlign w:val="bottom"/>
            <w:tcBorders>
              <w:bottom w:val="single" w:sz="8" w:color="auto"/>
            </w:tcBorders>
          </w:tcPr>
          <w:p>
            <w:pPr>
              <w:jc w:val="center"/>
              <w:spacing w:after="0" w:line="159" w:lineRule="exact"/>
              <w:rPr>
                <w:sz w:val="20"/>
                <w:szCs w:val="20"/>
                <w:color w:val="auto"/>
              </w:rPr>
            </w:pPr>
            <w:r>
              <w:rPr>
                <w:rFonts w:ascii="Verdana" w:cs="Verdana" w:eastAsia="Verdana" w:hAnsi="Verdana"/>
                <w:sz w:val="14"/>
                <w:szCs w:val="14"/>
                <w:b w:val="1"/>
                <w:bCs w:val="1"/>
                <w:color w:val="auto"/>
              </w:rPr>
              <w:t>2025</w:t>
            </w:r>
          </w:p>
        </w:tc>
        <w:tc>
          <w:tcPr>
            <w:tcW w:w="780" w:type="dxa"/>
            <w:vAlign w:val="bottom"/>
          </w:tcPr>
          <w:p>
            <w:pPr>
              <w:spacing w:after="0"/>
              <w:rPr>
                <w:sz w:val="15"/>
                <w:szCs w:val="15"/>
                <w:color w:val="auto"/>
              </w:rPr>
            </w:pPr>
          </w:p>
        </w:tc>
      </w:tr>
      <w:tr>
        <w:trPr>
          <w:trHeight w:val="365"/>
        </w:trPr>
        <w:tc>
          <w:tcPr>
            <w:tcW w:w="86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Verdana" w:cs="Verdana" w:eastAsia="Verdana" w:hAnsi="Verdana"/>
                <w:sz w:val="14"/>
                <w:szCs w:val="14"/>
                <w:i w:val="1"/>
                <w:iCs w:val="1"/>
                <w:color w:val="auto"/>
              </w:rPr>
              <w:t>Assets</w:t>
            </w:r>
          </w:p>
        </w:tc>
        <w:tc>
          <w:tcPr>
            <w:tcW w:w="488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2"/>
        </w:trPr>
        <w:tc>
          <w:tcPr>
            <w:tcW w:w="86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Current assets:</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Cash and cash equivalents</w:t>
            </w:r>
          </w:p>
        </w:tc>
        <w:tc>
          <w:tcPr>
            <w:tcW w:w="740" w:type="dxa"/>
            <w:vAlign w:val="bottom"/>
          </w:tcPr>
          <w:p>
            <w:pPr>
              <w:jc w:val="right"/>
              <w:ind w:right="68"/>
              <w:spacing w:after="0"/>
              <w:rPr>
                <w:sz w:val="20"/>
                <w:szCs w:val="20"/>
                <w:color w:val="auto"/>
              </w:rPr>
            </w:pPr>
            <w:r>
              <w:rPr>
                <w:rFonts w:ascii="Verdana" w:cs="Verdana" w:eastAsia="Verdana" w:hAnsi="Verdana"/>
                <w:sz w:val="14"/>
                <w:szCs w:val="14"/>
                <w:color w:val="auto"/>
              </w:rPr>
              <w:t>$</w:t>
            </w:r>
          </w:p>
        </w:tc>
        <w:tc>
          <w:tcPr>
            <w:tcW w:w="1340" w:type="dxa"/>
            <w:vAlign w:val="bottom"/>
          </w:tcPr>
          <w:p>
            <w:pPr>
              <w:jc w:val="center"/>
              <w:spacing w:after="0"/>
              <w:rPr>
                <w:sz w:val="20"/>
                <w:szCs w:val="20"/>
                <w:color w:val="auto"/>
              </w:rPr>
            </w:pPr>
            <w:r>
              <w:rPr>
                <w:rFonts w:ascii="Verdana" w:cs="Verdana" w:eastAsia="Verdana" w:hAnsi="Verdana"/>
                <w:sz w:val="14"/>
                <w:szCs w:val="14"/>
                <w:color w:val="auto"/>
              </w:rPr>
              <w:t>289.1</w:t>
            </w:r>
          </w:p>
        </w:tc>
        <w:tc>
          <w:tcPr>
            <w:tcW w:w="300" w:type="dxa"/>
            <w:vAlign w:val="bottom"/>
          </w:tcPr>
          <w:p>
            <w:pPr>
              <w:jc w:val="right"/>
              <w:ind w:right="28"/>
              <w:spacing w:after="0"/>
              <w:rPr>
                <w:sz w:val="20"/>
                <w:szCs w:val="20"/>
                <w:color w:val="auto"/>
              </w:rPr>
            </w:pPr>
            <w:r>
              <w:rPr>
                <w:rFonts w:ascii="Verdana" w:cs="Verdana" w:eastAsia="Verdana" w:hAnsi="Verdana"/>
                <w:sz w:val="14"/>
                <w:szCs w:val="14"/>
                <w:color w:val="auto"/>
              </w:rPr>
              <w:t>$</w:t>
            </w:r>
          </w:p>
        </w:tc>
        <w:tc>
          <w:tcPr>
            <w:tcW w:w="1360" w:type="dxa"/>
            <w:vAlign w:val="bottom"/>
          </w:tcPr>
          <w:p>
            <w:pPr>
              <w:jc w:val="center"/>
              <w:spacing w:after="0"/>
              <w:rPr>
                <w:sz w:val="20"/>
                <w:szCs w:val="20"/>
                <w:color w:val="auto"/>
              </w:rPr>
            </w:pPr>
            <w:r>
              <w:rPr>
                <w:rFonts w:ascii="Verdana" w:cs="Verdana" w:eastAsia="Verdana" w:hAnsi="Verdana"/>
                <w:sz w:val="14"/>
                <w:szCs w:val="14"/>
                <w:color w:val="auto"/>
              </w:rPr>
              <w:t>292.5</w:t>
            </w:r>
          </w:p>
        </w:tc>
        <w:tc>
          <w:tcPr>
            <w:tcW w:w="78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Trade and other accounts receivable</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354.2</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342.3</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Inventories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321.5</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329.3</w:t>
            </w:r>
          </w:p>
        </w:tc>
        <w:tc>
          <w:tcPr>
            <w:tcW w:w="78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Prepaid expenses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16.9</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20.1</w:t>
            </w:r>
          </w:p>
        </w:tc>
        <w:tc>
          <w:tcPr>
            <w:tcW w:w="78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Prepaid income taxes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10.6</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13.1</w:t>
            </w:r>
          </w:p>
        </w:tc>
        <w:tc>
          <w:tcPr>
            <w:tcW w:w="780" w:type="dxa"/>
            <w:vAlign w:val="bottom"/>
          </w:tcPr>
          <w:p>
            <w:pPr>
              <w:spacing w:after="0"/>
              <w:rPr>
                <w:sz w:val="15"/>
                <w:szCs w:val="15"/>
                <w:color w:val="auto"/>
              </w:rPr>
            </w:pPr>
          </w:p>
        </w:tc>
      </w:tr>
      <w:tr>
        <w:trPr>
          <w:trHeight w:val="172"/>
        </w:trPr>
        <w:tc>
          <w:tcPr>
            <w:tcW w:w="860" w:type="dxa"/>
            <w:vAlign w:val="bottom"/>
          </w:tcPr>
          <w:p>
            <w:pPr>
              <w:spacing w:after="0"/>
              <w:rPr>
                <w:sz w:val="14"/>
                <w:szCs w:val="14"/>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Other current assets</w:t>
            </w:r>
          </w:p>
        </w:tc>
        <w:tc>
          <w:tcPr>
            <w:tcW w:w="7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w w:val="95"/>
              </w:rPr>
              <w:t>6.8</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7.3</w:t>
            </w:r>
          </w:p>
        </w:tc>
        <w:tc>
          <w:tcPr>
            <w:tcW w:w="780" w:type="dxa"/>
            <w:vAlign w:val="bottom"/>
          </w:tcPr>
          <w:p>
            <w:pPr>
              <w:spacing w:after="0"/>
              <w:rPr>
                <w:sz w:val="14"/>
                <w:szCs w:val="14"/>
                <w:color w:val="auto"/>
              </w:rPr>
            </w:pPr>
          </w:p>
        </w:tc>
      </w:tr>
      <w:tr>
        <w:trPr>
          <w:trHeight w:val="184"/>
        </w:trPr>
        <w:tc>
          <w:tcPr>
            <w:tcW w:w="860" w:type="dxa"/>
            <w:vAlign w:val="bottom"/>
          </w:tcPr>
          <w:p>
            <w:pPr>
              <w:spacing w:after="0"/>
              <w:rPr>
                <w:sz w:val="16"/>
                <w:szCs w:val="16"/>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Total current assets</w:t>
            </w:r>
          </w:p>
        </w:tc>
        <w:tc>
          <w:tcPr>
            <w:tcW w:w="7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999.1</w:t>
            </w:r>
          </w:p>
        </w:tc>
        <w:tc>
          <w:tcPr>
            <w:tcW w:w="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1,004.6</w:t>
            </w:r>
          </w:p>
        </w:tc>
        <w:tc>
          <w:tcPr>
            <w:tcW w:w="780" w:type="dxa"/>
            <w:vAlign w:val="bottom"/>
          </w:tcPr>
          <w:p>
            <w:pPr>
              <w:spacing w:after="0"/>
              <w:rPr>
                <w:sz w:val="16"/>
                <w:szCs w:val="16"/>
                <w:color w:val="auto"/>
              </w:rPr>
            </w:pPr>
          </w:p>
        </w:tc>
      </w:tr>
      <w:tr>
        <w:trPr>
          <w:trHeight w:val="340"/>
        </w:trPr>
        <w:tc>
          <w:tcPr>
            <w:tcW w:w="86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Net property, plant and equipment</w:t>
            </w:r>
          </w:p>
        </w:tc>
        <w:tc>
          <w:tcPr>
            <w:tcW w:w="7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285.7</w:t>
            </w:r>
          </w:p>
        </w:tc>
        <w:tc>
          <w:tcPr>
            <w:tcW w:w="3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286.1</w:t>
            </w:r>
          </w:p>
        </w:tc>
        <w:tc>
          <w:tcPr>
            <w:tcW w:w="780" w:type="dxa"/>
            <w:vAlign w:val="bottom"/>
          </w:tcPr>
          <w:p>
            <w:pPr>
              <w:spacing w:after="0"/>
              <w:rPr>
                <w:sz w:val="24"/>
                <w:szCs w:val="24"/>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Operating lease right-of-use assets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50.6</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52.7</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Goodwill</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399.1</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399.0</w:t>
            </w:r>
          </w:p>
        </w:tc>
        <w:tc>
          <w:tcPr>
            <w:tcW w:w="78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Other intangible assets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68.9</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67.7</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Deferred tax assets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13.0</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13.6</w:t>
            </w:r>
          </w:p>
        </w:tc>
        <w:tc>
          <w:tcPr>
            <w:tcW w:w="780" w:type="dxa"/>
            <w:vAlign w:val="bottom"/>
          </w:tcPr>
          <w:p>
            <w:pPr>
              <w:spacing w:after="0"/>
              <w:rPr>
                <w:sz w:val="15"/>
                <w:szCs w:val="15"/>
                <w:color w:val="auto"/>
              </w:rPr>
            </w:pPr>
          </w:p>
        </w:tc>
      </w:tr>
      <w:tr>
        <w:trPr>
          <w:trHeight w:val="172"/>
        </w:trPr>
        <w:tc>
          <w:tcPr>
            <w:tcW w:w="860" w:type="dxa"/>
            <w:vAlign w:val="bottom"/>
          </w:tcPr>
          <w:p>
            <w:pPr>
              <w:spacing w:after="0"/>
              <w:rPr>
                <w:sz w:val="14"/>
                <w:szCs w:val="14"/>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Other non-current assets</w:t>
            </w:r>
          </w:p>
        </w:tc>
        <w:tc>
          <w:tcPr>
            <w:tcW w:w="7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w w:val="95"/>
              </w:rPr>
              <w:t>3.4</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8.7</w:t>
            </w:r>
          </w:p>
        </w:tc>
        <w:tc>
          <w:tcPr>
            <w:tcW w:w="780" w:type="dxa"/>
            <w:vAlign w:val="bottom"/>
          </w:tcPr>
          <w:p>
            <w:pPr>
              <w:spacing w:after="0"/>
              <w:rPr>
                <w:sz w:val="14"/>
                <w:szCs w:val="14"/>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spacing w:after="0" w:line="169" w:lineRule="exact"/>
              <w:rPr>
                <w:sz w:val="20"/>
                <w:szCs w:val="20"/>
                <w:color w:val="auto"/>
              </w:rPr>
            </w:pPr>
            <w:r>
              <w:rPr>
                <w:rFonts w:ascii="Verdana" w:cs="Verdana" w:eastAsia="Verdana" w:hAnsi="Verdana"/>
                <w:sz w:val="14"/>
                <w:szCs w:val="14"/>
                <w:color w:val="auto"/>
              </w:rPr>
              <w:t>Total assets</w:t>
            </w:r>
          </w:p>
        </w:tc>
        <w:tc>
          <w:tcPr>
            <w:tcW w:w="740" w:type="dxa"/>
            <w:vAlign w:val="bottom"/>
          </w:tcPr>
          <w:p>
            <w:pPr>
              <w:jc w:val="right"/>
              <w:ind w:right="68"/>
              <w:spacing w:after="0" w:line="169" w:lineRule="exact"/>
              <w:rPr>
                <w:sz w:val="20"/>
                <w:szCs w:val="20"/>
                <w:color w:val="auto"/>
              </w:rPr>
            </w:pPr>
            <w:r>
              <w:rPr>
                <w:rFonts w:ascii="Verdana" w:cs="Verdana" w:eastAsia="Verdana" w:hAnsi="Verdana"/>
                <w:sz w:val="14"/>
                <w:szCs w:val="14"/>
                <w:color w:val="auto"/>
              </w:rPr>
              <w:t>$</w:t>
            </w:r>
          </w:p>
        </w:tc>
        <w:tc>
          <w:tcPr>
            <w:tcW w:w="134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1,819.8</w:t>
            </w:r>
          </w:p>
        </w:tc>
        <w:tc>
          <w:tcPr>
            <w:tcW w:w="300" w:type="dxa"/>
            <w:vAlign w:val="bottom"/>
          </w:tcPr>
          <w:p>
            <w:pPr>
              <w:jc w:val="right"/>
              <w:ind w:right="28"/>
              <w:spacing w:after="0" w:line="169" w:lineRule="exact"/>
              <w:rPr>
                <w:sz w:val="20"/>
                <w:szCs w:val="20"/>
                <w:color w:val="auto"/>
              </w:rPr>
            </w:pPr>
            <w:r>
              <w:rPr>
                <w:rFonts w:ascii="Verdana" w:cs="Verdana" w:eastAsia="Verdana" w:hAnsi="Verdana"/>
                <w:sz w:val="14"/>
                <w:szCs w:val="14"/>
                <w:color w:val="auto"/>
              </w:rPr>
              <w:t>$</w:t>
            </w:r>
          </w:p>
        </w:tc>
        <w:tc>
          <w:tcPr>
            <w:tcW w:w="136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1,832.4</w:t>
            </w:r>
          </w:p>
        </w:tc>
        <w:tc>
          <w:tcPr>
            <w:tcW w:w="780" w:type="dxa"/>
            <w:vAlign w:val="bottom"/>
          </w:tcPr>
          <w:p>
            <w:pPr>
              <w:spacing w:after="0"/>
              <w:rPr>
                <w:sz w:val="15"/>
                <w:szCs w:val="15"/>
                <w:color w:val="auto"/>
              </w:rPr>
            </w:pPr>
          </w:p>
        </w:tc>
      </w:tr>
      <w:tr>
        <w:trPr>
          <w:trHeight w:val="378"/>
        </w:trPr>
        <w:tc>
          <w:tcPr>
            <w:tcW w:w="860" w:type="dxa"/>
            <w:vAlign w:val="bottom"/>
          </w:tcPr>
          <w:p>
            <w:pPr>
              <w:spacing w:after="0"/>
              <w:rPr>
                <w:sz w:val="24"/>
                <w:szCs w:val="24"/>
                <w:color w:val="auto"/>
              </w:rPr>
            </w:pPr>
          </w:p>
        </w:tc>
        <w:tc>
          <w:tcPr>
            <w:tcW w:w="2520" w:type="dxa"/>
            <w:vAlign w:val="bottom"/>
            <w:tcBorders>
              <w:bottom w:val="single" w:sz="8" w:color="auto"/>
            </w:tcBorders>
            <w:gridSpan w:val="3"/>
          </w:tcPr>
          <w:p>
            <w:pPr>
              <w:spacing w:after="0"/>
              <w:rPr>
                <w:sz w:val="20"/>
                <w:szCs w:val="20"/>
                <w:color w:val="auto"/>
              </w:rPr>
            </w:pPr>
            <w:r>
              <w:rPr>
                <w:rFonts w:ascii="Verdana" w:cs="Verdana" w:eastAsia="Verdana" w:hAnsi="Verdana"/>
                <w:sz w:val="14"/>
                <w:szCs w:val="14"/>
                <w:i w:val="1"/>
                <w:iCs w:val="1"/>
                <w:color w:val="auto"/>
              </w:rPr>
              <w:t>Liabilities and Stockholders’ Equity</w:t>
            </w:r>
          </w:p>
        </w:tc>
        <w:tc>
          <w:tcPr>
            <w:tcW w:w="2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2"/>
        </w:trPr>
        <w:tc>
          <w:tcPr>
            <w:tcW w:w="86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Current liabilities:</w:t>
            </w: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Accounts payable</w:t>
            </w:r>
          </w:p>
        </w:tc>
        <w:tc>
          <w:tcPr>
            <w:tcW w:w="740" w:type="dxa"/>
            <w:vAlign w:val="bottom"/>
          </w:tcPr>
          <w:p>
            <w:pPr>
              <w:jc w:val="right"/>
              <w:ind w:right="68"/>
              <w:spacing w:after="0"/>
              <w:rPr>
                <w:sz w:val="20"/>
                <w:szCs w:val="20"/>
                <w:color w:val="auto"/>
              </w:rPr>
            </w:pPr>
            <w:r>
              <w:rPr>
                <w:rFonts w:ascii="Verdana" w:cs="Verdana" w:eastAsia="Verdana" w:hAnsi="Verdana"/>
                <w:sz w:val="14"/>
                <w:szCs w:val="14"/>
                <w:color w:val="auto"/>
              </w:rPr>
              <w:t>$</w:t>
            </w: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138.5</w:t>
            </w:r>
          </w:p>
        </w:tc>
        <w:tc>
          <w:tcPr>
            <w:tcW w:w="300" w:type="dxa"/>
            <w:vAlign w:val="bottom"/>
          </w:tcPr>
          <w:p>
            <w:pPr>
              <w:jc w:val="right"/>
              <w:ind w:right="28"/>
              <w:spacing w:after="0"/>
              <w:rPr>
                <w:sz w:val="20"/>
                <w:szCs w:val="20"/>
                <w:color w:val="auto"/>
              </w:rPr>
            </w:pPr>
            <w:r>
              <w:rPr>
                <w:rFonts w:ascii="Verdana" w:cs="Verdana" w:eastAsia="Verdana" w:hAnsi="Verdana"/>
                <w:sz w:val="14"/>
                <w:szCs w:val="14"/>
                <w:color w:val="auto"/>
              </w:rPr>
              <w:t>$</w:t>
            </w: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174.7</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Accrued liabilities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169.3</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152.3</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Current portion of operating lease liabilities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15.1</w:t>
            </w:r>
          </w:p>
        </w:tc>
        <w:tc>
          <w:tcPr>
            <w:tcW w:w="300" w:type="dxa"/>
            <w:vAlign w:val="bottom"/>
          </w:tcPr>
          <w:p>
            <w:pPr>
              <w:spacing w:after="0"/>
              <w:rPr>
                <w:sz w:val="15"/>
                <w:szCs w:val="15"/>
                <w:color w:val="auto"/>
              </w:rPr>
            </w:pPr>
          </w:p>
        </w:tc>
        <w:tc>
          <w:tcPr>
            <w:tcW w:w="1360" w:type="dxa"/>
            <w:vAlign w:val="bottom"/>
          </w:tcPr>
          <w:p>
            <w:pPr>
              <w:jc w:val="right"/>
              <w:ind w:right="488"/>
              <w:spacing w:after="0"/>
              <w:rPr>
                <w:sz w:val="20"/>
                <w:szCs w:val="20"/>
                <w:color w:val="auto"/>
              </w:rPr>
            </w:pPr>
            <w:r>
              <w:rPr>
                <w:rFonts w:ascii="Verdana" w:cs="Verdana" w:eastAsia="Verdana" w:hAnsi="Verdana"/>
                <w:sz w:val="14"/>
                <w:szCs w:val="14"/>
                <w:color w:val="auto"/>
              </w:rPr>
              <w:t>15.9</w:t>
            </w:r>
          </w:p>
        </w:tc>
        <w:tc>
          <w:tcPr>
            <w:tcW w:w="78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Current portion of plant closure provisions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w w:val="95"/>
              </w:rPr>
              <w:t>4.9</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4.9</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Current portion of acquisition-related contingent consideration</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w w:val="95"/>
              </w:rPr>
              <w:t>2.7</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7.0</w:t>
            </w:r>
          </w:p>
        </w:tc>
        <w:tc>
          <w:tcPr>
            <w:tcW w:w="780" w:type="dxa"/>
            <w:vAlign w:val="bottom"/>
          </w:tcPr>
          <w:p>
            <w:pPr>
              <w:spacing w:after="0"/>
              <w:rPr>
                <w:sz w:val="15"/>
                <w:szCs w:val="15"/>
                <w:color w:val="auto"/>
              </w:rPr>
            </w:pPr>
          </w:p>
        </w:tc>
      </w:tr>
      <w:tr>
        <w:trPr>
          <w:trHeight w:val="172"/>
        </w:trPr>
        <w:tc>
          <w:tcPr>
            <w:tcW w:w="860" w:type="dxa"/>
            <w:vAlign w:val="bottom"/>
          </w:tcPr>
          <w:p>
            <w:pPr>
              <w:spacing w:after="0"/>
              <w:rPr>
                <w:sz w:val="14"/>
                <w:szCs w:val="14"/>
                <w:color w:val="auto"/>
              </w:rPr>
            </w:pPr>
          </w:p>
        </w:tc>
        <w:tc>
          <w:tcPr>
            <w:tcW w:w="5360" w:type="dxa"/>
            <w:vAlign w:val="bottom"/>
            <w:gridSpan w:val="4"/>
          </w:tcPr>
          <w:p>
            <w:pPr>
              <w:ind w:left="260"/>
              <w:spacing w:after="0"/>
              <w:rPr>
                <w:sz w:val="20"/>
                <w:szCs w:val="20"/>
                <w:color w:val="auto"/>
              </w:rPr>
            </w:pPr>
            <w:r>
              <w:rPr>
                <w:rFonts w:ascii="Verdana" w:cs="Verdana" w:eastAsia="Verdana" w:hAnsi="Verdana"/>
                <w:sz w:val="14"/>
                <w:szCs w:val="14"/>
                <w:color w:val="auto"/>
              </w:rPr>
              <w:t>Accrued income taxes</w:t>
            </w:r>
          </w:p>
        </w:tc>
        <w:tc>
          <w:tcPr>
            <w:tcW w:w="7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w w:val="95"/>
              </w:rPr>
              <w:t>4.3</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right"/>
              <w:ind w:right="528"/>
              <w:spacing w:after="0"/>
              <w:rPr>
                <w:sz w:val="20"/>
                <w:szCs w:val="20"/>
                <w:color w:val="auto"/>
              </w:rPr>
            </w:pPr>
            <w:r>
              <w:rPr>
                <w:rFonts w:ascii="Verdana" w:cs="Verdana" w:eastAsia="Verdana" w:hAnsi="Verdana"/>
                <w:sz w:val="14"/>
                <w:szCs w:val="14"/>
                <w:color w:val="auto"/>
              </w:rPr>
              <w:t>5.3</w:t>
            </w:r>
          </w:p>
        </w:tc>
        <w:tc>
          <w:tcPr>
            <w:tcW w:w="780" w:type="dxa"/>
            <w:vAlign w:val="bottom"/>
          </w:tcPr>
          <w:p>
            <w:pPr>
              <w:spacing w:after="0"/>
              <w:rPr>
                <w:sz w:val="14"/>
                <w:szCs w:val="14"/>
                <w:color w:val="auto"/>
              </w:rPr>
            </w:pPr>
          </w:p>
        </w:tc>
      </w:tr>
      <w:tr>
        <w:trPr>
          <w:trHeight w:val="184"/>
        </w:trPr>
        <w:tc>
          <w:tcPr>
            <w:tcW w:w="860" w:type="dxa"/>
            <w:vAlign w:val="bottom"/>
          </w:tcPr>
          <w:p>
            <w:pPr>
              <w:spacing w:after="0"/>
              <w:rPr>
                <w:sz w:val="16"/>
                <w:szCs w:val="16"/>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Total current liabilities</w:t>
            </w:r>
          </w:p>
        </w:tc>
        <w:tc>
          <w:tcPr>
            <w:tcW w:w="7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334.8</w:t>
            </w:r>
          </w:p>
        </w:tc>
        <w:tc>
          <w:tcPr>
            <w:tcW w:w="3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360.1</w:t>
            </w:r>
          </w:p>
        </w:tc>
        <w:tc>
          <w:tcPr>
            <w:tcW w:w="780" w:type="dxa"/>
            <w:vAlign w:val="bottom"/>
          </w:tcPr>
          <w:p>
            <w:pPr>
              <w:spacing w:after="0"/>
              <w:rPr>
                <w:sz w:val="16"/>
                <w:szCs w:val="16"/>
                <w:color w:val="auto"/>
              </w:rPr>
            </w:pPr>
          </w:p>
        </w:tc>
      </w:tr>
      <w:tr>
        <w:trPr>
          <w:trHeight w:val="340"/>
        </w:trPr>
        <w:tc>
          <w:tcPr>
            <w:tcW w:w="860" w:type="dxa"/>
            <w:vAlign w:val="bottom"/>
          </w:tcPr>
          <w:p>
            <w:pPr>
              <w:spacing w:after="0"/>
              <w:rPr>
                <w:sz w:val="24"/>
                <w:szCs w:val="24"/>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Operating lease liabilities, net of current portion</w:t>
            </w:r>
          </w:p>
        </w:tc>
        <w:tc>
          <w:tcPr>
            <w:tcW w:w="7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35.5</w:t>
            </w:r>
          </w:p>
        </w:tc>
        <w:tc>
          <w:tcPr>
            <w:tcW w:w="3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36.8</w:t>
            </w:r>
          </w:p>
        </w:tc>
        <w:tc>
          <w:tcPr>
            <w:tcW w:w="780" w:type="dxa"/>
            <w:vAlign w:val="bottom"/>
          </w:tcPr>
          <w:p>
            <w:pPr>
              <w:spacing w:after="0"/>
              <w:rPr>
                <w:sz w:val="24"/>
                <w:szCs w:val="24"/>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Plant closure provisions, net of current portion</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60.8</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60.2</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Deferred tax liabilities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17.9</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19.1</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Pension liabilities and post-employment benefits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rPr>
              <w:t>12.8</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13.2</w:t>
            </w:r>
          </w:p>
        </w:tc>
        <w:tc>
          <w:tcPr>
            <w:tcW w:w="780" w:type="dxa"/>
            <w:vAlign w:val="bottom"/>
          </w:tcPr>
          <w:p>
            <w:pPr>
              <w:spacing w:after="0"/>
              <w:rPr>
                <w:sz w:val="15"/>
                <w:szCs w:val="15"/>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Acquisition-related contingent consideration, net of current portion</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w w:val="95"/>
              </w:rPr>
              <w:t>1.3</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1.3</w:t>
            </w:r>
          </w:p>
        </w:tc>
        <w:tc>
          <w:tcPr>
            <w:tcW w:w="780" w:type="dxa"/>
            <w:vAlign w:val="bottom"/>
          </w:tcPr>
          <w:p>
            <w:pPr>
              <w:spacing w:after="0"/>
              <w:rPr>
                <w:sz w:val="15"/>
                <w:szCs w:val="15"/>
                <w:color w:val="auto"/>
              </w:rPr>
            </w:pPr>
          </w:p>
        </w:tc>
      </w:tr>
      <w:tr>
        <w:trPr>
          <w:trHeight w:val="175"/>
        </w:trPr>
        <w:tc>
          <w:tcPr>
            <w:tcW w:w="860" w:type="dxa"/>
            <w:vAlign w:val="bottom"/>
          </w:tcPr>
          <w:p>
            <w:pPr>
              <w:spacing w:after="0"/>
              <w:rPr>
                <w:sz w:val="15"/>
                <w:szCs w:val="15"/>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Other non-current liabilities</w:t>
            </w:r>
          </w:p>
        </w:tc>
        <w:tc>
          <w:tcPr>
            <w:tcW w:w="7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Verdana" w:cs="Verdana" w:eastAsia="Verdana" w:hAnsi="Verdana"/>
                <w:sz w:val="14"/>
                <w:szCs w:val="14"/>
                <w:color w:val="auto"/>
                <w:w w:val="95"/>
              </w:rPr>
              <w:t>4.5</w:t>
            </w:r>
          </w:p>
        </w:tc>
        <w:tc>
          <w:tcPr>
            <w:tcW w:w="3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Verdana" w:cs="Verdana" w:eastAsia="Verdana" w:hAnsi="Verdana"/>
                <w:sz w:val="14"/>
                <w:szCs w:val="14"/>
                <w:color w:val="auto"/>
              </w:rPr>
              <w:t>8.8</w:t>
            </w:r>
          </w:p>
        </w:tc>
        <w:tc>
          <w:tcPr>
            <w:tcW w:w="780" w:type="dxa"/>
            <w:vAlign w:val="bottom"/>
          </w:tcPr>
          <w:p>
            <w:pPr>
              <w:spacing w:after="0"/>
              <w:rPr>
                <w:sz w:val="15"/>
                <w:szCs w:val="15"/>
                <w:color w:val="auto"/>
              </w:rPr>
            </w:pPr>
          </w:p>
        </w:tc>
      </w:tr>
      <w:tr>
        <w:trPr>
          <w:trHeight w:val="172"/>
        </w:trPr>
        <w:tc>
          <w:tcPr>
            <w:tcW w:w="860" w:type="dxa"/>
            <w:vAlign w:val="bottom"/>
          </w:tcPr>
          <w:p>
            <w:pPr>
              <w:spacing w:after="0"/>
              <w:rPr>
                <w:sz w:val="14"/>
                <w:szCs w:val="14"/>
                <w:color w:val="auto"/>
              </w:rPr>
            </w:pPr>
          </w:p>
        </w:tc>
        <w:tc>
          <w:tcPr>
            <w:tcW w:w="5360" w:type="dxa"/>
            <w:vAlign w:val="bottom"/>
            <w:gridSpan w:val="4"/>
          </w:tcPr>
          <w:p>
            <w:pPr>
              <w:spacing w:after="0"/>
              <w:rPr>
                <w:sz w:val="20"/>
                <w:szCs w:val="20"/>
                <w:color w:val="auto"/>
              </w:rPr>
            </w:pPr>
            <w:r>
              <w:rPr>
                <w:rFonts w:ascii="Verdana" w:cs="Verdana" w:eastAsia="Verdana" w:hAnsi="Verdana"/>
                <w:sz w:val="14"/>
                <w:szCs w:val="14"/>
                <w:color w:val="auto"/>
              </w:rPr>
              <w:t>Equity</w:t>
            </w:r>
          </w:p>
        </w:tc>
        <w:tc>
          <w:tcPr>
            <w:tcW w:w="74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1,352.2</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1,332.9</w:t>
            </w:r>
          </w:p>
        </w:tc>
        <w:tc>
          <w:tcPr>
            <w:tcW w:w="780" w:type="dxa"/>
            <w:vAlign w:val="bottom"/>
          </w:tcPr>
          <w:p>
            <w:pPr>
              <w:spacing w:after="0"/>
              <w:rPr>
                <w:sz w:val="14"/>
                <w:szCs w:val="14"/>
                <w:color w:val="auto"/>
              </w:rPr>
            </w:pPr>
          </w:p>
        </w:tc>
      </w:tr>
      <w:tr>
        <w:trPr>
          <w:trHeight w:val="176"/>
        </w:trPr>
        <w:tc>
          <w:tcPr>
            <w:tcW w:w="860" w:type="dxa"/>
            <w:vAlign w:val="bottom"/>
          </w:tcPr>
          <w:p>
            <w:pPr>
              <w:spacing w:after="0"/>
              <w:rPr>
                <w:sz w:val="15"/>
                <w:szCs w:val="15"/>
                <w:color w:val="auto"/>
              </w:rPr>
            </w:pPr>
          </w:p>
        </w:tc>
        <w:tc>
          <w:tcPr>
            <w:tcW w:w="5360" w:type="dxa"/>
            <w:vAlign w:val="bottom"/>
            <w:gridSpan w:val="4"/>
          </w:tcPr>
          <w:p>
            <w:pPr>
              <w:spacing w:after="0" w:line="169" w:lineRule="exact"/>
              <w:rPr>
                <w:sz w:val="20"/>
                <w:szCs w:val="20"/>
                <w:color w:val="auto"/>
              </w:rPr>
            </w:pPr>
            <w:r>
              <w:rPr>
                <w:rFonts w:ascii="Verdana" w:cs="Verdana" w:eastAsia="Verdana" w:hAnsi="Verdana"/>
                <w:sz w:val="14"/>
                <w:szCs w:val="14"/>
                <w:color w:val="auto"/>
              </w:rPr>
              <w:t>Total liabilities and equity</w:t>
            </w:r>
          </w:p>
        </w:tc>
        <w:tc>
          <w:tcPr>
            <w:tcW w:w="740" w:type="dxa"/>
            <w:vAlign w:val="bottom"/>
          </w:tcPr>
          <w:p>
            <w:pPr>
              <w:jc w:val="right"/>
              <w:ind w:right="68"/>
              <w:spacing w:after="0" w:line="169" w:lineRule="exact"/>
              <w:rPr>
                <w:sz w:val="20"/>
                <w:szCs w:val="20"/>
                <w:color w:val="auto"/>
              </w:rPr>
            </w:pPr>
            <w:r>
              <w:rPr>
                <w:rFonts w:ascii="Verdana" w:cs="Verdana" w:eastAsia="Verdana" w:hAnsi="Verdana"/>
                <w:sz w:val="14"/>
                <w:szCs w:val="14"/>
                <w:color w:val="auto"/>
              </w:rPr>
              <w:t>$</w:t>
            </w:r>
          </w:p>
        </w:tc>
        <w:tc>
          <w:tcPr>
            <w:tcW w:w="134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1,819.8</w:t>
            </w:r>
          </w:p>
        </w:tc>
        <w:tc>
          <w:tcPr>
            <w:tcW w:w="300" w:type="dxa"/>
            <w:vAlign w:val="bottom"/>
          </w:tcPr>
          <w:p>
            <w:pPr>
              <w:jc w:val="right"/>
              <w:ind w:right="28"/>
              <w:spacing w:after="0" w:line="169" w:lineRule="exact"/>
              <w:rPr>
                <w:sz w:val="20"/>
                <w:szCs w:val="20"/>
                <w:color w:val="auto"/>
              </w:rPr>
            </w:pPr>
            <w:r>
              <w:rPr>
                <w:rFonts w:ascii="Verdana" w:cs="Verdana" w:eastAsia="Verdana" w:hAnsi="Verdana"/>
                <w:sz w:val="14"/>
                <w:szCs w:val="14"/>
                <w:color w:val="auto"/>
              </w:rPr>
              <w:t>$</w:t>
            </w:r>
          </w:p>
        </w:tc>
        <w:tc>
          <w:tcPr>
            <w:tcW w:w="1360" w:type="dxa"/>
            <w:vAlign w:val="bottom"/>
            <w:tcBorders>
              <w:bottom w:val="single" w:sz="8" w:color="auto"/>
            </w:tcBorders>
          </w:tcPr>
          <w:p>
            <w:pPr>
              <w:jc w:val="center"/>
              <w:spacing w:after="0" w:line="169" w:lineRule="exact"/>
              <w:rPr>
                <w:sz w:val="20"/>
                <w:szCs w:val="20"/>
                <w:color w:val="auto"/>
              </w:rPr>
            </w:pPr>
            <w:r>
              <w:rPr>
                <w:rFonts w:ascii="Verdana" w:cs="Verdana" w:eastAsia="Verdana" w:hAnsi="Verdana"/>
                <w:sz w:val="14"/>
                <w:szCs w:val="14"/>
                <w:color w:val="auto"/>
              </w:rPr>
              <w:t>1,832.4</w:t>
            </w:r>
          </w:p>
        </w:tc>
        <w:tc>
          <w:tcPr>
            <w:tcW w:w="780" w:type="dxa"/>
            <w:vAlign w:val="bottom"/>
          </w:tcPr>
          <w:p>
            <w:pPr>
              <w:spacing w:after="0"/>
              <w:rPr>
                <w:sz w:val="15"/>
                <w:szCs w:val="15"/>
                <w:color w:val="auto"/>
              </w:rPr>
            </w:pPr>
          </w:p>
        </w:tc>
      </w:tr>
      <w:tr>
        <w:trPr>
          <w:trHeight w:val="3206"/>
        </w:trPr>
        <w:tc>
          <w:tcPr>
            <w:tcW w:w="8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5262245</wp:posOffset>
            </wp:positionH>
            <wp:positionV relativeFrom="paragraph">
              <wp:posOffset>-4521200</wp:posOffset>
            </wp:positionV>
            <wp:extent cx="21399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995" cy="162560"/>
                    </a:xfrm>
                    <a:prstGeom prst="rect">
                      <a:avLst/>
                    </a:prstGeom>
                    <a:noFill/>
                  </pic:spPr>
                </pic:pic>
              </a:graphicData>
            </a:graphic>
          </wp:anchor>
        </w:drawing>
      </w:r>
    </w:p>
    <w:p>
      <w:pPr>
        <w:sectPr>
          <w:pgSz w:w="11900" w:h="16838" w:orient="portrait"/>
          <w:cols w:equalWidth="0" w:num="1">
            <w:col w:w="10740"/>
          </w:cols>
          <w:pgMar w:left="580" w:top="1439" w:right="5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7"/>
        </w:trPr>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60" w:type="dxa"/>
            <w:vAlign w:val="bottom"/>
            <w:vMerge w:val="restart"/>
          </w:tcPr>
          <w:p>
            <w:pPr>
              <w:jc w:val="center"/>
              <w:ind w:right="188"/>
              <w:spacing w:after="0"/>
              <w:rPr>
                <w:sz w:val="20"/>
                <w:szCs w:val="20"/>
                <w:color w:val="auto"/>
              </w:rPr>
            </w:pPr>
            <w:r>
              <w:rPr>
                <w:rFonts w:ascii="Verdana" w:cs="Verdana" w:eastAsia="Verdana" w:hAnsi="Verdana"/>
                <w:sz w:val="14"/>
                <w:szCs w:val="14"/>
                <w:b w:val="1"/>
                <w:bCs w:val="1"/>
                <w:color w:val="auto"/>
              </w:rPr>
              <w:t>INNOSPEC INC. AND SUBSIDIARIES</w:t>
            </w: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Verdana" w:cs="Verdana" w:eastAsia="Verdana" w:hAnsi="Verdana"/>
                <w:sz w:val="14"/>
                <w:szCs w:val="14"/>
                <w:color w:val="auto"/>
              </w:rPr>
              <w:t>Schedule 4</w:t>
            </w:r>
          </w:p>
        </w:tc>
        <w:tc>
          <w:tcPr>
            <w:tcW w:w="0" w:type="dxa"/>
            <w:vAlign w:val="bottom"/>
          </w:tcPr>
          <w:p>
            <w:pPr>
              <w:spacing w:after="0"/>
              <w:rPr>
                <w:sz w:val="1"/>
                <w:szCs w:val="1"/>
                <w:color w:val="auto"/>
              </w:rPr>
            </w:pPr>
          </w:p>
        </w:tc>
      </w:tr>
      <w:tr>
        <w:trPr>
          <w:trHeight w:val="164"/>
        </w:trPr>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720" w:type="dxa"/>
            <w:vAlign w:val="bottom"/>
            <w:gridSpan w:val="4"/>
          </w:tcPr>
          <w:p>
            <w:pPr>
              <w:jc w:val="center"/>
              <w:ind w:left="768"/>
              <w:spacing w:after="0"/>
              <w:rPr>
                <w:sz w:val="20"/>
                <w:szCs w:val="20"/>
                <w:color w:val="auto"/>
              </w:rPr>
            </w:pPr>
            <w:r>
              <w:rPr>
                <w:rFonts w:ascii="Verdana" w:cs="Verdana" w:eastAsia="Verdana" w:hAnsi="Verdana"/>
                <w:sz w:val="14"/>
                <w:szCs w:val="14"/>
                <w:b w:val="1"/>
                <w:bCs w:val="1"/>
                <w:color w:val="auto"/>
              </w:rPr>
              <w:t>CONDENSED CONSOLIDATED STATEMENTS OF CASH FLOWS</w:t>
            </w:r>
          </w:p>
        </w:tc>
        <w:tc>
          <w:tcPr>
            <w:tcW w:w="2940" w:type="dxa"/>
            <w:vAlign w:val="bottom"/>
            <w:gridSpan w:val="5"/>
            <w:vMerge w:val="restart"/>
          </w:tcPr>
          <w:p>
            <w:pPr>
              <w:jc w:val="center"/>
              <w:ind w:right="840"/>
              <w:spacing w:after="0"/>
              <w:rPr>
                <w:sz w:val="20"/>
                <w:szCs w:val="20"/>
                <w:color w:val="auto"/>
              </w:rPr>
            </w:pPr>
            <w:r>
              <w:rPr>
                <w:rFonts w:ascii="Verdana" w:cs="Verdana" w:eastAsia="Verdana" w:hAnsi="Verdana"/>
                <w:sz w:val="14"/>
                <w:szCs w:val="14"/>
                <w:b w:val="1"/>
                <w:bCs w:val="1"/>
                <w:color w:val="auto"/>
              </w:rPr>
              <w:t>Three Months Ended</w:t>
            </w:r>
          </w:p>
        </w:tc>
        <w:tc>
          <w:tcPr>
            <w:tcW w:w="0" w:type="dxa"/>
            <w:vAlign w:val="bottom"/>
          </w:tcPr>
          <w:p>
            <w:pPr>
              <w:spacing w:after="0"/>
              <w:rPr>
                <w:sz w:val="1"/>
                <w:szCs w:val="1"/>
                <w:color w:val="auto"/>
              </w:rPr>
            </w:pPr>
          </w:p>
        </w:tc>
      </w:tr>
      <w:tr>
        <w:trPr>
          <w:trHeight w:val="164"/>
        </w:trPr>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60" w:type="dxa"/>
            <w:vAlign w:val="bottom"/>
            <w:gridSpan w:val="4"/>
          </w:tcPr>
          <w:p>
            <w:pPr>
              <w:jc w:val="center"/>
              <w:ind w:right="1520"/>
              <w:spacing w:after="0"/>
              <w:rPr>
                <w:sz w:val="20"/>
                <w:szCs w:val="20"/>
                <w:color w:val="auto"/>
              </w:rPr>
            </w:pPr>
            <w:r>
              <w:rPr>
                <w:rFonts w:ascii="Verdana" w:cs="Verdana" w:eastAsia="Verdana" w:hAnsi="Verdana"/>
                <w:sz w:val="14"/>
                <w:szCs w:val="14"/>
                <w:b w:val="1"/>
                <w:bCs w:val="1"/>
                <w:color w:val="auto"/>
              </w:rPr>
              <w:t>March 31</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6120" w:type="dxa"/>
            <w:vAlign w:val="bottom"/>
            <w:gridSpan w:val="4"/>
          </w:tcPr>
          <w:p>
            <w:pPr>
              <w:spacing w:after="0" w:line="156" w:lineRule="exact"/>
              <w:rPr>
                <w:sz w:val="20"/>
                <w:szCs w:val="20"/>
                <w:color w:val="auto"/>
              </w:rPr>
            </w:pPr>
            <w:r>
              <w:rPr>
                <w:rFonts w:ascii="Verdana" w:cs="Verdana" w:eastAsia="Verdana" w:hAnsi="Verdana"/>
                <w:sz w:val="14"/>
                <w:szCs w:val="14"/>
                <w:b w:val="1"/>
                <w:bCs w:val="1"/>
                <w:color w:val="auto"/>
              </w:rPr>
              <w:t>(in millions)</w:t>
            </w:r>
          </w:p>
        </w:tc>
        <w:tc>
          <w:tcPr>
            <w:tcW w:w="580" w:type="dxa"/>
            <w:vAlign w:val="bottom"/>
          </w:tcPr>
          <w:p>
            <w:pPr>
              <w:spacing w:after="0"/>
              <w:rPr>
                <w:sz w:val="13"/>
                <w:szCs w:val="13"/>
                <w:color w:val="auto"/>
              </w:rPr>
            </w:pPr>
          </w:p>
        </w:tc>
        <w:tc>
          <w:tcPr>
            <w:tcW w:w="680" w:type="dxa"/>
            <w:vAlign w:val="bottom"/>
            <w:tcBorders>
              <w:top w:val="single" w:sz="8" w:color="auto"/>
            </w:tcBorders>
          </w:tcPr>
          <w:p>
            <w:pPr>
              <w:jc w:val="center"/>
              <w:ind w:left="128"/>
              <w:spacing w:after="0" w:line="156" w:lineRule="exact"/>
              <w:rPr>
                <w:sz w:val="20"/>
                <w:szCs w:val="20"/>
                <w:color w:val="auto"/>
              </w:rPr>
            </w:pPr>
            <w:r>
              <w:rPr>
                <w:rFonts w:ascii="Verdana" w:cs="Verdana" w:eastAsia="Verdana" w:hAnsi="Verdana"/>
                <w:sz w:val="14"/>
                <w:szCs w:val="14"/>
                <w:b w:val="1"/>
                <w:bCs w:val="1"/>
                <w:color w:val="auto"/>
              </w:rPr>
              <w:t>2026</w:t>
            </w:r>
          </w:p>
        </w:tc>
        <w:tc>
          <w:tcPr>
            <w:tcW w:w="20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spacing w:after="0" w:line="156" w:lineRule="exact"/>
              <w:rPr>
                <w:sz w:val="20"/>
                <w:szCs w:val="20"/>
                <w:color w:val="auto"/>
              </w:rPr>
            </w:pPr>
            <w:r>
              <w:rPr>
                <w:rFonts w:ascii="Verdana" w:cs="Verdana" w:eastAsia="Verdana" w:hAnsi="Verdana"/>
                <w:sz w:val="14"/>
                <w:szCs w:val="14"/>
                <w:b w:val="1"/>
                <w:bCs w:val="1"/>
                <w:color w:val="auto"/>
              </w:rPr>
              <w:t>2025</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100" w:type="dxa"/>
            <w:vAlign w:val="bottom"/>
          </w:tcPr>
          <w:p>
            <w:pPr>
              <w:spacing w:after="0"/>
              <w:rPr>
                <w:sz w:val="24"/>
                <w:szCs w:val="24"/>
                <w:color w:val="auto"/>
              </w:rPr>
            </w:pPr>
          </w:p>
        </w:tc>
        <w:tc>
          <w:tcPr>
            <w:tcW w:w="2660" w:type="dxa"/>
            <w:vAlign w:val="bottom"/>
            <w:tcBorders>
              <w:bottom w:val="single" w:sz="8" w:color="auto"/>
            </w:tcBorders>
            <w:gridSpan w:val="3"/>
          </w:tcPr>
          <w:p>
            <w:pPr>
              <w:spacing w:after="0"/>
              <w:rPr>
                <w:sz w:val="20"/>
                <w:szCs w:val="20"/>
                <w:color w:val="auto"/>
              </w:rPr>
            </w:pPr>
            <w:r>
              <w:rPr>
                <w:rFonts w:ascii="Verdana" w:cs="Verdana" w:eastAsia="Verdana" w:hAnsi="Verdana"/>
                <w:sz w:val="14"/>
                <w:szCs w:val="14"/>
                <w:i w:val="1"/>
                <w:iCs w:val="1"/>
                <w:color w:val="auto"/>
              </w:rPr>
              <w:t>Cash Flows from Operating Activities</w:t>
            </w:r>
          </w:p>
        </w:tc>
        <w:tc>
          <w:tcPr>
            <w:tcW w:w="3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10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Net income attributable to Innospec</w:t>
            </w:r>
          </w:p>
        </w:tc>
        <w:tc>
          <w:tcPr>
            <w:tcW w:w="580" w:type="dxa"/>
            <w:vAlign w:val="bottom"/>
          </w:tcPr>
          <w:p>
            <w:pPr>
              <w:jc w:val="right"/>
              <w:ind w:right="28"/>
              <w:spacing w:after="0"/>
              <w:rPr>
                <w:sz w:val="20"/>
                <w:szCs w:val="20"/>
                <w:color w:val="auto"/>
              </w:rPr>
            </w:pPr>
            <w:r>
              <w:rPr>
                <w:rFonts w:ascii="Verdana" w:cs="Verdana" w:eastAsia="Verdana" w:hAnsi="Verdana"/>
                <w:sz w:val="14"/>
                <w:szCs w:val="14"/>
                <w:color w:val="auto"/>
              </w:rPr>
              <w:t>$</w:t>
            </w: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30.4</w:t>
            </w:r>
          </w:p>
        </w:tc>
        <w:tc>
          <w:tcPr>
            <w:tcW w:w="560" w:type="dxa"/>
            <w:vAlign w:val="bottom"/>
            <w:gridSpan w:val="2"/>
          </w:tcPr>
          <w:p>
            <w:pPr>
              <w:jc w:val="right"/>
              <w:ind w:right="180"/>
              <w:spacing w:after="0"/>
              <w:rPr>
                <w:sz w:val="20"/>
                <w:szCs w:val="20"/>
                <w:color w:val="auto"/>
              </w:rPr>
            </w:pPr>
            <w:r>
              <w:rPr>
                <w:rFonts w:ascii="Verdana" w:cs="Verdana" w:eastAsia="Verdana" w:hAnsi="Verdana"/>
                <w:sz w:val="14"/>
                <w:szCs w:val="14"/>
                <w:color w:val="auto"/>
              </w:rPr>
              <w:t>$</w:t>
            </w:r>
          </w:p>
        </w:tc>
        <w:tc>
          <w:tcPr>
            <w:tcW w:w="860" w:type="dxa"/>
            <w:vAlign w:val="bottom"/>
          </w:tcPr>
          <w:p>
            <w:pPr>
              <w:jc w:val="center"/>
              <w:spacing w:after="0"/>
              <w:rPr>
                <w:sz w:val="20"/>
                <w:szCs w:val="20"/>
                <w:color w:val="auto"/>
              </w:rPr>
            </w:pPr>
            <w:r>
              <w:rPr>
                <w:rFonts w:ascii="Verdana" w:cs="Verdana" w:eastAsia="Verdana" w:hAnsi="Verdana"/>
                <w:sz w:val="14"/>
                <w:szCs w:val="14"/>
                <w:color w:val="auto"/>
              </w:rPr>
              <w:t>32.8</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Adjustments to reconcile net income to cash provided by operating activities:</w:t>
            </w: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Depreciation and amortization</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9.9</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10.9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Adjustment to fair value of contingent consideration</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(4.7)</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0.7</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Deferred taxes</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(0.7)</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(0.3)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Profit on disposal of property, plant and equipment</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(0.1)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Movements on defined benefit pension plans</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(0.2)</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1.3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Stock option compensation</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1.6</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1.9</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Changes in working capital</w:t>
            </w:r>
          </w:p>
        </w:tc>
        <w:tc>
          <w:tcPr>
            <w:tcW w:w="580" w:type="dxa"/>
            <w:vAlign w:val="bottom"/>
          </w:tcPr>
          <w:p>
            <w:pPr>
              <w:spacing w:after="0"/>
              <w:rPr>
                <w:sz w:val="15"/>
                <w:szCs w:val="15"/>
                <w:color w:val="auto"/>
              </w:rPr>
            </w:pPr>
          </w:p>
        </w:tc>
        <w:tc>
          <w:tcPr>
            <w:tcW w:w="680" w:type="dxa"/>
            <w:vAlign w:val="bottom"/>
          </w:tcPr>
          <w:p>
            <w:pPr>
              <w:jc w:val="center"/>
              <w:ind w:left="108"/>
              <w:spacing w:after="0"/>
              <w:rPr>
                <w:sz w:val="20"/>
                <w:szCs w:val="20"/>
                <w:color w:val="auto"/>
              </w:rPr>
            </w:pPr>
            <w:r>
              <w:rPr>
                <w:rFonts w:ascii="Verdana" w:cs="Verdana" w:eastAsia="Verdana" w:hAnsi="Verdana"/>
                <w:sz w:val="14"/>
                <w:szCs w:val="14"/>
                <w:color w:val="auto"/>
              </w:rPr>
              <w:t>(22.3)</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(21.6)</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Movements in plant closure provisions</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1.5</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(0.4)</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Movements in income taxes</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0.4</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4.3</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6120" w:type="dxa"/>
            <w:vAlign w:val="bottom"/>
            <w:gridSpan w:val="4"/>
          </w:tcPr>
          <w:p>
            <w:pPr>
              <w:ind w:left="240"/>
              <w:spacing w:after="0"/>
              <w:rPr>
                <w:sz w:val="20"/>
                <w:szCs w:val="20"/>
                <w:color w:val="auto"/>
              </w:rPr>
            </w:pPr>
            <w:r>
              <w:rPr>
                <w:rFonts w:ascii="Verdana" w:cs="Verdana" w:eastAsia="Verdana" w:hAnsi="Verdana"/>
                <w:sz w:val="14"/>
                <w:szCs w:val="14"/>
                <w:color w:val="auto"/>
              </w:rPr>
              <w:t>Movements in other assets and liabilities</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ind w:left="128"/>
              <w:spacing w:after="0"/>
              <w:rPr>
                <w:sz w:val="20"/>
                <w:szCs w:val="20"/>
                <w:color w:val="auto"/>
              </w:rPr>
            </w:pPr>
            <w:r>
              <w:rPr>
                <w:rFonts w:ascii="Verdana" w:cs="Verdana" w:eastAsia="Verdana" w:hAnsi="Verdana"/>
                <w:sz w:val="14"/>
                <w:szCs w:val="14"/>
                <w:color w:val="auto"/>
              </w:rPr>
              <w:t>1.7</w:t>
            </w: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(1.2)</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00" w:type="dxa"/>
            <w:vAlign w:val="bottom"/>
          </w:tcPr>
          <w:p>
            <w:pPr>
              <w:spacing w:after="0"/>
              <w:rPr>
                <w:sz w:val="16"/>
                <w:szCs w:val="16"/>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Net cash provided by operating activities</w:t>
            </w:r>
          </w:p>
        </w:tc>
        <w:tc>
          <w:tcPr>
            <w:tcW w:w="580" w:type="dxa"/>
            <w:vAlign w:val="bottom"/>
          </w:tcPr>
          <w:p>
            <w:pPr>
              <w:spacing w:after="0"/>
              <w:rPr>
                <w:sz w:val="16"/>
                <w:szCs w:val="16"/>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17.6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28.3</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100" w:type="dxa"/>
            <w:vAlign w:val="bottom"/>
          </w:tcPr>
          <w:p>
            <w:pPr>
              <w:spacing w:after="0"/>
              <w:rPr>
                <w:sz w:val="24"/>
                <w:szCs w:val="24"/>
                <w:color w:val="auto"/>
              </w:rPr>
            </w:pPr>
          </w:p>
        </w:tc>
        <w:tc>
          <w:tcPr>
            <w:tcW w:w="2620" w:type="dxa"/>
            <w:vAlign w:val="bottom"/>
            <w:tcBorders>
              <w:bottom w:val="single" w:sz="8" w:color="auto"/>
            </w:tcBorders>
            <w:gridSpan w:val="2"/>
          </w:tcPr>
          <w:p>
            <w:pPr>
              <w:spacing w:after="0"/>
              <w:rPr>
                <w:sz w:val="20"/>
                <w:szCs w:val="20"/>
                <w:color w:val="auto"/>
              </w:rPr>
            </w:pPr>
            <w:r>
              <w:rPr>
                <w:rFonts w:ascii="Verdana" w:cs="Verdana" w:eastAsia="Verdana" w:hAnsi="Verdana"/>
                <w:sz w:val="14"/>
                <w:szCs w:val="14"/>
                <w:i w:val="1"/>
                <w:iCs w:val="1"/>
                <w:color w:val="auto"/>
              </w:rPr>
              <w:t>Cash Flows from Investing Activities</w:t>
            </w:r>
          </w:p>
        </w:tc>
        <w:tc>
          <w:tcPr>
            <w:tcW w:w="35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10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Capital expenditures</w:t>
            </w:r>
          </w:p>
        </w:tc>
        <w:tc>
          <w:tcPr>
            <w:tcW w:w="580" w:type="dxa"/>
            <w:vAlign w:val="bottom"/>
          </w:tcPr>
          <w:p>
            <w:pPr>
              <w:spacing w:after="0"/>
              <w:rPr>
                <w:sz w:val="24"/>
                <w:szCs w:val="24"/>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(8.9)</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(8.4)</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Proceeds on disposal of property, plant and equipment</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0.3</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0.1</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Internally developed software</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ind w:left="128"/>
              <w:spacing w:after="0"/>
              <w:rPr>
                <w:sz w:val="20"/>
                <w:szCs w:val="20"/>
                <w:color w:val="auto"/>
              </w:rPr>
            </w:pPr>
            <w:r>
              <w:rPr>
                <w:rFonts w:ascii="Verdana" w:cs="Verdana" w:eastAsia="Verdana" w:hAnsi="Verdana"/>
                <w:sz w:val="14"/>
                <w:szCs w:val="14"/>
                <w:color w:val="auto"/>
              </w:rPr>
              <w:t>(5.1)</w:t>
            </w: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(7.2)</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00" w:type="dxa"/>
            <w:vAlign w:val="bottom"/>
          </w:tcPr>
          <w:p>
            <w:pPr>
              <w:spacing w:after="0"/>
              <w:rPr>
                <w:sz w:val="16"/>
                <w:szCs w:val="16"/>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Net cash used in investing activities</w:t>
            </w:r>
          </w:p>
        </w:tc>
        <w:tc>
          <w:tcPr>
            <w:tcW w:w="580" w:type="dxa"/>
            <w:vAlign w:val="bottom"/>
          </w:tcPr>
          <w:p>
            <w:pPr>
              <w:spacing w:after="0"/>
              <w:rPr>
                <w:sz w:val="16"/>
                <w:szCs w:val="16"/>
                <w:color w:val="auto"/>
              </w:rPr>
            </w:pPr>
          </w:p>
        </w:tc>
        <w:tc>
          <w:tcPr>
            <w:tcW w:w="680" w:type="dxa"/>
            <w:vAlign w:val="bottom"/>
          </w:tcPr>
          <w:p>
            <w:pPr>
              <w:jc w:val="center"/>
              <w:ind w:left="108"/>
              <w:spacing w:after="0"/>
              <w:rPr>
                <w:sz w:val="20"/>
                <w:szCs w:val="20"/>
                <w:color w:val="auto"/>
              </w:rPr>
            </w:pPr>
            <w:r>
              <w:rPr>
                <w:rFonts w:ascii="Verdana" w:cs="Verdana" w:eastAsia="Verdana" w:hAnsi="Verdana"/>
                <w:sz w:val="14"/>
                <w:szCs w:val="14"/>
                <w:color w:val="auto"/>
              </w:rPr>
              <w:t>(13.7)</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(15.5)</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3"/>
        </w:trPr>
        <w:tc>
          <w:tcPr>
            <w:tcW w:w="110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i w:val="1"/>
                <w:iCs w:val="1"/>
                <w:color w:val="auto"/>
              </w:rPr>
              <w:t>Cash Flows from Financing Activities</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100" w:type="dxa"/>
            <w:vAlign w:val="bottom"/>
          </w:tcPr>
          <w:p>
            <w:pPr>
              <w:spacing w:after="0"/>
              <w:rPr>
                <w:sz w:val="24"/>
                <w:szCs w:val="24"/>
                <w:color w:val="auto"/>
              </w:rPr>
            </w:pPr>
          </w:p>
        </w:tc>
        <w:tc>
          <w:tcPr>
            <w:tcW w:w="2620" w:type="dxa"/>
            <w:vAlign w:val="bottom"/>
            <w:tcBorders>
              <w:top w:val="single" w:sz="8" w:color="auto"/>
            </w:tcBorders>
            <w:gridSpan w:val="2"/>
          </w:tcPr>
          <w:p>
            <w:pPr>
              <w:spacing w:after="0"/>
              <w:rPr>
                <w:sz w:val="20"/>
                <w:szCs w:val="20"/>
                <w:color w:val="auto"/>
              </w:rPr>
            </w:pPr>
            <w:r>
              <w:rPr>
                <w:rFonts w:ascii="Verdana" w:cs="Verdana" w:eastAsia="Verdana" w:hAnsi="Verdana"/>
                <w:sz w:val="14"/>
                <w:szCs w:val="14"/>
                <w:color w:val="auto"/>
              </w:rPr>
              <w:t>Non-controlling interest</w:t>
            </w:r>
          </w:p>
        </w:tc>
        <w:tc>
          <w:tcPr>
            <w:tcW w:w="350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0.4</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0.8</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Issue of treasury stock</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0.1</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0.2</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Repurchase of common stock</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ind w:left="128"/>
              <w:spacing w:after="0"/>
              <w:rPr>
                <w:sz w:val="20"/>
                <w:szCs w:val="20"/>
                <w:color w:val="auto"/>
              </w:rPr>
            </w:pPr>
            <w:r>
              <w:rPr>
                <w:rFonts w:ascii="Verdana" w:cs="Verdana" w:eastAsia="Verdana" w:hAnsi="Verdana"/>
                <w:sz w:val="14"/>
                <w:szCs w:val="14"/>
                <w:color w:val="auto"/>
              </w:rPr>
              <w:t>(7.1)</w:t>
            </w: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(4.8)</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100" w:type="dxa"/>
            <w:vAlign w:val="bottom"/>
          </w:tcPr>
          <w:p>
            <w:pPr>
              <w:spacing w:after="0"/>
              <w:rPr>
                <w:sz w:val="16"/>
                <w:szCs w:val="16"/>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Net cash used in financing activities</w:t>
            </w:r>
          </w:p>
        </w:tc>
        <w:tc>
          <w:tcPr>
            <w:tcW w:w="580" w:type="dxa"/>
            <w:vAlign w:val="bottom"/>
          </w:tcPr>
          <w:p>
            <w:pPr>
              <w:spacing w:after="0"/>
              <w:rPr>
                <w:sz w:val="16"/>
                <w:szCs w:val="16"/>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(6.6)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(3.8)</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1100" w:type="dxa"/>
            <w:vAlign w:val="bottom"/>
          </w:tcPr>
          <w:p>
            <w:pPr>
              <w:spacing w:after="0"/>
              <w:rPr>
                <w:sz w:val="24"/>
                <w:szCs w:val="24"/>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Effect of foreign currency exchange rate changes on cash</w:t>
            </w:r>
          </w:p>
        </w:tc>
        <w:tc>
          <w:tcPr>
            <w:tcW w:w="580" w:type="dxa"/>
            <w:vAlign w:val="bottom"/>
          </w:tcPr>
          <w:p>
            <w:pPr>
              <w:spacing w:after="0"/>
              <w:rPr>
                <w:sz w:val="24"/>
                <w:szCs w:val="24"/>
                <w:color w:val="auto"/>
              </w:rPr>
            </w:pPr>
          </w:p>
        </w:tc>
        <w:tc>
          <w:tcPr>
            <w:tcW w:w="680" w:type="dxa"/>
            <w:vAlign w:val="bottom"/>
            <w:tcBorders>
              <w:bottom w:val="single" w:sz="8" w:color="auto"/>
            </w:tcBorders>
          </w:tcPr>
          <w:p>
            <w:pPr>
              <w:jc w:val="center"/>
              <w:ind w:left="128"/>
              <w:spacing w:after="0"/>
              <w:rPr>
                <w:sz w:val="20"/>
                <w:szCs w:val="20"/>
                <w:color w:val="auto"/>
              </w:rPr>
            </w:pPr>
            <w:r>
              <w:rPr>
                <w:rFonts w:ascii="Verdana" w:cs="Verdana" w:eastAsia="Verdana" w:hAnsi="Verdana"/>
                <w:sz w:val="14"/>
                <w:szCs w:val="14"/>
                <w:color w:val="auto"/>
              </w:rPr>
              <w:t>(0.7)</w:t>
            </w:r>
          </w:p>
        </w:tc>
        <w:tc>
          <w:tcPr>
            <w:tcW w:w="2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1.6</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00" w:type="dxa"/>
            <w:vAlign w:val="bottom"/>
          </w:tcPr>
          <w:p>
            <w:pPr>
              <w:spacing w:after="0"/>
              <w:rPr>
                <w:sz w:val="15"/>
                <w:szCs w:val="15"/>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Net change in cash and cash equivalents</w:t>
            </w:r>
          </w:p>
        </w:tc>
        <w:tc>
          <w:tcPr>
            <w:tcW w:w="580" w:type="dxa"/>
            <w:vAlign w:val="bottom"/>
          </w:tcPr>
          <w:p>
            <w:pPr>
              <w:spacing w:after="0"/>
              <w:rPr>
                <w:sz w:val="15"/>
                <w:szCs w:val="15"/>
                <w:color w:val="auto"/>
              </w:rPr>
            </w:pPr>
          </w:p>
        </w:tc>
        <w:tc>
          <w:tcPr>
            <w:tcW w:w="680" w:type="dxa"/>
            <w:vAlign w:val="bottom"/>
          </w:tcPr>
          <w:p>
            <w:pPr>
              <w:jc w:val="center"/>
              <w:ind w:left="128"/>
              <w:spacing w:after="0"/>
              <w:rPr>
                <w:sz w:val="20"/>
                <w:szCs w:val="20"/>
                <w:color w:val="auto"/>
              </w:rPr>
            </w:pPr>
            <w:r>
              <w:rPr>
                <w:rFonts w:ascii="Verdana" w:cs="Verdana" w:eastAsia="Verdana" w:hAnsi="Verdana"/>
                <w:sz w:val="14"/>
                <w:szCs w:val="14"/>
                <w:color w:val="auto"/>
              </w:rPr>
              <w:t>(3.4)</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Verdana" w:cs="Verdana" w:eastAsia="Verdana" w:hAnsi="Verdana"/>
                <w:sz w:val="14"/>
                <w:szCs w:val="14"/>
                <w:color w:val="auto"/>
              </w:rPr>
              <w:t>10.6</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00" w:type="dxa"/>
            <w:vAlign w:val="bottom"/>
          </w:tcPr>
          <w:p>
            <w:pPr>
              <w:spacing w:after="0"/>
              <w:rPr>
                <w:sz w:val="14"/>
                <w:szCs w:val="14"/>
                <w:color w:val="auto"/>
              </w:rPr>
            </w:pPr>
          </w:p>
        </w:tc>
        <w:tc>
          <w:tcPr>
            <w:tcW w:w="6120" w:type="dxa"/>
            <w:vAlign w:val="bottom"/>
            <w:gridSpan w:val="4"/>
          </w:tcPr>
          <w:p>
            <w:pPr>
              <w:spacing w:after="0"/>
              <w:rPr>
                <w:sz w:val="20"/>
                <w:szCs w:val="20"/>
                <w:color w:val="auto"/>
              </w:rPr>
            </w:pPr>
            <w:r>
              <w:rPr>
                <w:rFonts w:ascii="Verdana" w:cs="Verdana" w:eastAsia="Verdana" w:hAnsi="Verdana"/>
                <w:sz w:val="14"/>
                <w:szCs w:val="14"/>
                <w:color w:val="auto"/>
              </w:rPr>
              <w:t>Cash and cash equivalents at beginning of period</w:t>
            </w:r>
          </w:p>
        </w:tc>
        <w:tc>
          <w:tcPr>
            <w:tcW w:w="580" w:type="dxa"/>
            <w:vAlign w:val="bottom"/>
          </w:tcPr>
          <w:p>
            <w:pPr>
              <w:spacing w:after="0"/>
              <w:rPr>
                <w:sz w:val="14"/>
                <w:szCs w:val="14"/>
                <w:color w:val="auto"/>
              </w:rPr>
            </w:pPr>
          </w:p>
        </w:tc>
        <w:tc>
          <w:tcPr>
            <w:tcW w:w="680" w:type="dxa"/>
            <w:vAlign w:val="bottom"/>
            <w:tcBorders>
              <w:bottom w:val="single" w:sz="8" w:color="auto"/>
            </w:tcBorders>
          </w:tcPr>
          <w:p>
            <w:pPr>
              <w:jc w:val="center"/>
              <w:ind w:left="108"/>
              <w:spacing w:after="0"/>
              <w:rPr>
                <w:sz w:val="20"/>
                <w:szCs w:val="20"/>
                <w:color w:val="auto"/>
              </w:rPr>
            </w:pPr>
            <w:r>
              <w:rPr>
                <w:rFonts w:ascii="Verdana" w:cs="Verdana" w:eastAsia="Verdana" w:hAnsi="Verdana"/>
                <w:sz w:val="14"/>
                <w:szCs w:val="14"/>
                <w:color w:val="auto"/>
              </w:rPr>
              <w:t>292.5</w:t>
            </w:r>
          </w:p>
        </w:tc>
        <w:tc>
          <w:tcPr>
            <w:tcW w:w="2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Verdana" w:cs="Verdana" w:eastAsia="Verdana" w:hAnsi="Verdana"/>
                <w:sz w:val="14"/>
                <w:szCs w:val="14"/>
                <w:color w:val="auto"/>
              </w:rPr>
              <w:t>289.2</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6120" w:type="dxa"/>
            <w:vAlign w:val="bottom"/>
            <w:gridSpan w:val="4"/>
          </w:tcPr>
          <w:p>
            <w:pPr>
              <w:spacing w:after="0" w:line="169" w:lineRule="exact"/>
              <w:rPr>
                <w:sz w:val="20"/>
                <w:szCs w:val="20"/>
                <w:color w:val="auto"/>
              </w:rPr>
            </w:pPr>
            <w:r>
              <w:rPr>
                <w:rFonts w:ascii="Verdana" w:cs="Verdana" w:eastAsia="Verdana" w:hAnsi="Verdana"/>
                <w:sz w:val="14"/>
                <w:szCs w:val="14"/>
                <w:color w:val="auto"/>
              </w:rPr>
              <w:t>Cash and cash equivalents at end of period</w:t>
            </w:r>
          </w:p>
        </w:tc>
        <w:tc>
          <w:tcPr>
            <w:tcW w:w="580" w:type="dxa"/>
            <w:vAlign w:val="bottom"/>
          </w:tcPr>
          <w:p>
            <w:pPr>
              <w:jc w:val="right"/>
              <w:ind w:right="28"/>
              <w:spacing w:after="0" w:line="169" w:lineRule="exact"/>
              <w:rPr>
                <w:sz w:val="20"/>
                <w:szCs w:val="20"/>
                <w:color w:val="auto"/>
              </w:rPr>
            </w:pPr>
            <w:r>
              <w:rPr>
                <w:rFonts w:ascii="Verdana" w:cs="Verdana" w:eastAsia="Verdana" w:hAnsi="Verdana"/>
                <w:sz w:val="14"/>
                <w:szCs w:val="14"/>
                <w:color w:val="auto"/>
              </w:rPr>
              <w:t>$</w:t>
            </w:r>
          </w:p>
        </w:tc>
        <w:tc>
          <w:tcPr>
            <w:tcW w:w="680" w:type="dxa"/>
            <w:vAlign w:val="bottom"/>
          </w:tcPr>
          <w:p>
            <w:pPr>
              <w:jc w:val="center"/>
              <w:ind w:left="108"/>
              <w:spacing w:after="0" w:line="169" w:lineRule="exact"/>
              <w:rPr>
                <w:sz w:val="20"/>
                <w:szCs w:val="20"/>
                <w:color w:val="auto"/>
              </w:rPr>
            </w:pPr>
            <w:r>
              <w:rPr>
                <w:rFonts w:ascii="Verdana" w:cs="Verdana" w:eastAsia="Verdana" w:hAnsi="Verdana"/>
                <w:sz w:val="14"/>
                <w:szCs w:val="14"/>
                <w:color w:val="auto"/>
              </w:rPr>
              <w:t>289.1</w:t>
            </w:r>
          </w:p>
        </w:tc>
        <w:tc>
          <w:tcPr>
            <w:tcW w:w="560" w:type="dxa"/>
            <w:vAlign w:val="bottom"/>
            <w:gridSpan w:val="2"/>
          </w:tcPr>
          <w:p>
            <w:pPr>
              <w:jc w:val="right"/>
              <w:ind w:right="180"/>
              <w:spacing w:after="0" w:line="169" w:lineRule="exact"/>
              <w:rPr>
                <w:sz w:val="20"/>
                <w:szCs w:val="20"/>
                <w:color w:val="auto"/>
              </w:rPr>
            </w:pPr>
            <w:r>
              <w:rPr>
                <w:rFonts w:ascii="Verdana" w:cs="Verdana" w:eastAsia="Verdana" w:hAnsi="Verdana"/>
                <w:sz w:val="14"/>
                <w:szCs w:val="14"/>
                <w:color w:val="auto"/>
              </w:rPr>
              <w:t>$</w:t>
            </w:r>
          </w:p>
        </w:tc>
        <w:tc>
          <w:tcPr>
            <w:tcW w:w="860" w:type="dxa"/>
            <w:vAlign w:val="bottom"/>
          </w:tcPr>
          <w:p>
            <w:pPr>
              <w:jc w:val="center"/>
              <w:spacing w:after="0" w:line="169" w:lineRule="exact"/>
              <w:rPr>
                <w:sz w:val="20"/>
                <w:szCs w:val="20"/>
                <w:color w:val="auto"/>
              </w:rPr>
            </w:pPr>
            <w:r>
              <w:rPr>
                <w:rFonts w:ascii="Verdana" w:cs="Verdana" w:eastAsia="Verdana" w:hAnsi="Verdana"/>
                <w:sz w:val="14"/>
                <w:szCs w:val="14"/>
                <w:color w:val="auto"/>
              </w:rPr>
              <w:t>299.8</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20"/>
        </w:trPr>
        <w:tc>
          <w:tcPr>
            <w:tcW w:w="1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68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60" w:type="dxa"/>
            <w:vAlign w:val="bottom"/>
            <w:tcBorders>
              <w:top w:val="single" w:sz="8" w:color="auto"/>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6796405</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0740"/>
          </w:cols>
          <w:pgMar w:left="580" w:top="1439" w:right="57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Black">
    <w:panose1 w:val="020B0A04020102020204"/>
    <w:charset w:val="00"/>
    <w:family w:val="swiss"/>
    <w:pitch w:val="variable"/>
    <w:sig w:usb0="A00002AF" w:usb1="400078FB" w:usb2="00000000" w:usb3="00000000" w:csb0="6000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2026-05-08T05:29:50Z</dcterms:created>
  <dcterms:modified xsi:type="dcterms:W3CDTF">2026-05-08T05:29:50Z</dcterms:modified>
</cp:coreProperties>
</file>