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40"/>
        <w:spacing w:after="0"/>
        <w:rPr>
          <w:sz w:val="20"/>
          <w:szCs w:val="20"/>
          <w:color w:val="auto"/>
        </w:rPr>
      </w:pPr>
      <w:r>
        <w:rPr>
          <w:rFonts w:ascii="Arial" w:cs="Arial" w:eastAsia="Arial" w:hAnsi="Arial"/>
          <w:sz w:val="13"/>
          <w:szCs w:val="13"/>
          <w:color w:val="auto"/>
        </w:rPr>
        <w:t>UNITED STATES</w:t>
      </w:r>
    </w:p>
    <w:p>
      <w:pPr>
        <w:jc w:val="center"/>
        <w:ind w:right="-840"/>
        <w:spacing w:after="0" w:line="214" w:lineRule="auto"/>
        <w:rPr>
          <w:sz w:val="20"/>
          <w:szCs w:val="20"/>
          <w:color w:val="auto"/>
        </w:rPr>
      </w:pPr>
      <w:r>
        <w:rPr>
          <w:rFonts w:ascii="Arial" w:cs="Arial" w:eastAsia="Arial" w:hAnsi="Arial"/>
          <w:sz w:val="13"/>
          <w:szCs w:val="13"/>
          <w:color w:val="auto"/>
        </w:rPr>
        <w:t>SECURITIES AND EXCHANGE COMMISSION</w:t>
      </w:r>
    </w:p>
    <w:p>
      <w:pPr>
        <w:jc w:val="center"/>
        <w:ind w:right="-840"/>
        <w:spacing w:after="0"/>
        <w:rPr>
          <w:sz w:val="20"/>
          <w:szCs w:val="20"/>
          <w:color w:val="auto"/>
        </w:rPr>
      </w:pPr>
      <w:r>
        <w:rPr>
          <w:rFonts w:ascii="Arial" w:cs="Arial" w:eastAsia="Arial" w:hAnsi="Arial"/>
          <w:sz w:val="13"/>
          <w:szCs w:val="13"/>
          <w:color w:val="auto"/>
        </w:rPr>
        <w:t>Washington, D.C. 20549</w:t>
      </w:r>
    </w:p>
    <w:p>
      <w:pPr>
        <w:spacing w:after="0" w:line="146" w:lineRule="exact"/>
        <w:rPr>
          <w:sz w:val="24"/>
          <w:szCs w:val="24"/>
          <w:color w:val="auto"/>
        </w:rPr>
      </w:pPr>
    </w:p>
    <w:p>
      <w:pPr>
        <w:jc w:val="center"/>
        <w:ind w:right="-840"/>
        <w:spacing w:after="0"/>
        <w:rPr>
          <w:sz w:val="20"/>
          <w:szCs w:val="20"/>
          <w:color w:val="auto"/>
        </w:rPr>
      </w:pPr>
      <w:r>
        <w:rPr>
          <w:rFonts w:ascii="Arial" w:cs="Arial" w:eastAsia="Arial" w:hAnsi="Arial"/>
          <w:sz w:val="13"/>
          <w:szCs w:val="13"/>
          <w:color w:val="auto"/>
        </w:rPr>
        <w:t>SCHEDULE 14A</w:t>
      </w:r>
    </w:p>
    <w:p>
      <w:pPr>
        <w:jc w:val="center"/>
        <w:ind w:right="-840"/>
        <w:spacing w:after="0" w:line="232" w:lineRule="auto"/>
        <w:rPr>
          <w:sz w:val="20"/>
          <w:szCs w:val="20"/>
          <w:color w:val="auto"/>
        </w:rPr>
      </w:pPr>
      <w:r>
        <w:rPr>
          <w:rFonts w:ascii="Arial" w:cs="Arial" w:eastAsia="Arial" w:hAnsi="Arial"/>
          <w:sz w:val="12"/>
          <w:szCs w:val="12"/>
          <w:color w:val="auto"/>
        </w:rPr>
        <w:t>Proxy Statement Pursuant to Section 14(a) of the Securities</w:t>
      </w:r>
    </w:p>
    <w:p>
      <w:pPr>
        <w:jc w:val="center"/>
        <w:ind w:right="-840"/>
        <w:spacing w:after="0"/>
        <w:rPr>
          <w:sz w:val="20"/>
          <w:szCs w:val="20"/>
          <w:color w:val="auto"/>
        </w:rPr>
      </w:pPr>
      <w:r>
        <w:rPr>
          <w:rFonts w:ascii="Arial" w:cs="Arial" w:eastAsia="Arial" w:hAnsi="Arial"/>
          <w:sz w:val="13"/>
          <w:szCs w:val="13"/>
          <w:color w:val="auto"/>
        </w:rPr>
        <w:t>Exchange Act of 1934</w:t>
      </w:r>
    </w:p>
    <w:p>
      <w:pPr>
        <w:sectPr>
          <w:pgSz w:w="11900" w:h="16838" w:orient="portrait"/>
          <w:cols w:equalWidth="0" w:num="1">
            <w:col w:w="9859"/>
          </w:cols>
          <w:pgMar w:left="600" w:top="410" w:right="1440" w:bottom="1440" w:gutter="0" w:footer="0" w:header="0"/>
        </w:sectPr>
      </w:pPr>
    </w:p>
    <w:p>
      <w:pPr>
        <w:spacing w:after="0" w:line="161" w:lineRule="exact"/>
        <w:rPr>
          <w:sz w:val="24"/>
          <w:szCs w:val="24"/>
          <w:color w:val="auto"/>
        </w:rPr>
      </w:pPr>
    </w:p>
    <w:p>
      <w:pPr>
        <w:ind w:left="940"/>
        <w:spacing w:after="0"/>
        <w:rPr>
          <w:sz w:val="20"/>
          <w:szCs w:val="20"/>
          <w:color w:val="auto"/>
        </w:rPr>
      </w:pPr>
      <w:r>
        <w:rPr>
          <w:rFonts w:ascii="Arial" w:cs="Arial" w:eastAsia="Arial" w:hAnsi="Arial"/>
          <w:sz w:val="12"/>
          <w:szCs w:val="12"/>
          <w:color w:val="auto"/>
        </w:rPr>
        <w:t>Filed by the Registrant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43" w:lineRule="exact"/>
        <w:rPr>
          <w:sz w:val="24"/>
          <w:szCs w:val="24"/>
          <w:color w:val="auto"/>
        </w:rPr>
      </w:pPr>
    </w:p>
    <w:p>
      <w:pPr>
        <w:sectPr>
          <w:pgSz w:w="11900" w:h="16838" w:orient="portrait"/>
          <w:cols w:equalWidth="0" w:num="2">
            <w:col w:w="2220" w:space="140"/>
            <w:col w:w="7499"/>
          </w:cols>
          <w:pgMar w:left="600" w:top="410" w:right="1440" w:bottom="1440" w:gutter="0" w:footer="0" w:header="0"/>
          <w:type w:val="continuous"/>
        </w:sectPr>
      </w:pPr>
    </w:p>
    <w:p>
      <w:pPr>
        <w:spacing w:after="0" w:line="29" w:lineRule="exact"/>
        <w:rPr>
          <w:sz w:val="24"/>
          <w:szCs w:val="24"/>
          <w:color w:val="auto"/>
        </w:rPr>
      </w:pPr>
    </w:p>
    <w:p>
      <w:pPr>
        <w:ind w:left="940"/>
        <w:spacing w:after="0"/>
        <w:rPr>
          <w:sz w:val="20"/>
          <w:szCs w:val="20"/>
          <w:color w:val="auto"/>
        </w:rPr>
      </w:pPr>
      <w:r>
        <w:rPr>
          <w:rFonts w:ascii="Arial" w:cs="Arial" w:eastAsia="Arial" w:hAnsi="Arial"/>
          <w:sz w:val="12"/>
          <w:szCs w:val="12"/>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2">
            <w:col w:w="3240" w:space="140"/>
            <w:col w:w="6479"/>
          </w:cols>
          <w:pgMar w:left="600" w:top="410" w:right="1440" w:bottom="1440" w:gutter="0" w:footer="0" w:header="0"/>
          <w:type w:val="continuous"/>
        </w:sectPr>
      </w:pPr>
    </w:p>
    <w:p>
      <w:pPr>
        <w:ind w:left="940"/>
        <w:spacing w:after="0"/>
        <w:rPr>
          <w:sz w:val="20"/>
          <w:szCs w:val="20"/>
          <w:color w:val="auto"/>
        </w:rPr>
      </w:pPr>
      <w:r>
        <w:rPr>
          <w:rFonts w:ascii="Arial" w:cs="Arial" w:eastAsia="Arial" w:hAnsi="Arial"/>
          <w:sz w:val="12"/>
          <w:szCs w:val="12"/>
          <w:color w:val="auto"/>
        </w:rPr>
        <w:t>Check the appropriate box:</w:t>
      </w:r>
    </w:p>
    <w:p>
      <w:pPr>
        <w:sectPr>
          <w:pgSz w:w="11900" w:h="16838" w:orient="portrait"/>
          <w:cols w:equalWidth="0" w:num="1">
            <w:col w:w="9859"/>
          </w:cols>
          <w:pgMar w:left="600" w:top="410" w:right="1440" w:bottom="1440" w:gutter="0" w:footer="0" w:header="0"/>
          <w:type w:val="continuous"/>
        </w:sectPr>
      </w:pPr>
    </w:p>
    <w:p>
      <w:pPr>
        <w:spacing w:after="0" w:line="154" w:lineRule="exact"/>
        <w:rPr>
          <w:sz w:val="24"/>
          <w:szCs w:val="24"/>
          <w:color w:val="auto"/>
        </w:rPr>
      </w:pPr>
    </w:p>
    <w:p>
      <w:pPr>
        <w:ind w:left="1120"/>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1"/>
          <w:szCs w:val="11"/>
          <w:color w:val="auto"/>
        </w:rPr>
        <w:t>Preliminary Proxy Statement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1"/>
          <w:szCs w:val="11"/>
          <w:color w:val="auto"/>
        </w:rPr>
        <w:t>Confidential, for Use of the Commission Only (as permitted by Rule 14a-6(e)(2))</w:t>
      </w:r>
    </w:p>
    <w:p>
      <w:pPr>
        <w:spacing w:after="0" w:line="45" w:lineRule="exact"/>
        <w:rPr>
          <w:sz w:val="24"/>
          <w:szCs w:val="24"/>
          <w:color w:val="auto"/>
        </w:rPr>
      </w:pPr>
    </w:p>
    <w:p>
      <w:pPr>
        <w:sectPr>
          <w:pgSz w:w="11900" w:h="16838" w:orient="portrait"/>
          <w:cols w:equalWidth="0" w:num="4">
            <w:col w:w="1220" w:space="220"/>
            <w:col w:w="2660" w:space="720"/>
            <w:col w:w="100" w:space="100"/>
            <w:col w:w="4839"/>
          </w:cols>
          <w:pgMar w:left="600" w:top="410" w:right="1440" w:bottom="1440" w:gutter="0" w:footer="0" w:header="0"/>
          <w:type w:val="continuous"/>
        </w:sectPr>
      </w:pPr>
    </w:p>
    <w:p>
      <w:pPr>
        <w:ind w:left="1120" w:right="6859" w:hanging="2"/>
        <w:spacing w:after="0" w:line="137" w:lineRule="exact"/>
        <w:tabs>
          <w:tab w:leader="none" w:pos="1443"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 xml:space="preserve">Definitive Proxy Statement </w:t>
      </w:r>
      <w:r>
        <w:rPr>
          <w:rFonts w:ascii="MS PGothic" w:cs="MS PGothic" w:eastAsia="MS PGothic" w:hAnsi="MS PGothic"/>
          <w:sz w:val="12"/>
          <w:szCs w:val="12"/>
          <w:color w:val="auto"/>
        </w:rPr>
        <w:t>☐</w:t>
      </w:r>
      <w:r>
        <w:rPr>
          <w:rFonts w:ascii="Arial" w:cs="Arial" w:eastAsia="Arial" w:hAnsi="Arial"/>
          <w:sz w:val="12"/>
          <w:szCs w:val="12"/>
          <w:color w:val="auto"/>
        </w:rPr>
        <w:t xml:space="preserve"> Definitive Additional Materials</w:t>
      </w:r>
    </w:p>
    <w:p>
      <w:pPr>
        <w:ind w:left="1120"/>
        <w:spacing w:after="0" w:line="138"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Soliciting Material Pursuant to §240.14a-12</w:t>
      </w:r>
    </w:p>
    <w:p>
      <w:pPr>
        <w:spacing w:after="0" w:line="16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INNOSPEC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2318385</wp:posOffset>
            </wp:positionH>
            <wp:positionV relativeFrom="paragraph">
              <wp:posOffset>9525</wp:posOffset>
            </wp:positionV>
            <wp:extent cx="21494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9475" cy="6985"/>
                    </a:xfrm>
                    <a:prstGeom prst="rect">
                      <a:avLst/>
                    </a:prstGeom>
                    <a:noFill/>
                  </pic:spPr>
                </pic:pic>
              </a:graphicData>
            </a:graphic>
          </wp:anchor>
        </w:drawing>
      </w:r>
    </w:p>
    <w:p>
      <w:pPr>
        <w:spacing w:after="0" w:line="3" w:lineRule="exact"/>
        <w:rPr>
          <w:sz w:val="24"/>
          <w:szCs w:val="24"/>
          <w:color w:val="auto"/>
        </w:rPr>
      </w:pPr>
    </w:p>
    <w:p>
      <w:pPr>
        <w:ind w:left="4020"/>
        <w:spacing w:after="0"/>
        <w:rPr>
          <w:sz w:val="20"/>
          <w:szCs w:val="20"/>
          <w:color w:val="auto"/>
        </w:rPr>
      </w:pPr>
      <w:r>
        <w:rPr>
          <w:rFonts w:ascii="Arial" w:cs="Arial" w:eastAsia="Arial" w:hAnsi="Arial"/>
          <w:sz w:val="13"/>
          <w:szCs w:val="13"/>
          <w:color w:val="auto"/>
        </w:rPr>
        <w:t>(Name of Registrant as Specified In Its Charter)</w:t>
      </w:r>
    </w:p>
    <w:p>
      <w:pPr>
        <w:spacing w:after="0" w:line="395" w:lineRule="exact"/>
        <w:rPr>
          <w:sz w:val="24"/>
          <w:szCs w:val="24"/>
          <w:color w:val="auto"/>
        </w:rPr>
      </w:pPr>
    </w:p>
    <w:p>
      <w:pPr>
        <w:ind w:left="3340"/>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1781175</wp:posOffset>
            </wp:positionH>
            <wp:positionV relativeFrom="paragraph">
              <wp:posOffset>-84455</wp:posOffset>
            </wp:positionV>
            <wp:extent cx="3224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24530" cy="6985"/>
                    </a:xfrm>
                    <a:prstGeom prst="rect">
                      <a:avLst/>
                    </a:prstGeom>
                    <a:noFill/>
                  </pic:spPr>
                </pic:pic>
              </a:graphicData>
            </a:graphic>
          </wp:anchor>
        </w:drawing>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Payment of Filing Fee (Check all boxes that apply):</w:t>
      </w:r>
    </w:p>
    <w:p>
      <w:pPr>
        <w:spacing w:after="0" w:line="185" w:lineRule="exact"/>
        <w:rPr>
          <w:sz w:val="24"/>
          <w:szCs w:val="24"/>
          <w:color w:val="auto"/>
        </w:rPr>
      </w:pPr>
    </w:p>
    <w:p>
      <w:pPr>
        <w:ind w:left="380" w:hanging="337"/>
        <w:spacing w:after="0"/>
        <w:tabs>
          <w:tab w:leader="none" w:pos="38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No fee required</w:t>
      </w:r>
    </w:p>
    <w:p>
      <w:pPr>
        <w:spacing w:after="0" w:line="207" w:lineRule="exact"/>
        <w:rPr>
          <w:sz w:val="24"/>
          <w:szCs w:val="24"/>
          <w:color w:val="auto"/>
        </w:rPr>
      </w:pPr>
    </w:p>
    <w:p>
      <w:pPr>
        <w:ind w:left="380" w:hanging="337"/>
        <w:spacing w:after="0"/>
        <w:tabs>
          <w:tab w:leader="none" w:pos="3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paid previously with preliminary materials</w:t>
      </w:r>
    </w:p>
    <w:p>
      <w:pPr>
        <w:spacing w:after="0" w:line="206" w:lineRule="exact"/>
        <w:rPr>
          <w:rFonts w:ascii="MS PGothic" w:cs="MS PGothic" w:eastAsia="MS PGothic" w:hAnsi="MS PGothic"/>
          <w:sz w:val="13"/>
          <w:szCs w:val="13"/>
          <w:color w:val="auto"/>
        </w:rPr>
      </w:pPr>
    </w:p>
    <w:p>
      <w:pPr>
        <w:ind w:left="380" w:hanging="337"/>
        <w:spacing w:after="0"/>
        <w:tabs>
          <w:tab w:leader="none" w:pos="3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-184150</wp:posOffset>
            </wp:positionH>
            <wp:positionV relativeFrom="paragraph">
              <wp:posOffset>303530</wp:posOffset>
            </wp:positionV>
            <wp:extent cx="71564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6450" cy="6985"/>
                    </a:xfrm>
                    <a:prstGeom prst="rect">
                      <a:avLst/>
                    </a:prstGeom>
                    <a:noFill/>
                  </pic:spPr>
                </pic:pic>
              </a:graphicData>
            </a:graphic>
          </wp:anchor>
        </w:drawing>
      </w:r>
    </w:p>
    <w:p>
      <w:pPr>
        <w:sectPr>
          <w:pgSz w:w="11900" w:h="16838" w:orient="portrait"/>
          <w:cols w:equalWidth="0" w:num="1">
            <w:col w:w="9859"/>
          </w:cols>
          <w:pgMar w:left="600" w:top="41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458470</wp:posOffset>
            </wp:positionH>
            <wp:positionV relativeFrom="page">
              <wp:posOffset>718820</wp:posOffset>
            </wp:positionV>
            <wp:extent cx="6794500" cy="891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4500" cy="891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line="283" w:lineRule="auto"/>
        <w:rPr>
          <w:sz w:val="20"/>
          <w:szCs w:val="20"/>
          <w:color w:val="auto"/>
        </w:rPr>
      </w:pPr>
      <w:r>
        <w:rPr>
          <w:rFonts w:ascii="Arial" w:cs="Arial" w:eastAsia="Arial" w:hAnsi="Arial"/>
          <w:sz w:val="36"/>
          <w:szCs w:val="36"/>
          <w:b w:val="1"/>
          <w:bCs w:val="1"/>
          <w:color w:val="9E318D"/>
        </w:rPr>
        <w:t>2026 NOTICE OF ANNUAL MEETING OF STOCKHOLDERS 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9E318D"/>
        </w:rPr>
        <w:t>INNOSPEC INC. 8310 South Valley Highway, Suite 350, Englewood, CO 80112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969010</wp:posOffset>
            </wp:positionV>
            <wp:extent cx="720788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820"/>
          </w:cols>
          <w:pgMar w:left="1160" w:top="1440" w:right="919" w:bottom="1440" w:gutter="0" w:footer="0" w:header="0"/>
        </w:sectPr>
      </w:pPr>
    </w:p>
    <w:bookmarkStart w:id="2" w:name="page3"/>
    <w:bookmarkEnd w:id="2"/>
    <w:p>
      <w:pPr>
        <w:spacing w:after="0" w:line="42" w:lineRule="exact"/>
        <w:rPr>
          <w:sz w:val="20"/>
          <w:szCs w:val="20"/>
          <w:color w:val="auto"/>
        </w:rPr>
      </w:pPr>
    </w:p>
    <w:p>
      <w:pPr>
        <w:ind w:left="880"/>
        <w:spacing w:after="0"/>
        <w:rPr>
          <w:sz w:val="20"/>
          <w:szCs w:val="20"/>
          <w:color w:val="auto"/>
        </w:rPr>
      </w:pPr>
      <w:r>
        <w:rPr>
          <w:rFonts w:ascii="Arial" w:cs="Arial" w:eastAsia="Arial" w:hAnsi="Arial"/>
          <w:sz w:val="23"/>
          <w:szCs w:val="23"/>
          <w:b w:val="1"/>
          <w:bCs w:val="1"/>
          <w:color w:val="9E318D"/>
        </w:rPr>
        <w:t>NOTICE OF 2026 ANNUAL MEETING OF STOCKHOLDERS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47625</wp:posOffset>
            </wp:positionV>
            <wp:extent cx="374650" cy="325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4650" cy="325120"/>
                    </a:xfrm>
                    <a:prstGeom prst="rect">
                      <a:avLst/>
                    </a:prstGeom>
                    <a:noFill/>
                  </pic:spPr>
                </pic:pic>
              </a:graphicData>
            </a:graphic>
          </wp:anchor>
        </w:drawing>
      </w:r>
    </w:p>
    <w:p>
      <w:pPr>
        <w:spacing w:after="0" w:line="28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Friday, May 8, 2026, 10:00 a.m. Eastern Time</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47625</wp:posOffset>
            </wp:positionV>
            <wp:extent cx="403225" cy="360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3225" cy="360680"/>
                    </a:xfrm>
                    <a:prstGeom prst="rect">
                      <a:avLst/>
                    </a:prstGeom>
                    <a:noFill/>
                  </pic:spPr>
                </pic:pic>
              </a:graphicData>
            </a:graphic>
          </wp:anchor>
        </w:drawing>
      </w:r>
    </w:p>
    <w:p>
      <w:pPr>
        <w:spacing w:after="0" w:line="5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The St. Regis New York</w:t>
      </w:r>
    </w:p>
    <w:p>
      <w:pPr>
        <w:spacing w:after="0" w:line="2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Two East 55th Street, at Fifth</w:t>
      </w:r>
    </w:p>
    <w:p>
      <w:pPr>
        <w:spacing w:after="0" w:line="2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Avenue, New York, USA,</w:t>
      </w:r>
    </w:p>
    <w:p>
      <w:pPr>
        <w:spacing w:after="0" w:line="29"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10022</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47625</wp:posOffset>
            </wp:positionV>
            <wp:extent cx="388620" cy="374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8620" cy="374650"/>
                    </a:xfrm>
                    <a:prstGeom prst="rect">
                      <a:avLst/>
                    </a:prstGeom>
                    <a:noFill/>
                  </pic:spPr>
                </pic:pic>
              </a:graphicData>
            </a:graphic>
          </wp:anchor>
        </w:drawing>
      </w:r>
    </w:p>
    <w:p>
      <w:pPr>
        <w:spacing w:after="0" w:line="322"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March 13, 2026</w:t>
      </w:r>
    </w:p>
    <w:p>
      <w:pPr>
        <w:sectPr>
          <w:pgSz w:w="11900" w:h="16838" w:orient="portrait"/>
          <w:cols w:equalWidth="0" w:num="1">
            <w:col w:w="9019"/>
          </w:cols>
          <w:pgMar w:left="1440" w:top="1440" w:right="1440" w:bottom="1440" w:gutter="0" w:footer="0" w:header="0"/>
        </w:sectPr>
      </w:pPr>
    </w:p>
    <w:p>
      <w:pPr>
        <w:spacing w:after="0" w:line="338"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Proposals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spacing w:after="0" w:line="342" w:lineRule="auto"/>
        <w:rPr>
          <w:sz w:val="20"/>
          <w:szCs w:val="20"/>
          <w:color w:val="auto"/>
        </w:rPr>
      </w:pPr>
      <w:r>
        <w:rPr>
          <w:rFonts w:ascii="Arial" w:cs="Arial" w:eastAsia="Arial" w:hAnsi="Arial"/>
          <w:sz w:val="13"/>
          <w:szCs w:val="13"/>
          <w:b w:val="1"/>
          <w:bCs w:val="1"/>
          <w:color w:val="auto"/>
        </w:rPr>
        <w:t>To obtain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Voting Methods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9E318D"/>
        </w:rPr>
        <w:t>Proposal 1</w:t>
        <w:tab/>
        <w:t>Election of two Class I Directors</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9E318D"/>
        </w:rPr>
        <w:t>Proposal 2</w:t>
        <w:tab/>
        <w:t>Advisory approval of the Company’s executive compensation</w:t>
      </w:r>
    </w:p>
    <w:p>
      <w:pPr>
        <w:spacing w:after="0" w:line="96"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9E318D"/>
        </w:rPr>
        <w:t>Proposal 3</w:t>
        <w:tab/>
        <w:t>Ratification of the appointment of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353695" cy="325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3695" cy="325120"/>
                    </a:xfrm>
                    <a:prstGeom prst="rect">
                      <a:avLst/>
                    </a:prstGeom>
                    <a:noFill/>
                  </pic:spPr>
                </pic:pic>
              </a:graphicData>
            </a:graphic>
          </wp:anchor>
        </w:drawing>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9E318D"/>
        </w:rPr>
        <w:t xml:space="preserve">www.envisionreports.com/iosp </w:t>
      </w:r>
      <w:r>
        <w:rPr>
          <w:rFonts w:ascii="Arial" w:cs="Arial" w:eastAsia="Arial" w:hAnsi="Arial"/>
          <w:sz w:val="13"/>
          <w:szCs w:val="13"/>
          <w:color w:val="000000"/>
        </w:rPr>
        <w:t>(for stockholders of record)</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9E318D"/>
        </w:rPr>
        <w:t xml:space="preserve">www.edocumentview.com/iosp </w:t>
      </w:r>
      <w:r>
        <w:rPr>
          <w:rFonts w:ascii="Arial" w:cs="Arial" w:eastAsia="Arial" w:hAnsi="Arial"/>
          <w:sz w:val="13"/>
          <w:szCs w:val="13"/>
          <w:color w:val="000000"/>
        </w:rPr>
        <w:t>(for beneficial owners with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123825</wp:posOffset>
            </wp:positionV>
            <wp:extent cx="318135" cy="339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135" cy="339725"/>
                    </a:xfrm>
                    <a:prstGeom prst="rect">
                      <a:avLst/>
                    </a:prstGeom>
                    <a:noFill/>
                  </pic:spPr>
                </pic:pic>
              </a:graphicData>
            </a:graphic>
          </wp:anchor>
        </w:drawing>
      </w:r>
    </w:p>
    <w:p>
      <w:pPr>
        <w:spacing w:after="0" w:line="309" w:lineRule="exact"/>
        <w:rPr>
          <w:sz w:val="20"/>
          <w:szCs w:val="20"/>
          <w:color w:val="auto"/>
        </w:rPr>
      </w:pPr>
    </w:p>
    <w:p>
      <w:pPr>
        <w:ind w:left="880"/>
        <w:spacing w:after="0"/>
        <w:rPr>
          <w:sz w:val="20"/>
          <w:szCs w:val="20"/>
          <w:color w:val="auto"/>
        </w:rPr>
      </w:pPr>
      <w:r>
        <w:rPr>
          <w:rFonts w:ascii="Arial" w:cs="Arial" w:eastAsia="Arial" w:hAnsi="Arial"/>
          <w:sz w:val="13"/>
          <w:szCs w:val="13"/>
          <w:color w:val="auto"/>
        </w:rPr>
        <w:t>Call 1-866-641-4276 (for stockholders of record)</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Call 1-800-579-1639 (for beneficial owners with shares held in “street name”)</w:t>
      </w:r>
    </w:p>
    <w:p>
      <w:pPr>
        <w:spacing w:after="0" w:line="251" w:lineRule="exact"/>
        <w:rPr>
          <w:sz w:val="20"/>
          <w:szCs w:val="20"/>
          <w:color w:val="auto"/>
        </w:rPr>
      </w:pPr>
    </w:p>
    <w:p>
      <w:pPr>
        <w:ind w:left="880" w:right="239"/>
        <w:spacing w:after="0" w:line="326" w:lineRule="auto"/>
        <w:rPr>
          <w:sz w:val="20"/>
          <w:szCs w:val="20"/>
          <w:color w:val="auto"/>
        </w:rPr>
      </w:pPr>
      <w:r>
        <w:rPr>
          <w:rFonts w:ascii="Arial" w:cs="Arial" w:eastAsia="Arial" w:hAnsi="Arial"/>
          <w:sz w:val="13"/>
          <w:szCs w:val="13"/>
          <w:b w:val="1"/>
          <w:bCs w:val="1"/>
          <w:i w:val="1"/>
          <w:iCs w:val="1"/>
          <w:color w:val="9E318D"/>
        </w:rPr>
        <w:t xml:space="preserve">investorvote@computershare.com </w:t>
      </w:r>
      <w:r>
        <w:rPr>
          <w:rFonts w:ascii="Arial" w:cs="Arial" w:eastAsia="Arial" w:hAnsi="Arial"/>
          <w:sz w:val="13"/>
          <w:szCs w:val="13"/>
          <w:color w:val="000000"/>
        </w:rPr>
        <w:t>with “Proxy Materials Innospec Inc.” in the subject line (for stockholders</w:t>
      </w:r>
      <w:r>
        <w:rPr>
          <w:rFonts w:ascii="Arial" w:cs="Arial" w:eastAsia="Arial" w:hAnsi="Arial"/>
          <w:sz w:val="13"/>
          <w:szCs w:val="13"/>
          <w:b w:val="1"/>
          <w:bCs w:val="1"/>
          <w:i w:val="1"/>
          <w:iCs w:val="1"/>
          <w:color w:val="9E318D"/>
        </w:rPr>
        <w:t xml:space="preserve"> </w:t>
      </w:r>
      <w:r>
        <w:rPr>
          <w:rFonts w:ascii="Arial" w:cs="Arial" w:eastAsia="Arial" w:hAnsi="Arial"/>
          <w:sz w:val="13"/>
          <w:szCs w:val="13"/>
          <w:color w:val="000000"/>
        </w:rPr>
        <w:t>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-208280</wp:posOffset>
            </wp:positionV>
            <wp:extent cx="339725" cy="191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725" cy="191135"/>
                    </a:xfrm>
                    <a:prstGeom prst="rect">
                      <a:avLst/>
                    </a:prstGeom>
                    <a:noFill/>
                  </pic:spPr>
                </pic:pic>
              </a:graphicData>
            </a:graphic>
          </wp:anchor>
        </w:drawing>
      </w:r>
    </w:p>
    <w:p>
      <w:pPr>
        <w:ind w:left="880"/>
        <w:spacing w:after="0"/>
        <w:rPr>
          <w:sz w:val="20"/>
          <w:szCs w:val="20"/>
          <w:color w:val="auto"/>
        </w:rPr>
      </w:pPr>
      <w:r>
        <w:rPr>
          <w:rFonts w:ascii="Arial" w:cs="Arial" w:eastAsia="Arial" w:hAnsi="Arial"/>
          <w:sz w:val="13"/>
          <w:szCs w:val="13"/>
          <w:b w:val="1"/>
          <w:bCs w:val="1"/>
          <w:i w:val="1"/>
          <w:iCs w:val="1"/>
          <w:color w:val="9E318D"/>
        </w:rPr>
        <w:t xml:space="preserve">sendmaterial@proxyvote.com </w:t>
      </w:r>
      <w:r>
        <w:rPr>
          <w:rFonts w:ascii="Arial" w:cs="Arial" w:eastAsia="Arial" w:hAnsi="Arial"/>
          <w:sz w:val="13"/>
          <w:szCs w:val="13"/>
          <w:color w:val="000000"/>
        </w:rPr>
        <w:t>(for beneficial owners with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74295</wp:posOffset>
            </wp:positionV>
            <wp:extent cx="353695" cy="325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3695" cy="325120"/>
                    </a:xfrm>
                    <a:prstGeom prst="rect">
                      <a:avLst/>
                    </a:prstGeom>
                    <a:noFill/>
                  </pic:spPr>
                </pic:pic>
              </a:graphicData>
            </a:graphic>
          </wp:anchor>
        </w:drawing>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9E318D"/>
        </w:rPr>
        <w:t xml:space="preserve">www.envisionreports.com/iosp </w:t>
      </w:r>
      <w:r>
        <w:rPr>
          <w:rFonts w:ascii="Arial" w:cs="Arial" w:eastAsia="Arial" w:hAnsi="Arial"/>
          <w:sz w:val="13"/>
          <w:szCs w:val="13"/>
          <w:color w:val="000000"/>
        </w:rPr>
        <w:t>(for stockholders of record)</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9E318D"/>
        </w:rPr>
        <w:t xml:space="preserve">www.proxyvote.com </w:t>
      </w:r>
      <w:r>
        <w:rPr>
          <w:rFonts w:ascii="Arial" w:cs="Arial" w:eastAsia="Arial" w:hAnsi="Arial"/>
          <w:sz w:val="13"/>
          <w:szCs w:val="13"/>
          <w:color w:val="000000"/>
        </w:rPr>
        <w:t>(for beneficial owners with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123825</wp:posOffset>
            </wp:positionV>
            <wp:extent cx="318135" cy="339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8135" cy="339725"/>
                    </a:xfrm>
                    <a:prstGeom prst="rect">
                      <a:avLst/>
                    </a:prstGeom>
                    <a:noFill/>
                  </pic:spPr>
                </pic:pic>
              </a:graphicData>
            </a:graphic>
          </wp:anchor>
        </w:drawing>
      </w:r>
    </w:p>
    <w:p>
      <w:pPr>
        <w:spacing w:after="0" w:line="332" w:lineRule="exact"/>
        <w:rPr>
          <w:sz w:val="20"/>
          <w:szCs w:val="20"/>
          <w:color w:val="auto"/>
        </w:rPr>
      </w:pPr>
    </w:p>
    <w:p>
      <w:pPr>
        <w:ind w:left="880"/>
        <w:spacing w:after="0"/>
        <w:rPr>
          <w:sz w:val="20"/>
          <w:szCs w:val="20"/>
          <w:color w:val="auto"/>
        </w:rPr>
      </w:pPr>
      <w:r>
        <w:rPr>
          <w:rFonts w:ascii="Arial" w:cs="Arial" w:eastAsia="Arial" w:hAnsi="Arial"/>
          <w:sz w:val="13"/>
          <w:szCs w:val="13"/>
          <w:color w:val="auto"/>
        </w:rPr>
        <w:t>Call the toll-free number 1-800-652-8683</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3"/>
          <w:szCs w:val="13"/>
          <w:color w:val="auto"/>
        </w:rPr>
        <w:t>(Beneficial owners with shares held in “street name” should contact their bank or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339725" cy="339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80"/>
        <w:spacing w:after="0"/>
        <w:rPr>
          <w:sz w:val="20"/>
          <w:szCs w:val="20"/>
          <w:color w:val="auto"/>
        </w:rPr>
      </w:pPr>
      <w:r>
        <w:rPr>
          <w:rFonts w:ascii="Arial" w:cs="Arial" w:eastAsia="Arial" w:hAnsi="Arial"/>
          <w:sz w:val="13"/>
          <w:szCs w:val="13"/>
          <w:color w:val="auto"/>
        </w:rPr>
        <w:t>Complete and return a proxy card (if you received a paper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208915</wp:posOffset>
            </wp:positionV>
            <wp:extent cx="339725" cy="339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Attend and vote at the Annual Meeting</w:t>
      </w:r>
    </w:p>
    <w:p>
      <w:pPr>
        <w:spacing w:after="0" w:line="200" w:lineRule="exact"/>
        <w:rPr>
          <w:sz w:val="20"/>
          <w:szCs w:val="20"/>
          <w:color w:val="auto"/>
        </w:rPr>
      </w:pPr>
    </w:p>
    <w:p>
      <w:pPr>
        <w:sectPr>
          <w:pgSz w:w="11900" w:h="16838" w:orient="portrait"/>
          <w:cols w:equalWidth="0" w:num="2">
            <w:col w:w="1200" w:space="240"/>
            <w:col w:w="7579"/>
          </w:cols>
          <w:pgMar w:left="1440" w:top="1440" w:right="1440" w:bottom="1440" w:gutter="0" w:footer="0" w:header="0"/>
          <w:type w:val="continuous"/>
        </w:sectPr>
      </w:pPr>
    </w:p>
    <w:p>
      <w:pPr>
        <w:spacing w:after="0" w:line="163" w:lineRule="exact"/>
        <w:rPr>
          <w:sz w:val="20"/>
          <w:szCs w:val="20"/>
          <w:color w:val="auto"/>
        </w:rPr>
      </w:pPr>
    </w:p>
    <w:p>
      <w:pPr>
        <w:ind w:left="200" w:right="139"/>
        <w:spacing w:after="0" w:line="326" w:lineRule="auto"/>
        <w:rPr>
          <w:sz w:val="20"/>
          <w:szCs w:val="20"/>
          <w:color w:val="auto"/>
        </w:rPr>
      </w:pPr>
      <w:r>
        <w:rPr>
          <w:rFonts w:ascii="Arial" w:cs="Arial" w:eastAsia="Arial" w:hAnsi="Arial"/>
          <w:sz w:val="13"/>
          <w:szCs w:val="13"/>
          <w:color w:val="auto"/>
        </w:rPr>
        <w:t>Stockholders may also transact any other business properly brought before the meeting. At this time, the Board of Directors knows of no other proposals or matters to be presented.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3"/>
          <w:szCs w:val="13"/>
          <w:color w:val="auto"/>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116840</wp:posOffset>
            </wp:positionV>
            <wp:extent cx="1075055" cy="3746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505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David B. Jones</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Senior Vice President, General Counsel,</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Chief Compliance Officer, and Corporate Secretary</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3"/>
          <w:szCs w:val="13"/>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1436370</wp:posOffset>
            </wp:positionV>
            <wp:extent cx="7207885"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 w:name="page4"/>
    <w:bookmarkEnd w:id="3"/>
    <w:p>
      <w:pPr>
        <w:spacing w:after="0" w:line="94" w:lineRule="exact"/>
        <w:rPr>
          <w:sz w:val="20"/>
          <w:szCs w:val="20"/>
          <w:color w:val="auto"/>
        </w:rPr>
      </w:pPr>
    </w:p>
    <w:tbl>
      <w:tblPr>
        <w:tblLayout w:type="fixed"/>
        <w:tblInd w:w="230" w:type="dxa"/>
        <w:tblCellMar>
          <w:top w:w="0" w:type="dxa"/>
          <w:left w:w="0" w:type="dxa"/>
          <w:bottom w:w="0" w:type="dxa"/>
          <w:right w:w="0" w:type="dxa"/>
        </w:tblCellMar>
      </w:tblPr>
      <w:tr>
        <w:trPr>
          <w:trHeight w:val="300"/>
        </w:trPr>
        <w:tc>
          <w:tcPr>
            <w:tcW w:w="80" w:type="dxa"/>
            <w:vAlign w:val="bottom"/>
            <w:tcBorders>
              <w:top w:val="single" w:sz="8" w:color="auto"/>
              <w:left w:val="single" w:sz="8" w:color="auto"/>
              <w:bottom w:val="single" w:sz="8" w:color="auto"/>
            </w:tcBorders>
            <w:shd w:val="clear" w:color="auto" w:fill="9E318D"/>
          </w:tcPr>
          <w:p>
            <w:pPr>
              <w:spacing w:after="0"/>
              <w:rPr>
                <w:sz w:val="24"/>
                <w:szCs w:val="24"/>
                <w:color w:val="auto"/>
              </w:rPr>
            </w:pPr>
          </w:p>
        </w:tc>
        <w:tc>
          <w:tcPr>
            <w:tcW w:w="7580" w:type="dxa"/>
            <w:vAlign w:val="bottom"/>
            <w:tcBorders>
              <w:top w:val="single" w:sz="8" w:color="auto"/>
              <w:bottom w:val="single" w:sz="8" w:color="auto"/>
              <w:right w:val="single" w:sz="8" w:color="auto"/>
            </w:tcBorders>
            <w:gridSpan w:val="31"/>
            <w:shd w:val="clear" w:color="auto" w:fill="9E318D"/>
          </w:tcPr>
          <w:p>
            <w:pPr>
              <w:spacing w:after="0"/>
              <w:rPr>
                <w:sz w:val="20"/>
                <w:szCs w:val="20"/>
                <w:color w:val="auto"/>
              </w:rPr>
            </w:pPr>
            <w:r>
              <w:rPr>
                <w:rFonts w:ascii="Arial" w:cs="Arial" w:eastAsia="Arial" w:hAnsi="Arial"/>
                <w:sz w:val="21"/>
                <w:szCs w:val="21"/>
                <w:b w:val="1"/>
                <w:bCs w:val="1"/>
                <w:color w:val="FFFFFF"/>
              </w:rPr>
              <w:t>TABLE OF CONTENTS</w:t>
            </w:r>
          </w:p>
        </w:tc>
        <w:tc>
          <w:tcPr>
            <w:tcW w:w="1040" w:type="dxa"/>
            <w:vAlign w:val="bottom"/>
            <w:tcBorders>
              <w:top w:val="single" w:sz="8" w:color="auto"/>
              <w:bottom w:val="single" w:sz="8" w:color="auto"/>
              <w:right w:val="single" w:sz="8" w:color="auto"/>
            </w:tcBorders>
            <w:shd w:val="clear" w:color="auto" w:fill="9E318D"/>
          </w:tcPr>
          <w:p>
            <w:pPr>
              <w:jc w:val="right"/>
              <w:ind w:right="5"/>
              <w:spacing w:after="0"/>
              <w:rPr>
                <w:sz w:val="20"/>
                <w:szCs w:val="20"/>
                <w:color w:val="auto"/>
              </w:rPr>
            </w:pPr>
            <w:r>
              <w:rPr>
                <w:rFonts w:ascii="Arial" w:cs="Arial" w:eastAsia="Arial" w:hAnsi="Arial"/>
                <w:sz w:val="18"/>
                <w:szCs w:val="18"/>
                <w:color w:val="FFFFFF"/>
              </w:rPr>
              <w:t>Page No.</w:t>
            </w:r>
          </w:p>
        </w:tc>
      </w:tr>
      <w:tr>
        <w:trPr>
          <w:trHeight w:val="215"/>
        </w:trPr>
        <w:tc>
          <w:tcPr>
            <w:tcW w:w="80" w:type="dxa"/>
            <w:vAlign w:val="bottom"/>
            <w:tcBorders>
              <w:left w:val="single" w:sz="8" w:color="auto"/>
            </w:tcBorders>
          </w:tcPr>
          <w:p>
            <w:pPr>
              <w:spacing w:after="0"/>
              <w:rPr>
                <w:sz w:val="18"/>
                <w:szCs w:val="18"/>
                <w:color w:val="auto"/>
              </w:rPr>
            </w:pPr>
          </w:p>
        </w:tc>
        <w:tc>
          <w:tcPr>
            <w:tcW w:w="7320" w:type="dxa"/>
            <w:vAlign w:val="bottom"/>
            <w:tcBorders>
              <w:bottom w:val="single" w:sz="8" w:color="0000EE"/>
            </w:tcBorders>
            <w:gridSpan w:val="30"/>
          </w:tcPr>
          <w:p>
            <w:pPr>
              <w:spacing w:after="0" w:line="215" w:lineRule="exact"/>
              <w:rPr>
                <w:sz w:val="20"/>
                <w:szCs w:val="20"/>
                <w:color w:val="auto"/>
              </w:rPr>
            </w:pPr>
            <w:r>
              <w:rPr>
                <w:rFonts w:ascii="Arial" w:cs="Arial" w:eastAsia="Arial" w:hAnsi="Arial"/>
                <w:sz w:val="21"/>
                <w:szCs w:val="21"/>
                <w:b w:val="1"/>
                <w:bCs w:val="1"/>
                <w:color w:val="0000EE"/>
                <w:w w:val="98"/>
              </w:rPr>
              <w:t>INFORMATION ABOUT THE 2026 ANNUAL MEETING OF STOCKHOLDERS</w:t>
            </w:r>
          </w:p>
        </w:tc>
        <w:tc>
          <w:tcPr>
            <w:tcW w:w="2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4"/>
        </w:trPr>
        <w:tc>
          <w:tcPr>
            <w:tcW w:w="80" w:type="dxa"/>
            <w:vAlign w:val="bottom"/>
            <w:tcBorders>
              <w:left w:val="single" w:sz="8" w:color="auto"/>
            </w:tcBorders>
          </w:tcPr>
          <w:p>
            <w:pPr>
              <w:spacing w:after="0"/>
              <w:rPr>
                <w:sz w:val="18"/>
                <w:szCs w:val="18"/>
                <w:color w:val="auto"/>
              </w:rPr>
            </w:pPr>
          </w:p>
        </w:tc>
        <w:tc>
          <w:tcPr>
            <w:tcW w:w="3100" w:type="dxa"/>
            <w:vAlign w:val="bottom"/>
            <w:tcBorders>
              <w:bottom w:val="single" w:sz="8" w:color="0000EE"/>
            </w:tcBorders>
            <w:gridSpan w:val="16"/>
          </w:tcPr>
          <w:p>
            <w:pPr>
              <w:spacing w:after="0" w:line="203" w:lineRule="exact"/>
              <w:rPr>
                <w:sz w:val="20"/>
                <w:szCs w:val="20"/>
                <w:color w:val="auto"/>
              </w:rPr>
            </w:pPr>
            <w:r>
              <w:rPr>
                <w:rFonts w:ascii="Arial" w:cs="Arial" w:eastAsia="Arial" w:hAnsi="Arial"/>
                <w:sz w:val="21"/>
                <w:szCs w:val="21"/>
                <w:b w:val="1"/>
                <w:bCs w:val="1"/>
                <w:color w:val="0000EE"/>
                <w:w w:val="97"/>
              </w:rPr>
              <w:t>AND VOTING AT THE MEETING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Borders>
              <w:right w:val="single" w:sz="8" w:color="auto"/>
            </w:tcBorders>
            <w:gridSpan w:val="2"/>
          </w:tcPr>
          <w:p>
            <w:pPr>
              <w:spacing w:after="0"/>
              <w:rPr>
                <w:sz w:val="18"/>
                <w:szCs w:val="18"/>
                <w:color w:val="auto"/>
              </w:rPr>
            </w:pPr>
          </w:p>
        </w:tc>
        <w:tc>
          <w:tcPr>
            <w:tcW w:w="10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1</w:t>
            </w:r>
          </w:p>
        </w:tc>
      </w:tr>
      <w:tr>
        <w:trPr>
          <w:trHeight w:val="47"/>
        </w:trPr>
        <w:tc>
          <w:tcPr>
            <w:tcW w:w="80" w:type="dxa"/>
            <w:vAlign w:val="bottom"/>
            <w:tcBorders>
              <w:left w:val="single" w:sz="8" w:color="auto"/>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70"/>
        </w:trPr>
        <w:tc>
          <w:tcPr>
            <w:tcW w:w="80" w:type="dxa"/>
            <w:vAlign w:val="bottom"/>
            <w:tcBorders>
              <w:left w:val="single" w:sz="8" w:color="auto"/>
              <w:bottom w:val="single" w:sz="8" w:color="auto"/>
            </w:tcBorders>
            <w:shd w:val="clear" w:color="auto" w:fill="4F81BD"/>
          </w:tcPr>
          <w:p>
            <w:pPr>
              <w:spacing w:after="0"/>
              <w:rPr>
                <w:sz w:val="23"/>
                <w:szCs w:val="23"/>
                <w:color w:val="auto"/>
              </w:rPr>
            </w:pPr>
          </w:p>
        </w:tc>
        <w:tc>
          <w:tcPr>
            <w:tcW w:w="7580" w:type="dxa"/>
            <w:vAlign w:val="bottom"/>
            <w:tcBorders>
              <w:bottom w:val="single" w:sz="8" w:color="auto"/>
              <w:right w:val="single" w:sz="8" w:color="auto"/>
            </w:tcBorders>
            <w:gridSpan w:val="31"/>
            <w:shd w:val="clear" w:color="auto" w:fill="4F81BD"/>
          </w:tcPr>
          <w:p>
            <w:pPr>
              <w:spacing w:after="0" w:line="214" w:lineRule="exact"/>
              <w:rPr>
                <w:sz w:val="20"/>
                <w:szCs w:val="20"/>
                <w:color w:val="auto"/>
              </w:rPr>
            </w:pPr>
            <w:r>
              <w:rPr>
                <w:rFonts w:ascii="Arial" w:cs="Arial" w:eastAsia="Arial" w:hAnsi="Arial"/>
                <w:sz w:val="21"/>
                <w:szCs w:val="21"/>
                <w:b w:val="1"/>
                <w:bCs w:val="1"/>
                <w:color w:val="0000EE"/>
              </w:rPr>
              <w:t>CORPORATE GOVERNANCE</w:t>
            </w:r>
          </w:p>
        </w:tc>
        <w:tc>
          <w:tcPr>
            <w:tcW w:w="1040" w:type="dxa"/>
            <w:vAlign w:val="bottom"/>
            <w:tcBorders>
              <w:bottom w:val="single" w:sz="8" w:color="auto"/>
              <w:right w:val="single" w:sz="8" w:color="auto"/>
            </w:tcBorders>
            <w:shd w:val="clear" w:color="auto" w:fill="4F81BD"/>
          </w:tcPr>
          <w:p>
            <w:pPr>
              <w:jc w:val="right"/>
              <w:ind w:right="5"/>
              <w:spacing w:after="0"/>
              <w:rPr>
                <w:sz w:val="20"/>
                <w:szCs w:val="20"/>
                <w:color w:val="auto"/>
              </w:rPr>
            </w:pPr>
            <w:r>
              <w:rPr>
                <w:rFonts w:ascii="Arial" w:cs="Arial" w:eastAsia="Arial" w:hAnsi="Arial"/>
                <w:sz w:val="15"/>
                <w:szCs w:val="15"/>
                <w:color w:val="auto"/>
              </w:rPr>
              <w:t>7</w:t>
            </w:r>
          </w:p>
        </w:tc>
      </w:tr>
      <w:tr>
        <w:trPr>
          <w:trHeight w:val="158"/>
        </w:trPr>
        <w:tc>
          <w:tcPr>
            <w:tcW w:w="80" w:type="dxa"/>
            <w:vAlign w:val="bottom"/>
            <w:tcBorders>
              <w:left w:val="single" w:sz="8" w:color="auto"/>
            </w:tcBorders>
          </w:tcPr>
          <w:p>
            <w:pPr>
              <w:spacing w:after="0"/>
              <w:rPr>
                <w:sz w:val="13"/>
                <w:szCs w:val="13"/>
                <w:color w:val="auto"/>
              </w:rPr>
            </w:pPr>
          </w:p>
        </w:tc>
        <w:tc>
          <w:tcPr>
            <w:tcW w:w="660" w:type="dxa"/>
            <w:vAlign w:val="bottom"/>
          </w:tcPr>
          <w:p>
            <w:pPr>
              <w:ind w:left="340"/>
              <w:spacing w:after="0" w:line="151" w:lineRule="exact"/>
              <w:rPr>
                <w:sz w:val="20"/>
                <w:szCs w:val="20"/>
                <w:color w:val="auto"/>
              </w:rPr>
            </w:pPr>
            <w:r>
              <w:rPr>
                <w:rFonts w:ascii="MS PGothic" w:cs="MS PGothic" w:eastAsia="MS PGothic" w:hAnsi="MS PGothic"/>
                <w:sz w:val="15"/>
                <w:szCs w:val="15"/>
                <w:color w:val="9E318D"/>
              </w:rPr>
              <w:t>▶</w:t>
            </w:r>
          </w:p>
        </w:tc>
        <w:tc>
          <w:tcPr>
            <w:tcW w:w="6920" w:type="dxa"/>
            <w:vAlign w:val="bottom"/>
            <w:tcBorders>
              <w:right w:val="single" w:sz="8" w:color="auto"/>
            </w:tcBorders>
            <w:gridSpan w:val="30"/>
          </w:tcPr>
          <w:p>
            <w:pPr>
              <w:spacing w:after="0" w:line="159" w:lineRule="exact"/>
              <w:rPr>
                <w:sz w:val="20"/>
                <w:szCs w:val="20"/>
                <w:color w:val="auto"/>
              </w:rPr>
            </w:pPr>
            <w:r>
              <w:rPr>
                <w:rFonts w:ascii="Arial" w:cs="Arial" w:eastAsia="Arial" w:hAnsi="Arial"/>
                <w:sz w:val="15"/>
                <w:szCs w:val="15"/>
                <w:color w:val="0000EE"/>
              </w:rPr>
              <w:t>Corporate Governance Highlights</w:t>
            </w:r>
          </w:p>
        </w:tc>
        <w:tc>
          <w:tcPr>
            <w:tcW w:w="1040" w:type="dxa"/>
            <w:vAlign w:val="bottom"/>
            <w:tcBorders>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7</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1"/>
            <w:shd w:val="clear" w:color="auto" w:fill="4F81BD"/>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Our Corporate Governance Framework</w:t>
            </w:r>
          </w:p>
        </w:tc>
        <w:tc>
          <w:tcPr>
            <w:tcW w:w="1040" w:type="dxa"/>
            <w:vAlign w:val="bottom"/>
            <w:tcBorders>
              <w:bottom w:val="single" w:sz="8" w:color="auto"/>
              <w:right w:val="single" w:sz="8" w:color="auto"/>
            </w:tcBorders>
            <w:shd w:val="clear" w:color="auto" w:fill="4F81BD"/>
          </w:tcPr>
          <w:p>
            <w:pPr>
              <w:jc w:val="right"/>
              <w:ind w:right="5"/>
              <w:spacing w:after="0" w:line="159" w:lineRule="exact"/>
              <w:rPr>
                <w:sz w:val="20"/>
                <w:szCs w:val="20"/>
                <w:color w:val="auto"/>
              </w:rPr>
            </w:pPr>
            <w:r>
              <w:rPr>
                <w:rFonts w:ascii="Arial" w:cs="Arial" w:eastAsia="Arial" w:hAnsi="Arial"/>
                <w:sz w:val="15"/>
                <w:szCs w:val="15"/>
                <w:color w:val="auto"/>
              </w:rPr>
              <w:t>7</w:t>
            </w:r>
          </w:p>
        </w:tc>
      </w:tr>
      <w:tr>
        <w:trPr>
          <w:trHeight w:val="158"/>
        </w:trPr>
        <w:tc>
          <w:tcPr>
            <w:tcW w:w="80" w:type="dxa"/>
            <w:vAlign w:val="bottom"/>
            <w:tcBorders>
              <w:left w:val="single" w:sz="8" w:color="auto"/>
            </w:tcBorders>
          </w:tcPr>
          <w:p>
            <w:pPr>
              <w:spacing w:after="0"/>
              <w:rPr>
                <w:sz w:val="13"/>
                <w:szCs w:val="13"/>
                <w:color w:val="auto"/>
              </w:rPr>
            </w:pPr>
          </w:p>
        </w:tc>
        <w:tc>
          <w:tcPr>
            <w:tcW w:w="660" w:type="dxa"/>
            <w:vAlign w:val="bottom"/>
          </w:tcPr>
          <w:p>
            <w:pPr>
              <w:ind w:left="340"/>
              <w:spacing w:after="0" w:line="151" w:lineRule="exact"/>
              <w:rPr>
                <w:sz w:val="20"/>
                <w:szCs w:val="20"/>
                <w:color w:val="auto"/>
              </w:rPr>
            </w:pPr>
            <w:r>
              <w:rPr>
                <w:rFonts w:ascii="MS PGothic" w:cs="MS PGothic" w:eastAsia="MS PGothic" w:hAnsi="MS PGothic"/>
                <w:sz w:val="15"/>
                <w:szCs w:val="15"/>
                <w:color w:val="9E318D"/>
              </w:rPr>
              <w:t>▶</w:t>
            </w:r>
          </w:p>
        </w:tc>
        <w:tc>
          <w:tcPr>
            <w:tcW w:w="6920" w:type="dxa"/>
            <w:vAlign w:val="bottom"/>
            <w:tcBorders>
              <w:right w:val="single" w:sz="8" w:color="auto"/>
            </w:tcBorders>
            <w:gridSpan w:val="30"/>
          </w:tcPr>
          <w:p>
            <w:pPr>
              <w:spacing w:after="0" w:line="159" w:lineRule="exact"/>
              <w:rPr>
                <w:sz w:val="20"/>
                <w:szCs w:val="20"/>
                <w:color w:val="auto"/>
              </w:rPr>
            </w:pPr>
            <w:r>
              <w:rPr>
                <w:rFonts w:ascii="Arial" w:cs="Arial" w:eastAsia="Arial" w:hAnsi="Arial"/>
                <w:sz w:val="15"/>
                <w:szCs w:val="15"/>
                <w:color w:val="0000EE"/>
              </w:rPr>
              <w:t>Corporate Governance Principles</w:t>
            </w:r>
          </w:p>
        </w:tc>
        <w:tc>
          <w:tcPr>
            <w:tcW w:w="1040" w:type="dxa"/>
            <w:vAlign w:val="bottom"/>
            <w:tcBorders>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7</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660" w:type="dxa"/>
            <w:vAlign w:val="bottom"/>
            <w:tcBorders>
              <w:bottom w:val="single" w:sz="8" w:color="auto"/>
            </w:tcBorders>
            <w:shd w:val="clear" w:color="auto" w:fill="4F81BD"/>
          </w:tcPr>
          <w:p>
            <w:pPr>
              <w:ind w:left="340"/>
              <w:spacing w:after="0" w:line="151" w:lineRule="exact"/>
              <w:rPr>
                <w:sz w:val="20"/>
                <w:szCs w:val="20"/>
                <w:color w:val="auto"/>
              </w:rPr>
            </w:pPr>
            <w:r>
              <w:rPr>
                <w:rFonts w:ascii="MS PGothic" w:cs="MS PGothic" w:eastAsia="MS PGothic" w:hAnsi="MS PGothic"/>
                <w:sz w:val="15"/>
                <w:szCs w:val="15"/>
                <w:color w:val="9E318D"/>
              </w:rPr>
              <w:t>▶</w:t>
            </w:r>
          </w:p>
        </w:tc>
        <w:tc>
          <w:tcPr>
            <w:tcW w:w="6920" w:type="dxa"/>
            <w:vAlign w:val="bottom"/>
            <w:tcBorders>
              <w:bottom w:val="single" w:sz="8" w:color="auto"/>
              <w:right w:val="single" w:sz="8" w:color="auto"/>
            </w:tcBorders>
            <w:gridSpan w:val="30"/>
            <w:shd w:val="clear" w:color="auto" w:fill="4F81BD"/>
          </w:tcPr>
          <w:p>
            <w:pPr>
              <w:spacing w:after="0" w:line="159" w:lineRule="exact"/>
              <w:rPr>
                <w:sz w:val="20"/>
                <w:szCs w:val="20"/>
                <w:color w:val="auto"/>
              </w:rPr>
            </w:pPr>
            <w:r>
              <w:rPr>
                <w:rFonts w:ascii="Arial" w:cs="Arial" w:eastAsia="Arial" w:hAnsi="Arial"/>
                <w:sz w:val="15"/>
                <w:szCs w:val="15"/>
                <w:color w:val="0000EE"/>
              </w:rPr>
              <w:t>Corporate Governance Guidelines</w:t>
            </w:r>
          </w:p>
        </w:tc>
        <w:tc>
          <w:tcPr>
            <w:tcW w:w="1040" w:type="dxa"/>
            <w:vAlign w:val="bottom"/>
            <w:tcBorders>
              <w:bottom w:val="single" w:sz="8" w:color="auto"/>
              <w:right w:val="single" w:sz="8" w:color="auto"/>
            </w:tcBorders>
            <w:shd w:val="clear" w:color="auto" w:fill="4F81BD"/>
          </w:tcPr>
          <w:p>
            <w:pPr>
              <w:jc w:val="right"/>
              <w:ind w:right="5"/>
              <w:spacing w:after="0" w:line="159" w:lineRule="exact"/>
              <w:rPr>
                <w:sz w:val="20"/>
                <w:szCs w:val="20"/>
                <w:color w:val="auto"/>
              </w:rPr>
            </w:pPr>
            <w:r>
              <w:rPr>
                <w:rFonts w:ascii="Arial" w:cs="Arial" w:eastAsia="Arial" w:hAnsi="Arial"/>
                <w:sz w:val="15"/>
                <w:szCs w:val="15"/>
                <w:color w:val="auto"/>
              </w:rPr>
              <w:t>8</w:t>
            </w:r>
          </w:p>
        </w:tc>
      </w:tr>
      <w:tr>
        <w:trPr>
          <w:trHeight w:val="158"/>
        </w:trPr>
        <w:tc>
          <w:tcPr>
            <w:tcW w:w="80" w:type="dxa"/>
            <w:vAlign w:val="bottom"/>
            <w:tcBorders>
              <w:left w:val="single" w:sz="8" w:color="auto"/>
            </w:tcBorders>
          </w:tcPr>
          <w:p>
            <w:pPr>
              <w:spacing w:after="0"/>
              <w:rPr>
                <w:sz w:val="13"/>
                <w:szCs w:val="13"/>
                <w:color w:val="auto"/>
              </w:rPr>
            </w:pPr>
          </w:p>
        </w:tc>
        <w:tc>
          <w:tcPr>
            <w:tcW w:w="660" w:type="dxa"/>
            <w:vAlign w:val="bottom"/>
          </w:tcPr>
          <w:p>
            <w:pPr>
              <w:ind w:left="340"/>
              <w:spacing w:after="0" w:line="151" w:lineRule="exact"/>
              <w:rPr>
                <w:sz w:val="20"/>
                <w:szCs w:val="20"/>
                <w:color w:val="auto"/>
              </w:rPr>
            </w:pPr>
            <w:r>
              <w:rPr>
                <w:rFonts w:ascii="MS PGothic" w:cs="MS PGothic" w:eastAsia="MS PGothic" w:hAnsi="MS PGothic"/>
                <w:sz w:val="15"/>
                <w:szCs w:val="15"/>
                <w:color w:val="9E318D"/>
              </w:rPr>
              <w:t>▶</w:t>
            </w:r>
          </w:p>
        </w:tc>
        <w:tc>
          <w:tcPr>
            <w:tcW w:w="6920" w:type="dxa"/>
            <w:vAlign w:val="bottom"/>
            <w:tcBorders>
              <w:right w:val="single" w:sz="8" w:color="auto"/>
            </w:tcBorders>
            <w:gridSpan w:val="30"/>
          </w:tcPr>
          <w:p>
            <w:pPr>
              <w:spacing w:after="0" w:line="159" w:lineRule="exact"/>
              <w:rPr>
                <w:sz w:val="20"/>
                <w:szCs w:val="20"/>
                <w:color w:val="auto"/>
              </w:rPr>
            </w:pPr>
            <w:r>
              <w:rPr>
                <w:rFonts w:ascii="Arial" w:cs="Arial" w:eastAsia="Arial" w:hAnsi="Arial"/>
                <w:sz w:val="15"/>
                <w:szCs w:val="15"/>
                <w:color w:val="0000EE"/>
              </w:rPr>
              <w:t>Innospec’s Leadership Structure</w:t>
            </w:r>
          </w:p>
        </w:tc>
        <w:tc>
          <w:tcPr>
            <w:tcW w:w="1040" w:type="dxa"/>
            <w:vAlign w:val="bottom"/>
            <w:tcBorders>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8</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1"/>
            <w:shd w:val="clear" w:color="auto" w:fill="4F81BD"/>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The Board’s Role in Risk Management</w:t>
            </w:r>
          </w:p>
        </w:tc>
        <w:tc>
          <w:tcPr>
            <w:tcW w:w="1040" w:type="dxa"/>
            <w:vAlign w:val="bottom"/>
            <w:tcBorders>
              <w:bottom w:val="single" w:sz="8" w:color="auto"/>
              <w:right w:val="single" w:sz="8" w:color="auto"/>
            </w:tcBorders>
            <w:shd w:val="clear" w:color="auto" w:fill="4F81BD"/>
          </w:tcPr>
          <w:p>
            <w:pPr>
              <w:jc w:val="right"/>
              <w:ind w:right="5"/>
              <w:spacing w:after="0" w:line="159" w:lineRule="exact"/>
              <w:rPr>
                <w:sz w:val="20"/>
                <w:szCs w:val="20"/>
                <w:color w:val="auto"/>
              </w:rPr>
            </w:pPr>
            <w:r>
              <w:rPr>
                <w:rFonts w:ascii="Arial" w:cs="Arial" w:eastAsia="Arial" w:hAnsi="Arial"/>
                <w:sz w:val="15"/>
                <w:szCs w:val="15"/>
                <w:color w:val="auto"/>
              </w:rPr>
              <w:t>9</w:t>
            </w:r>
          </w:p>
        </w:tc>
      </w:tr>
      <w:tr>
        <w:trPr>
          <w:trHeight w:val="158"/>
        </w:trPr>
        <w:tc>
          <w:tcPr>
            <w:tcW w:w="80" w:type="dxa"/>
            <w:vAlign w:val="bottom"/>
            <w:tcBorders>
              <w:left w:val="single" w:sz="8" w:color="auto"/>
            </w:tcBorders>
          </w:tcPr>
          <w:p>
            <w:pPr>
              <w:spacing w:after="0"/>
              <w:rPr>
                <w:sz w:val="13"/>
                <w:szCs w:val="13"/>
                <w:color w:val="auto"/>
              </w:rPr>
            </w:pPr>
          </w:p>
        </w:tc>
        <w:tc>
          <w:tcPr>
            <w:tcW w:w="660" w:type="dxa"/>
            <w:vAlign w:val="bottom"/>
          </w:tcPr>
          <w:p>
            <w:pPr>
              <w:ind w:left="340"/>
              <w:spacing w:after="0" w:line="151" w:lineRule="exact"/>
              <w:rPr>
                <w:sz w:val="20"/>
                <w:szCs w:val="20"/>
                <w:color w:val="auto"/>
              </w:rPr>
            </w:pPr>
            <w:r>
              <w:rPr>
                <w:rFonts w:ascii="MS PGothic" w:cs="MS PGothic" w:eastAsia="MS PGothic" w:hAnsi="MS PGothic"/>
                <w:sz w:val="15"/>
                <w:szCs w:val="15"/>
                <w:color w:val="9E318D"/>
              </w:rPr>
              <w:t>▶</w:t>
            </w:r>
          </w:p>
        </w:tc>
        <w:tc>
          <w:tcPr>
            <w:tcW w:w="6920" w:type="dxa"/>
            <w:vAlign w:val="bottom"/>
            <w:tcBorders>
              <w:right w:val="single" w:sz="8" w:color="auto"/>
            </w:tcBorders>
            <w:gridSpan w:val="30"/>
          </w:tcPr>
          <w:p>
            <w:pPr>
              <w:spacing w:after="0" w:line="159" w:lineRule="exact"/>
              <w:rPr>
                <w:sz w:val="20"/>
                <w:szCs w:val="20"/>
                <w:color w:val="auto"/>
              </w:rPr>
            </w:pPr>
            <w:r>
              <w:rPr>
                <w:rFonts w:ascii="Arial" w:cs="Arial" w:eastAsia="Arial" w:hAnsi="Arial"/>
                <w:sz w:val="15"/>
                <w:szCs w:val="15"/>
                <w:color w:val="0000EE"/>
              </w:rPr>
              <w:t>Director Independence</w:t>
            </w:r>
          </w:p>
        </w:tc>
        <w:tc>
          <w:tcPr>
            <w:tcW w:w="1040" w:type="dxa"/>
            <w:vAlign w:val="bottom"/>
            <w:tcBorders>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12</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9"/>
        </w:trPr>
        <w:tc>
          <w:tcPr>
            <w:tcW w:w="80" w:type="dxa"/>
            <w:vAlign w:val="bottom"/>
            <w:tcBorders>
              <w:left w:val="single" w:sz="8" w:color="auto"/>
              <w:bottom w:val="single" w:sz="8" w:color="4F81BD"/>
            </w:tcBorders>
            <w:shd w:val="clear" w:color="auto" w:fill="4F81BD"/>
          </w:tcPr>
          <w:p>
            <w:pPr>
              <w:spacing w:after="0"/>
              <w:rPr>
                <w:sz w:val="18"/>
                <w:szCs w:val="18"/>
                <w:color w:val="auto"/>
              </w:rPr>
            </w:pPr>
          </w:p>
        </w:tc>
        <w:tc>
          <w:tcPr>
            <w:tcW w:w="660" w:type="dxa"/>
            <w:vAlign w:val="bottom"/>
            <w:tcBorders>
              <w:bottom w:val="single" w:sz="8" w:color="4F81BD"/>
            </w:tcBorders>
            <w:shd w:val="clear" w:color="auto" w:fill="4F81BD"/>
          </w:tcPr>
          <w:p>
            <w:pPr>
              <w:ind w:left="340"/>
              <w:spacing w:after="0" w:line="151" w:lineRule="exact"/>
              <w:rPr>
                <w:sz w:val="20"/>
                <w:szCs w:val="20"/>
                <w:color w:val="auto"/>
              </w:rPr>
            </w:pPr>
            <w:r>
              <w:rPr>
                <w:rFonts w:ascii="MS PGothic" w:cs="MS PGothic" w:eastAsia="MS PGothic" w:hAnsi="MS PGothic"/>
                <w:sz w:val="15"/>
                <w:szCs w:val="15"/>
                <w:color w:val="9E318D"/>
              </w:rPr>
              <w:t>▶</w:t>
            </w:r>
          </w:p>
        </w:tc>
        <w:tc>
          <w:tcPr>
            <w:tcW w:w="1380" w:type="dxa"/>
            <w:vAlign w:val="bottom"/>
            <w:tcBorders>
              <w:bottom w:val="single" w:sz="8" w:color="0000EE"/>
            </w:tcBorders>
            <w:gridSpan w:val="7"/>
            <w:shd w:val="clear" w:color="auto" w:fill="4F81BD"/>
          </w:tcPr>
          <w:p>
            <w:pPr>
              <w:spacing w:after="0" w:line="159" w:lineRule="exact"/>
              <w:rPr>
                <w:sz w:val="20"/>
                <w:szCs w:val="20"/>
                <w:color w:val="auto"/>
              </w:rPr>
            </w:pPr>
            <w:r>
              <w:rPr>
                <w:rFonts w:ascii="Arial" w:cs="Arial" w:eastAsia="Arial" w:hAnsi="Arial"/>
                <w:sz w:val="15"/>
                <w:szCs w:val="15"/>
                <w:color w:val="0000EE"/>
                <w:w w:val="98"/>
              </w:rPr>
              <w:t>Family Relationships</w:t>
            </w:r>
          </w:p>
        </w:tc>
        <w:tc>
          <w:tcPr>
            <w:tcW w:w="5540" w:type="dxa"/>
            <w:vAlign w:val="bottom"/>
            <w:tcBorders>
              <w:bottom w:val="single" w:sz="8" w:color="4F81BD"/>
              <w:right w:val="single" w:sz="8" w:color="auto"/>
            </w:tcBorders>
            <w:gridSpan w:val="23"/>
            <w:shd w:val="clear" w:color="auto" w:fill="4F81BD"/>
          </w:tcPr>
          <w:p>
            <w:pPr>
              <w:spacing w:after="0"/>
              <w:rPr>
                <w:sz w:val="18"/>
                <w:szCs w:val="18"/>
                <w:color w:val="auto"/>
              </w:rPr>
            </w:pPr>
          </w:p>
        </w:tc>
        <w:tc>
          <w:tcPr>
            <w:tcW w:w="1040" w:type="dxa"/>
            <w:vAlign w:val="bottom"/>
            <w:tcBorders>
              <w:bottom w:val="single" w:sz="8" w:color="4F81BD"/>
              <w:right w:val="single" w:sz="8" w:color="auto"/>
            </w:tcBorders>
            <w:shd w:val="clear" w:color="auto" w:fill="4F81BD"/>
          </w:tcPr>
          <w:p>
            <w:pPr>
              <w:jc w:val="right"/>
              <w:ind w:right="5"/>
              <w:spacing w:after="0" w:line="159" w:lineRule="exact"/>
              <w:rPr>
                <w:sz w:val="20"/>
                <w:szCs w:val="20"/>
                <w:color w:val="auto"/>
              </w:rPr>
            </w:pPr>
            <w:r>
              <w:rPr>
                <w:rFonts w:ascii="Arial" w:cs="Arial" w:eastAsia="Arial" w:hAnsi="Arial"/>
                <w:sz w:val="15"/>
                <w:szCs w:val="15"/>
                <w:color w:val="auto"/>
              </w:rPr>
              <w:t>12</w:t>
            </w:r>
          </w:p>
        </w:tc>
      </w:tr>
      <w:tr>
        <w:trPr>
          <w:trHeight w:val="158"/>
        </w:trPr>
        <w:tc>
          <w:tcPr>
            <w:tcW w:w="80" w:type="dxa"/>
            <w:vAlign w:val="bottom"/>
            <w:tcBorders>
              <w:top w:val="single" w:sz="8" w:color="auto"/>
              <w:left w:val="single" w:sz="8" w:color="auto"/>
            </w:tcBorders>
          </w:tcPr>
          <w:p>
            <w:pPr>
              <w:spacing w:after="0"/>
              <w:rPr>
                <w:sz w:val="13"/>
                <w:szCs w:val="13"/>
                <w:color w:val="auto"/>
              </w:rPr>
            </w:pPr>
          </w:p>
        </w:tc>
        <w:tc>
          <w:tcPr>
            <w:tcW w:w="7580" w:type="dxa"/>
            <w:vAlign w:val="bottom"/>
            <w:tcBorders>
              <w:top w:val="single" w:sz="8" w:color="auto"/>
              <w:right w:val="single" w:sz="8" w:color="auto"/>
            </w:tcBorders>
            <w:gridSpan w:val="31"/>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Related Person Transactions and Relationships</w:t>
            </w:r>
          </w:p>
        </w:tc>
        <w:tc>
          <w:tcPr>
            <w:tcW w:w="1040" w:type="dxa"/>
            <w:vAlign w:val="bottom"/>
            <w:tcBorders>
              <w:top w:val="single" w:sz="8" w:color="auto"/>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12</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6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1"/>
            <w:shd w:val="clear" w:color="auto" w:fill="4F81BD"/>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Related Person Transactions Approval Policy</w:t>
            </w:r>
          </w:p>
        </w:tc>
        <w:tc>
          <w:tcPr>
            <w:tcW w:w="1040" w:type="dxa"/>
            <w:vAlign w:val="bottom"/>
            <w:tcBorders>
              <w:bottom w:val="single" w:sz="8" w:color="auto"/>
              <w:right w:val="single" w:sz="8" w:color="auto"/>
            </w:tcBorders>
            <w:shd w:val="clear" w:color="auto" w:fill="4F81BD"/>
          </w:tcPr>
          <w:p>
            <w:pPr>
              <w:jc w:val="right"/>
              <w:ind w:right="5"/>
              <w:spacing w:after="0" w:line="159" w:lineRule="exact"/>
              <w:rPr>
                <w:sz w:val="20"/>
                <w:szCs w:val="20"/>
                <w:color w:val="auto"/>
              </w:rPr>
            </w:pPr>
            <w:r>
              <w:rPr>
                <w:rFonts w:ascii="Arial" w:cs="Arial" w:eastAsia="Arial" w:hAnsi="Arial"/>
                <w:sz w:val="15"/>
                <w:szCs w:val="15"/>
                <w:color w:val="auto"/>
              </w:rPr>
              <w:t>13</w:t>
            </w:r>
          </w:p>
        </w:tc>
      </w:tr>
      <w:tr>
        <w:trPr>
          <w:trHeight w:val="158"/>
        </w:trPr>
        <w:tc>
          <w:tcPr>
            <w:tcW w:w="80" w:type="dxa"/>
            <w:vAlign w:val="bottom"/>
            <w:tcBorders>
              <w:left w:val="single" w:sz="8" w:color="auto"/>
            </w:tcBorders>
          </w:tcPr>
          <w:p>
            <w:pPr>
              <w:spacing w:after="0"/>
              <w:rPr>
                <w:sz w:val="13"/>
                <w:szCs w:val="13"/>
                <w:color w:val="auto"/>
              </w:rPr>
            </w:pPr>
          </w:p>
        </w:tc>
        <w:tc>
          <w:tcPr>
            <w:tcW w:w="7580" w:type="dxa"/>
            <w:vAlign w:val="bottom"/>
            <w:tcBorders>
              <w:right w:val="single" w:sz="8" w:color="auto"/>
            </w:tcBorders>
            <w:gridSpan w:val="31"/>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Executive Sessions of Independent Non-Employee Directors</w:t>
            </w:r>
          </w:p>
        </w:tc>
        <w:tc>
          <w:tcPr>
            <w:tcW w:w="1040" w:type="dxa"/>
            <w:vAlign w:val="bottom"/>
            <w:tcBorders>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13</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6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560" w:type="dxa"/>
            <w:vAlign w:val="bottom"/>
            <w:tcBorders>
              <w:top w:val="single" w:sz="8" w:color="0000EE"/>
              <w:bottom w:val="single" w:sz="8" w:color="auto"/>
            </w:tcBorders>
          </w:tcPr>
          <w:p>
            <w:pPr>
              <w:spacing w:after="0"/>
              <w:rPr>
                <w:sz w:val="3"/>
                <w:szCs w:val="3"/>
                <w:color w:val="auto"/>
              </w:rPr>
            </w:pPr>
          </w:p>
        </w:tc>
        <w:tc>
          <w:tcPr>
            <w:tcW w:w="22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1"/>
            <w:shd w:val="clear" w:color="auto" w:fill="4F81BD"/>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Identifying and Evaluating Nominees for Director</w:t>
            </w:r>
          </w:p>
        </w:tc>
        <w:tc>
          <w:tcPr>
            <w:tcW w:w="1040" w:type="dxa"/>
            <w:vAlign w:val="bottom"/>
            <w:tcBorders>
              <w:bottom w:val="single" w:sz="8" w:color="auto"/>
              <w:right w:val="single" w:sz="8" w:color="auto"/>
            </w:tcBorders>
            <w:shd w:val="clear" w:color="auto" w:fill="4F81BD"/>
          </w:tcPr>
          <w:p>
            <w:pPr>
              <w:jc w:val="right"/>
              <w:ind w:right="5"/>
              <w:spacing w:after="0" w:line="159" w:lineRule="exact"/>
              <w:rPr>
                <w:sz w:val="20"/>
                <w:szCs w:val="20"/>
                <w:color w:val="auto"/>
              </w:rPr>
            </w:pPr>
            <w:r>
              <w:rPr>
                <w:rFonts w:ascii="Arial" w:cs="Arial" w:eastAsia="Arial" w:hAnsi="Arial"/>
                <w:sz w:val="15"/>
                <w:szCs w:val="15"/>
                <w:color w:val="auto"/>
              </w:rPr>
              <w:t>13</w:t>
            </w:r>
          </w:p>
        </w:tc>
      </w:tr>
      <w:tr>
        <w:trPr>
          <w:trHeight w:val="158"/>
        </w:trPr>
        <w:tc>
          <w:tcPr>
            <w:tcW w:w="80" w:type="dxa"/>
            <w:vAlign w:val="bottom"/>
            <w:tcBorders>
              <w:left w:val="single" w:sz="8" w:color="auto"/>
            </w:tcBorders>
          </w:tcPr>
          <w:p>
            <w:pPr>
              <w:spacing w:after="0"/>
              <w:rPr>
                <w:sz w:val="13"/>
                <w:szCs w:val="13"/>
                <w:color w:val="auto"/>
              </w:rPr>
            </w:pPr>
          </w:p>
        </w:tc>
        <w:tc>
          <w:tcPr>
            <w:tcW w:w="7580" w:type="dxa"/>
            <w:vAlign w:val="bottom"/>
            <w:tcBorders>
              <w:right w:val="single" w:sz="8" w:color="auto"/>
            </w:tcBorders>
            <w:gridSpan w:val="31"/>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Director On-Boarding and Continuing Education</w:t>
            </w:r>
          </w:p>
        </w:tc>
        <w:tc>
          <w:tcPr>
            <w:tcW w:w="1040" w:type="dxa"/>
            <w:vAlign w:val="bottom"/>
            <w:tcBorders>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15</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6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660" w:type="dxa"/>
            <w:vAlign w:val="bottom"/>
            <w:tcBorders>
              <w:bottom w:val="single" w:sz="8" w:color="auto"/>
            </w:tcBorders>
            <w:shd w:val="clear" w:color="auto" w:fill="4F81BD"/>
          </w:tcPr>
          <w:p>
            <w:pPr>
              <w:ind w:left="340"/>
              <w:spacing w:after="0" w:line="151" w:lineRule="exact"/>
              <w:rPr>
                <w:sz w:val="20"/>
                <w:szCs w:val="20"/>
                <w:color w:val="auto"/>
              </w:rPr>
            </w:pPr>
            <w:r>
              <w:rPr>
                <w:rFonts w:ascii="MS PGothic" w:cs="MS PGothic" w:eastAsia="MS PGothic" w:hAnsi="MS PGothic"/>
                <w:sz w:val="15"/>
                <w:szCs w:val="15"/>
                <w:color w:val="9E318D"/>
              </w:rPr>
              <w:t>▶</w:t>
            </w:r>
          </w:p>
        </w:tc>
        <w:tc>
          <w:tcPr>
            <w:tcW w:w="6920" w:type="dxa"/>
            <w:vAlign w:val="bottom"/>
            <w:tcBorders>
              <w:bottom w:val="single" w:sz="8" w:color="auto"/>
              <w:right w:val="single" w:sz="8" w:color="auto"/>
            </w:tcBorders>
            <w:gridSpan w:val="30"/>
            <w:shd w:val="clear" w:color="auto" w:fill="4F81BD"/>
          </w:tcPr>
          <w:p>
            <w:pPr>
              <w:spacing w:after="0" w:line="159" w:lineRule="exact"/>
              <w:rPr>
                <w:sz w:val="20"/>
                <w:szCs w:val="20"/>
                <w:color w:val="auto"/>
              </w:rPr>
            </w:pPr>
            <w:r>
              <w:rPr>
                <w:rFonts w:ascii="Arial" w:cs="Arial" w:eastAsia="Arial" w:hAnsi="Arial"/>
                <w:sz w:val="15"/>
                <w:szCs w:val="15"/>
                <w:color w:val="0000EE"/>
              </w:rPr>
              <w:t>Meetings and Attendance</w:t>
            </w:r>
          </w:p>
        </w:tc>
        <w:tc>
          <w:tcPr>
            <w:tcW w:w="1040" w:type="dxa"/>
            <w:vAlign w:val="bottom"/>
            <w:tcBorders>
              <w:bottom w:val="single" w:sz="8" w:color="auto"/>
              <w:right w:val="single" w:sz="8" w:color="auto"/>
            </w:tcBorders>
            <w:shd w:val="clear" w:color="auto" w:fill="4F81BD"/>
          </w:tcPr>
          <w:p>
            <w:pPr>
              <w:jc w:val="right"/>
              <w:ind w:right="5"/>
              <w:spacing w:after="0" w:line="159" w:lineRule="exact"/>
              <w:rPr>
                <w:sz w:val="20"/>
                <w:szCs w:val="20"/>
                <w:color w:val="auto"/>
              </w:rPr>
            </w:pPr>
            <w:r>
              <w:rPr>
                <w:rFonts w:ascii="Arial" w:cs="Arial" w:eastAsia="Arial" w:hAnsi="Arial"/>
                <w:sz w:val="15"/>
                <w:szCs w:val="15"/>
                <w:color w:val="auto"/>
              </w:rPr>
              <w:t>15</w:t>
            </w:r>
          </w:p>
        </w:tc>
      </w:tr>
      <w:tr>
        <w:trPr>
          <w:trHeight w:val="158"/>
        </w:trPr>
        <w:tc>
          <w:tcPr>
            <w:tcW w:w="80" w:type="dxa"/>
            <w:vAlign w:val="bottom"/>
            <w:tcBorders>
              <w:left w:val="single" w:sz="8" w:color="auto"/>
            </w:tcBorders>
          </w:tcPr>
          <w:p>
            <w:pPr>
              <w:spacing w:after="0"/>
              <w:rPr>
                <w:sz w:val="13"/>
                <w:szCs w:val="13"/>
                <w:color w:val="auto"/>
              </w:rPr>
            </w:pPr>
          </w:p>
        </w:tc>
        <w:tc>
          <w:tcPr>
            <w:tcW w:w="7580" w:type="dxa"/>
            <w:vAlign w:val="bottom"/>
            <w:tcBorders>
              <w:right w:val="single" w:sz="8" w:color="auto"/>
            </w:tcBorders>
            <w:gridSpan w:val="31"/>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Limitation on Other Board and Audit Committee Positions</w:t>
            </w:r>
          </w:p>
        </w:tc>
        <w:tc>
          <w:tcPr>
            <w:tcW w:w="1040" w:type="dxa"/>
            <w:vAlign w:val="bottom"/>
            <w:tcBorders>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15</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6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560" w:type="dxa"/>
            <w:vAlign w:val="bottom"/>
            <w:tcBorders>
              <w:top w:val="single" w:sz="8" w:color="0000EE"/>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660" w:type="dxa"/>
            <w:vAlign w:val="bottom"/>
            <w:tcBorders>
              <w:bottom w:val="single" w:sz="8" w:color="auto"/>
            </w:tcBorders>
            <w:shd w:val="clear" w:color="auto" w:fill="4F81BD"/>
          </w:tcPr>
          <w:p>
            <w:pPr>
              <w:ind w:left="340"/>
              <w:spacing w:after="0" w:line="151" w:lineRule="exact"/>
              <w:rPr>
                <w:sz w:val="20"/>
                <w:szCs w:val="20"/>
                <w:color w:val="auto"/>
              </w:rPr>
            </w:pPr>
            <w:r>
              <w:rPr>
                <w:rFonts w:ascii="MS PGothic" w:cs="MS PGothic" w:eastAsia="MS PGothic" w:hAnsi="MS PGothic"/>
                <w:sz w:val="15"/>
                <w:szCs w:val="15"/>
                <w:color w:val="9E318D"/>
              </w:rPr>
              <w:t>▶</w:t>
            </w:r>
          </w:p>
        </w:tc>
        <w:tc>
          <w:tcPr>
            <w:tcW w:w="6920" w:type="dxa"/>
            <w:vAlign w:val="bottom"/>
            <w:tcBorders>
              <w:bottom w:val="single" w:sz="8" w:color="auto"/>
              <w:right w:val="single" w:sz="8" w:color="auto"/>
            </w:tcBorders>
            <w:gridSpan w:val="30"/>
            <w:shd w:val="clear" w:color="auto" w:fill="4F81BD"/>
          </w:tcPr>
          <w:p>
            <w:pPr>
              <w:spacing w:after="0" w:line="159" w:lineRule="exact"/>
              <w:rPr>
                <w:sz w:val="20"/>
                <w:szCs w:val="20"/>
                <w:color w:val="auto"/>
              </w:rPr>
            </w:pPr>
            <w:r>
              <w:rPr>
                <w:rFonts w:ascii="Arial" w:cs="Arial" w:eastAsia="Arial" w:hAnsi="Arial"/>
                <w:sz w:val="15"/>
                <w:szCs w:val="15"/>
                <w:color w:val="0000EE"/>
              </w:rPr>
              <w:t>Code of Conduct</w:t>
            </w:r>
          </w:p>
        </w:tc>
        <w:tc>
          <w:tcPr>
            <w:tcW w:w="1040" w:type="dxa"/>
            <w:vAlign w:val="bottom"/>
            <w:tcBorders>
              <w:bottom w:val="single" w:sz="8" w:color="auto"/>
              <w:right w:val="single" w:sz="8" w:color="auto"/>
            </w:tcBorders>
            <w:shd w:val="clear" w:color="auto" w:fill="4F81BD"/>
          </w:tcPr>
          <w:p>
            <w:pPr>
              <w:jc w:val="right"/>
              <w:ind w:right="5"/>
              <w:spacing w:after="0" w:line="159" w:lineRule="exact"/>
              <w:rPr>
                <w:sz w:val="20"/>
                <w:szCs w:val="20"/>
                <w:color w:val="auto"/>
              </w:rPr>
            </w:pPr>
            <w:r>
              <w:rPr>
                <w:rFonts w:ascii="Arial" w:cs="Arial" w:eastAsia="Arial" w:hAnsi="Arial"/>
                <w:sz w:val="15"/>
                <w:szCs w:val="15"/>
                <w:color w:val="auto"/>
              </w:rPr>
              <w:t>16</w:t>
            </w:r>
          </w:p>
        </w:tc>
      </w:tr>
      <w:tr>
        <w:trPr>
          <w:trHeight w:val="158"/>
        </w:trPr>
        <w:tc>
          <w:tcPr>
            <w:tcW w:w="80" w:type="dxa"/>
            <w:vAlign w:val="bottom"/>
            <w:tcBorders>
              <w:left w:val="single" w:sz="8" w:color="auto"/>
            </w:tcBorders>
          </w:tcPr>
          <w:p>
            <w:pPr>
              <w:spacing w:after="0"/>
              <w:rPr>
                <w:sz w:val="13"/>
                <w:szCs w:val="13"/>
                <w:color w:val="auto"/>
              </w:rPr>
            </w:pPr>
          </w:p>
        </w:tc>
        <w:tc>
          <w:tcPr>
            <w:tcW w:w="7580" w:type="dxa"/>
            <w:vAlign w:val="bottom"/>
            <w:tcBorders>
              <w:right w:val="single" w:sz="8" w:color="auto"/>
            </w:tcBorders>
            <w:gridSpan w:val="31"/>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Supplier Code of Conduct</w:t>
            </w:r>
          </w:p>
        </w:tc>
        <w:tc>
          <w:tcPr>
            <w:tcW w:w="1040" w:type="dxa"/>
            <w:vAlign w:val="bottom"/>
            <w:tcBorders>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16</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1"/>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Raising Issues and Reporting Violations</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17</w:t>
            </w:r>
          </w:p>
        </w:tc>
      </w:tr>
      <w:tr>
        <w:trPr>
          <w:trHeight w:val="158"/>
        </w:trPr>
        <w:tc>
          <w:tcPr>
            <w:tcW w:w="80" w:type="dxa"/>
            <w:vAlign w:val="bottom"/>
            <w:tcBorders>
              <w:left w:val="single" w:sz="8" w:color="auto"/>
            </w:tcBorders>
          </w:tcPr>
          <w:p>
            <w:pPr>
              <w:spacing w:after="0"/>
              <w:rPr>
                <w:sz w:val="13"/>
                <w:szCs w:val="13"/>
                <w:color w:val="auto"/>
              </w:rPr>
            </w:pPr>
          </w:p>
        </w:tc>
        <w:tc>
          <w:tcPr>
            <w:tcW w:w="7580" w:type="dxa"/>
            <w:vAlign w:val="bottom"/>
            <w:tcBorders>
              <w:right w:val="single" w:sz="8" w:color="auto"/>
            </w:tcBorders>
            <w:gridSpan w:val="31"/>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No Retaliation on Reporting Issues or Violations</w:t>
            </w:r>
          </w:p>
        </w:tc>
        <w:tc>
          <w:tcPr>
            <w:tcW w:w="1040" w:type="dxa"/>
            <w:vAlign w:val="bottom"/>
            <w:tcBorders>
              <w:right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rPr>
              <w:t>17</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6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660" w:type="dxa"/>
            <w:vAlign w:val="bottom"/>
            <w:tcBorders>
              <w:bottom w:val="single" w:sz="8" w:color="auto"/>
            </w:tcBorders>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6920" w:type="dxa"/>
            <w:vAlign w:val="bottom"/>
            <w:tcBorders>
              <w:bottom w:val="single" w:sz="8" w:color="auto"/>
              <w:right w:val="single" w:sz="8" w:color="auto"/>
            </w:tcBorders>
            <w:gridSpan w:val="30"/>
            <w:shd w:val="clear" w:color="auto" w:fill="4F81BD"/>
          </w:tcPr>
          <w:p>
            <w:pPr>
              <w:spacing w:after="0" w:line="147" w:lineRule="exact"/>
              <w:rPr>
                <w:sz w:val="20"/>
                <w:szCs w:val="20"/>
                <w:color w:val="auto"/>
              </w:rPr>
            </w:pPr>
            <w:r>
              <w:rPr>
                <w:rFonts w:ascii="Arial" w:cs="Arial" w:eastAsia="Arial" w:hAnsi="Arial"/>
                <w:sz w:val="15"/>
                <w:szCs w:val="15"/>
                <w:color w:val="0000EE"/>
              </w:rPr>
              <w:t>Anti-Hedging Policy</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17</w:t>
            </w:r>
          </w:p>
        </w:tc>
      </w:tr>
      <w:tr>
        <w:trPr>
          <w:trHeight w:val="158"/>
        </w:trPr>
        <w:tc>
          <w:tcPr>
            <w:tcW w:w="80" w:type="dxa"/>
            <w:vAlign w:val="bottom"/>
            <w:tcBorders>
              <w:left w:val="single" w:sz="8" w:color="auto"/>
            </w:tcBorders>
          </w:tcPr>
          <w:p>
            <w:pPr>
              <w:spacing w:after="0"/>
              <w:rPr>
                <w:sz w:val="13"/>
                <w:szCs w:val="13"/>
                <w:color w:val="auto"/>
              </w:rPr>
            </w:pPr>
          </w:p>
        </w:tc>
        <w:tc>
          <w:tcPr>
            <w:tcW w:w="660" w:type="dxa"/>
            <w:vAlign w:val="bottom"/>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6920" w:type="dxa"/>
            <w:vAlign w:val="bottom"/>
            <w:tcBorders>
              <w:right w:val="single" w:sz="8" w:color="auto"/>
            </w:tcBorders>
            <w:gridSpan w:val="30"/>
          </w:tcPr>
          <w:p>
            <w:pPr>
              <w:spacing w:after="0" w:line="147" w:lineRule="exact"/>
              <w:rPr>
                <w:sz w:val="20"/>
                <w:szCs w:val="20"/>
                <w:color w:val="auto"/>
              </w:rPr>
            </w:pPr>
            <w:r>
              <w:rPr>
                <w:rFonts w:ascii="Arial" w:cs="Arial" w:eastAsia="Arial" w:hAnsi="Arial"/>
                <w:sz w:val="15"/>
                <w:szCs w:val="15"/>
                <w:color w:val="0000EE"/>
              </w:rPr>
              <w:t>Anti-Pledging Policy</w:t>
            </w:r>
          </w:p>
        </w:tc>
        <w:tc>
          <w:tcPr>
            <w:tcW w:w="1040" w:type="dxa"/>
            <w:vAlign w:val="bottom"/>
            <w:tcBorders>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17</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1"/>
            <w:shd w:val="clear" w:color="auto" w:fill="4F81BD"/>
          </w:tcPr>
          <w:p>
            <w:pPr>
              <w:ind w:left="340"/>
              <w:spacing w:after="0" w:line="159"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Copies of Code of Conduct, Corporate Governance Guidelines and Committee Charters</w:t>
            </w:r>
          </w:p>
        </w:tc>
        <w:tc>
          <w:tcPr>
            <w:tcW w:w="1040" w:type="dxa"/>
            <w:vAlign w:val="bottom"/>
            <w:tcBorders>
              <w:bottom w:val="single" w:sz="8" w:color="auto"/>
              <w:right w:val="single" w:sz="8" w:color="auto"/>
            </w:tcBorders>
            <w:shd w:val="clear" w:color="auto" w:fill="4F81BD"/>
          </w:tcPr>
          <w:p>
            <w:pPr>
              <w:jc w:val="right"/>
              <w:ind w:right="5"/>
              <w:spacing w:after="0" w:line="159" w:lineRule="exact"/>
              <w:rPr>
                <w:sz w:val="20"/>
                <w:szCs w:val="20"/>
                <w:color w:val="auto"/>
              </w:rPr>
            </w:pPr>
            <w:r>
              <w:rPr>
                <w:rFonts w:ascii="Arial" w:cs="Arial" w:eastAsia="Arial" w:hAnsi="Arial"/>
                <w:sz w:val="15"/>
                <w:szCs w:val="15"/>
                <w:color w:val="auto"/>
              </w:rPr>
              <w:t>18</w:t>
            </w:r>
          </w:p>
        </w:tc>
      </w:tr>
      <w:tr>
        <w:trPr>
          <w:trHeight w:val="158"/>
        </w:trPr>
        <w:tc>
          <w:tcPr>
            <w:tcW w:w="80" w:type="dxa"/>
            <w:vAlign w:val="bottom"/>
            <w:tcBorders>
              <w:left w:val="single" w:sz="8" w:color="auto"/>
            </w:tcBorders>
          </w:tcPr>
          <w:p>
            <w:pPr>
              <w:spacing w:after="0"/>
              <w:rPr>
                <w:sz w:val="13"/>
                <w:szCs w:val="13"/>
                <w:color w:val="auto"/>
              </w:rPr>
            </w:pPr>
          </w:p>
        </w:tc>
        <w:tc>
          <w:tcPr>
            <w:tcW w:w="7580" w:type="dxa"/>
            <w:vAlign w:val="bottom"/>
            <w:tcBorders>
              <w:right w:val="single" w:sz="8" w:color="auto"/>
            </w:tcBorders>
            <w:gridSpan w:val="31"/>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Communications with our Board</w:t>
            </w:r>
          </w:p>
        </w:tc>
        <w:tc>
          <w:tcPr>
            <w:tcW w:w="1040" w:type="dxa"/>
            <w:vAlign w:val="bottom"/>
            <w:tcBorders>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18</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9"/>
        </w:trPr>
        <w:tc>
          <w:tcPr>
            <w:tcW w:w="80" w:type="dxa"/>
            <w:vAlign w:val="bottom"/>
            <w:tcBorders>
              <w:left w:val="single" w:sz="8" w:color="auto"/>
              <w:bottom w:val="single" w:sz="8" w:color="4F81BD"/>
            </w:tcBorders>
            <w:shd w:val="clear" w:color="auto" w:fill="4F81BD"/>
          </w:tcPr>
          <w:p>
            <w:pPr>
              <w:spacing w:after="0"/>
              <w:rPr>
                <w:sz w:val="18"/>
                <w:szCs w:val="18"/>
                <w:color w:val="auto"/>
              </w:rPr>
            </w:pPr>
          </w:p>
        </w:tc>
        <w:tc>
          <w:tcPr>
            <w:tcW w:w="660" w:type="dxa"/>
            <w:vAlign w:val="bottom"/>
            <w:tcBorders>
              <w:bottom w:val="single" w:sz="8" w:color="4F81BD"/>
            </w:tcBorders>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1240" w:type="dxa"/>
            <w:vAlign w:val="bottom"/>
            <w:tcBorders>
              <w:bottom w:val="single" w:sz="8" w:color="0000EE"/>
            </w:tcBorders>
            <w:gridSpan w:val="3"/>
            <w:shd w:val="clear" w:color="auto" w:fill="4F81BD"/>
          </w:tcPr>
          <w:p>
            <w:pPr>
              <w:spacing w:after="0" w:line="147" w:lineRule="exact"/>
              <w:rPr>
                <w:sz w:val="20"/>
                <w:szCs w:val="20"/>
                <w:color w:val="auto"/>
              </w:rPr>
            </w:pPr>
            <w:r>
              <w:rPr>
                <w:rFonts w:ascii="Arial" w:cs="Arial" w:eastAsia="Arial" w:hAnsi="Arial"/>
                <w:sz w:val="15"/>
                <w:szCs w:val="15"/>
                <w:color w:val="0000EE"/>
                <w:w w:val="98"/>
              </w:rPr>
              <w:t>Board Committees</w:t>
            </w:r>
          </w:p>
        </w:tc>
        <w:tc>
          <w:tcPr>
            <w:tcW w:w="5680" w:type="dxa"/>
            <w:vAlign w:val="bottom"/>
            <w:tcBorders>
              <w:bottom w:val="single" w:sz="8" w:color="4F81BD"/>
              <w:right w:val="single" w:sz="8" w:color="auto"/>
            </w:tcBorders>
            <w:gridSpan w:val="27"/>
            <w:shd w:val="clear" w:color="auto" w:fill="4F81BD"/>
          </w:tcPr>
          <w:p>
            <w:pPr>
              <w:spacing w:after="0"/>
              <w:rPr>
                <w:sz w:val="18"/>
                <w:szCs w:val="18"/>
                <w:color w:val="auto"/>
              </w:rPr>
            </w:pPr>
          </w:p>
        </w:tc>
        <w:tc>
          <w:tcPr>
            <w:tcW w:w="1040" w:type="dxa"/>
            <w:vAlign w:val="bottom"/>
            <w:tcBorders>
              <w:bottom w:val="single" w:sz="8" w:color="4F81BD"/>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18</w:t>
            </w:r>
          </w:p>
        </w:tc>
      </w:tr>
      <w:tr>
        <w:trPr>
          <w:trHeight w:val="158"/>
        </w:trPr>
        <w:tc>
          <w:tcPr>
            <w:tcW w:w="80" w:type="dxa"/>
            <w:vAlign w:val="bottom"/>
            <w:tcBorders>
              <w:top w:val="single" w:sz="8" w:color="auto"/>
              <w:left w:val="single" w:sz="8" w:color="auto"/>
            </w:tcBorders>
          </w:tcPr>
          <w:p>
            <w:pPr>
              <w:spacing w:after="0"/>
              <w:rPr>
                <w:sz w:val="13"/>
                <w:szCs w:val="13"/>
                <w:color w:val="auto"/>
              </w:rPr>
            </w:pPr>
          </w:p>
        </w:tc>
        <w:tc>
          <w:tcPr>
            <w:tcW w:w="7580" w:type="dxa"/>
            <w:vAlign w:val="bottom"/>
            <w:tcBorders>
              <w:top w:val="single" w:sz="8" w:color="auto"/>
              <w:right w:val="single" w:sz="8" w:color="auto"/>
            </w:tcBorders>
            <w:gridSpan w:val="31"/>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Board and Committee Self-Evaluations</w:t>
            </w:r>
          </w:p>
        </w:tc>
        <w:tc>
          <w:tcPr>
            <w:tcW w:w="1040" w:type="dxa"/>
            <w:vAlign w:val="bottom"/>
            <w:tcBorders>
              <w:top w:val="single" w:sz="8" w:color="auto"/>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22</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9"/>
        </w:trPr>
        <w:tc>
          <w:tcPr>
            <w:tcW w:w="80" w:type="dxa"/>
            <w:vAlign w:val="bottom"/>
            <w:tcBorders>
              <w:left w:val="single" w:sz="8" w:color="auto"/>
              <w:bottom w:val="single" w:sz="8" w:color="4F81BD"/>
            </w:tcBorders>
            <w:shd w:val="clear" w:color="auto" w:fill="4F81BD"/>
          </w:tcPr>
          <w:p>
            <w:pPr>
              <w:spacing w:after="0"/>
              <w:rPr>
                <w:sz w:val="18"/>
                <w:szCs w:val="18"/>
                <w:color w:val="auto"/>
              </w:rPr>
            </w:pPr>
          </w:p>
        </w:tc>
        <w:tc>
          <w:tcPr>
            <w:tcW w:w="660" w:type="dxa"/>
            <w:vAlign w:val="bottom"/>
            <w:tcBorders>
              <w:bottom w:val="single" w:sz="8" w:color="4F81BD"/>
            </w:tcBorders>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1680" w:type="dxa"/>
            <w:vAlign w:val="bottom"/>
            <w:tcBorders>
              <w:bottom w:val="single" w:sz="8" w:color="0000EE"/>
            </w:tcBorders>
            <w:gridSpan w:val="9"/>
            <w:shd w:val="clear" w:color="auto" w:fill="4F81BD"/>
          </w:tcPr>
          <w:p>
            <w:pPr>
              <w:spacing w:after="0" w:line="147" w:lineRule="exact"/>
              <w:rPr>
                <w:sz w:val="20"/>
                <w:szCs w:val="20"/>
                <w:color w:val="auto"/>
              </w:rPr>
            </w:pPr>
            <w:r>
              <w:rPr>
                <w:rFonts w:ascii="Arial" w:cs="Arial" w:eastAsia="Arial" w:hAnsi="Arial"/>
                <w:sz w:val="15"/>
                <w:szCs w:val="15"/>
                <w:color w:val="0000EE"/>
                <w:w w:val="98"/>
              </w:rPr>
              <w:t>Stockholder Engagement</w:t>
            </w:r>
          </w:p>
        </w:tc>
        <w:tc>
          <w:tcPr>
            <w:tcW w:w="5240" w:type="dxa"/>
            <w:vAlign w:val="bottom"/>
            <w:tcBorders>
              <w:bottom w:val="single" w:sz="8" w:color="4F81BD"/>
              <w:right w:val="single" w:sz="8" w:color="auto"/>
            </w:tcBorders>
            <w:gridSpan w:val="21"/>
            <w:shd w:val="clear" w:color="auto" w:fill="4F81BD"/>
          </w:tcPr>
          <w:p>
            <w:pPr>
              <w:spacing w:after="0"/>
              <w:rPr>
                <w:sz w:val="18"/>
                <w:szCs w:val="18"/>
                <w:color w:val="auto"/>
              </w:rPr>
            </w:pPr>
          </w:p>
        </w:tc>
        <w:tc>
          <w:tcPr>
            <w:tcW w:w="1040" w:type="dxa"/>
            <w:vAlign w:val="bottom"/>
            <w:tcBorders>
              <w:bottom w:val="single" w:sz="8" w:color="4F81BD"/>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22</w:t>
            </w:r>
          </w:p>
        </w:tc>
      </w:tr>
      <w:tr>
        <w:trPr>
          <w:trHeight w:val="214"/>
        </w:trPr>
        <w:tc>
          <w:tcPr>
            <w:tcW w:w="80" w:type="dxa"/>
            <w:vAlign w:val="bottom"/>
            <w:tcBorders>
              <w:top w:val="single" w:sz="8" w:color="auto"/>
              <w:left w:val="single" w:sz="8" w:color="auto"/>
            </w:tcBorders>
          </w:tcPr>
          <w:p>
            <w:pPr>
              <w:spacing w:after="0"/>
              <w:rPr>
                <w:sz w:val="18"/>
                <w:szCs w:val="18"/>
                <w:color w:val="auto"/>
              </w:rPr>
            </w:pPr>
          </w:p>
        </w:tc>
        <w:tc>
          <w:tcPr>
            <w:tcW w:w="7580" w:type="dxa"/>
            <w:vAlign w:val="bottom"/>
            <w:tcBorders>
              <w:top w:val="single" w:sz="8" w:color="auto"/>
              <w:right w:val="single" w:sz="8" w:color="auto"/>
            </w:tcBorders>
            <w:gridSpan w:val="31"/>
          </w:tcPr>
          <w:p>
            <w:pPr>
              <w:spacing w:after="0" w:line="203" w:lineRule="exact"/>
              <w:rPr>
                <w:sz w:val="20"/>
                <w:szCs w:val="20"/>
                <w:color w:val="auto"/>
              </w:rPr>
            </w:pPr>
            <w:r>
              <w:rPr>
                <w:rFonts w:ascii="Arial" w:cs="Arial" w:eastAsia="Arial" w:hAnsi="Arial"/>
                <w:sz w:val="21"/>
                <w:szCs w:val="21"/>
                <w:b w:val="1"/>
                <w:bCs w:val="1"/>
                <w:color w:val="0000EE"/>
              </w:rPr>
              <w:t>SUSTAINABILITY</w:t>
            </w:r>
          </w:p>
        </w:tc>
        <w:tc>
          <w:tcPr>
            <w:tcW w:w="1040" w:type="dxa"/>
            <w:vAlign w:val="bottom"/>
            <w:tcBorders>
              <w:top w:val="single" w:sz="8" w:color="auto"/>
              <w:right w:val="single" w:sz="8" w:color="auto"/>
            </w:tcBorders>
          </w:tcPr>
          <w:p>
            <w:pPr>
              <w:jc w:val="right"/>
              <w:ind w:right="5"/>
              <w:spacing w:after="0"/>
              <w:rPr>
                <w:sz w:val="20"/>
                <w:szCs w:val="20"/>
                <w:color w:val="auto"/>
              </w:rPr>
            </w:pPr>
            <w:r>
              <w:rPr>
                <w:rFonts w:ascii="Arial" w:cs="Arial" w:eastAsia="Arial" w:hAnsi="Arial"/>
                <w:sz w:val="15"/>
                <w:szCs w:val="15"/>
                <w:color w:val="auto"/>
              </w:rPr>
              <w:t>23</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0000EE"/>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70"/>
        </w:trPr>
        <w:tc>
          <w:tcPr>
            <w:tcW w:w="80" w:type="dxa"/>
            <w:vAlign w:val="bottom"/>
            <w:tcBorders>
              <w:left w:val="single" w:sz="8" w:color="auto"/>
              <w:bottom w:val="single" w:sz="8" w:color="auto"/>
            </w:tcBorders>
            <w:shd w:val="clear" w:color="auto" w:fill="4F81BD"/>
          </w:tcPr>
          <w:p>
            <w:pPr>
              <w:spacing w:after="0"/>
              <w:rPr>
                <w:sz w:val="23"/>
                <w:szCs w:val="23"/>
                <w:color w:val="auto"/>
              </w:rPr>
            </w:pPr>
          </w:p>
        </w:tc>
        <w:tc>
          <w:tcPr>
            <w:tcW w:w="7580" w:type="dxa"/>
            <w:vAlign w:val="bottom"/>
            <w:tcBorders>
              <w:bottom w:val="single" w:sz="8" w:color="auto"/>
              <w:right w:val="single" w:sz="8" w:color="auto"/>
            </w:tcBorders>
            <w:gridSpan w:val="31"/>
            <w:shd w:val="clear" w:color="auto" w:fill="4F81BD"/>
          </w:tcPr>
          <w:p>
            <w:pPr>
              <w:spacing w:after="0" w:line="203" w:lineRule="exact"/>
              <w:rPr>
                <w:sz w:val="20"/>
                <w:szCs w:val="20"/>
                <w:color w:val="auto"/>
              </w:rPr>
            </w:pPr>
            <w:r>
              <w:rPr>
                <w:rFonts w:ascii="Arial" w:cs="Arial" w:eastAsia="Arial" w:hAnsi="Arial"/>
                <w:sz w:val="21"/>
                <w:szCs w:val="21"/>
                <w:b w:val="1"/>
                <w:bCs w:val="1"/>
                <w:color w:val="0000EE"/>
              </w:rPr>
              <w:t>HUMAN CAPITAL MANAGEMENT</w:t>
            </w:r>
          </w:p>
        </w:tc>
        <w:tc>
          <w:tcPr>
            <w:tcW w:w="1040" w:type="dxa"/>
            <w:vAlign w:val="bottom"/>
            <w:tcBorders>
              <w:bottom w:val="single" w:sz="8" w:color="auto"/>
              <w:right w:val="single" w:sz="8" w:color="auto"/>
            </w:tcBorders>
            <w:shd w:val="clear" w:color="auto" w:fill="4F81BD"/>
          </w:tcPr>
          <w:p>
            <w:pPr>
              <w:jc w:val="right"/>
              <w:ind w:right="5"/>
              <w:spacing w:after="0"/>
              <w:rPr>
                <w:sz w:val="20"/>
                <w:szCs w:val="20"/>
                <w:color w:val="auto"/>
              </w:rPr>
            </w:pPr>
            <w:r>
              <w:rPr>
                <w:rFonts w:ascii="Arial" w:cs="Arial" w:eastAsia="Arial" w:hAnsi="Arial"/>
                <w:sz w:val="15"/>
                <w:szCs w:val="15"/>
                <w:color w:val="auto"/>
              </w:rPr>
              <w:t>28</w:t>
            </w:r>
          </w:p>
        </w:tc>
      </w:tr>
      <w:tr>
        <w:trPr>
          <w:trHeight w:val="214"/>
        </w:trPr>
        <w:tc>
          <w:tcPr>
            <w:tcW w:w="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31"/>
          </w:tcPr>
          <w:p>
            <w:pPr>
              <w:spacing w:after="0" w:line="203" w:lineRule="exact"/>
              <w:rPr>
                <w:sz w:val="20"/>
                <w:szCs w:val="20"/>
                <w:color w:val="auto"/>
              </w:rPr>
            </w:pPr>
            <w:r>
              <w:rPr>
                <w:rFonts w:ascii="Arial" w:cs="Arial" w:eastAsia="Arial" w:hAnsi="Arial"/>
                <w:sz w:val="21"/>
                <w:szCs w:val="21"/>
                <w:b w:val="1"/>
                <w:bCs w:val="1"/>
                <w:color w:val="0000EE"/>
              </w:rPr>
              <w:t>PROPOSAL 1: ELECTION OF TWO CLASS I DIRECTORS</w:t>
            </w:r>
          </w:p>
        </w:tc>
        <w:tc>
          <w:tcPr>
            <w:tcW w:w="10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32</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0000EE"/>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6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560" w:type="dxa"/>
            <w:vAlign w:val="bottom"/>
            <w:tcBorders>
              <w:top w:val="single" w:sz="8" w:color="0000EE"/>
              <w:bottom w:val="single" w:sz="8" w:color="auto"/>
            </w:tcBorders>
          </w:tcPr>
          <w:p>
            <w:pPr>
              <w:spacing w:after="0"/>
              <w:rPr>
                <w:sz w:val="3"/>
                <w:szCs w:val="3"/>
                <w:color w:val="auto"/>
              </w:rPr>
            </w:pPr>
          </w:p>
        </w:tc>
        <w:tc>
          <w:tcPr>
            <w:tcW w:w="2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880" w:type="dxa"/>
            <w:vAlign w:val="bottom"/>
            <w:tcBorders>
              <w:top w:val="single" w:sz="8" w:color="0000EE"/>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70"/>
        </w:trPr>
        <w:tc>
          <w:tcPr>
            <w:tcW w:w="80" w:type="dxa"/>
            <w:vAlign w:val="bottom"/>
            <w:tcBorders>
              <w:left w:val="single" w:sz="8" w:color="auto"/>
              <w:bottom w:val="single" w:sz="8" w:color="auto"/>
            </w:tcBorders>
            <w:shd w:val="clear" w:color="auto" w:fill="4F81BD"/>
          </w:tcPr>
          <w:p>
            <w:pPr>
              <w:spacing w:after="0"/>
              <w:rPr>
                <w:sz w:val="23"/>
                <w:szCs w:val="23"/>
                <w:color w:val="auto"/>
              </w:rPr>
            </w:pPr>
          </w:p>
        </w:tc>
        <w:tc>
          <w:tcPr>
            <w:tcW w:w="7580" w:type="dxa"/>
            <w:vAlign w:val="bottom"/>
            <w:tcBorders>
              <w:bottom w:val="single" w:sz="8" w:color="auto"/>
              <w:right w:val="single" w:sz="8" w:color="auto"/>
            </w:tcBorders>
            <w:gridSpan w:val="31"/>
            <w:shd w:val="clear" w:color="auto" w:fill="4F81BD"/>
          </w:tcPr>
          <w:p>
            <w:pPr>
              <w:spacing w:after="0" w:line="203" w:lineRule="exact"/>
              <w:rPr>
                <w:sz w:val="20"/>
                <w:szCs w:val="20"/>
                <w:color w:val="auto"/>
              </w:rPr>
            </w:pPr>
            <w:r>
              <w:rPr>
                <w:rFonts w:ascii="Arial" w:cs="Arial" w:eastAsia="Arial" w:hAnsi="Arial"/>
                <w:sz w:val="21"/>
                <w:szCs w:val="21"/>
                <w:b w:val="1"/>
                <w:bCs w:val="1"/>
                <w:color w:val="0000EE"/>
              </w:rPr>
              <w:t>INFORMATION ABOUT THE INNOSPEC BOARD</w:t>
            </w:r>
          </w:p>
        </w:tc>
        <w:tc>
          <w:tcPr>
            <w:tcW w:w="1040" w:type="dxa"/>
            <w:vAlign w:val="bottom"/>
            <w:tcBorders>
              <w:bottom w:val="single" w:sz="8" w:color="auto"/>
              <w:right w:val="single" w:sz="8" w:color="auto"/>
            </w:tcBorders>
            <w:shd w:val="clear" w:color="auto" w:fill="4F81BD"/>
          </w:tcPr>
          <w:p>
            <w:pPr>
              <w:jc w:val="right"/>
              <w:ind w:right="5"/>
              <w:spacing w:after="0"/>
              <w:rPr>
                <w:sz w:val="20"/>
                <w:szCs w:val="20"/>
                <w:color w:val="auto"/>
              </w:rPr>
            </w:pPr>
            <w:r>
              <w:rPr>
                <w:rFonts w:ascii="Arial" w:cs="Arial" w:eastAsia="Arial" w:hAnsi="Arial"/>
                <w:sz w:val="15"/>
                <w:szCs w:val="15"/>
                <w:color w:val="auto"/>
              </w:rPr>
              <w:t>34</w:t>
            </w:r>
          </w:p>
        </w:tc>
      </w:tr>
      <w:tr>
        <w:trPr>
          <w:trHeight w:val="158"/>
        </w:trPr>
        <w:tc>
          <w:tcPr>
            <w:tcW w:w="80" w:type="dxa"/>
            <w:vAlign w:val="bottom"/>
            <w:tcBorders>
              <w:left w:val="single" w:sz="8" w:color="auto"/>
            </w:tcBorders>
          </w:tcPr>
          <w:p>
            <w:pPr>
              <w:spacing w:after="0"/>
              <w:rPr>
                <w:sz w:val="13"/>
                <w:szCs w:val="13"/>
                <w:color w:val="auto"/>
              </w:rPr>
            </w:pPr>
          </w:p>
        </w:tc>
        <w:tc>
          <w:tcPr>
            <w:tcW w:w="660" w:type="dxa"/>
            <w:vAlign w:val="bottom"/>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6920" w:type="dxa"/>
            <w:vAlign w:val="bottom"/>
            <w:tcBorders>
              <w:right w:val="single" w:sz="8" w:color="auto"/>
            </w:tcBorders>
            <w:gridSpan w:val="30"/>
          </w:tcPr>
          <w:p>
            <w:pPr>
              <w:spacing w:after="0" w:line="147" w:lineRule="exact"/>
              <w:rPr>
                <w:sz w:val="20"/>
                <w:szCs w:val="20"/>
                <w:color w:val="auto"/>
              </w:rPr>
            </w:pPr>
            <w:r>
              <w:rPr>
                <w:rFonts w:ascii="Arial" w:cs="Arial" w:eastAsia="Arial" w:hAnsi="Arial"/>
                <w:sz w:val="15"/>
                <w:szCs w:val="15"/>
                <w:color w:val="0000EE"/>
              </w:rPr>
              <w:t>Board Skills Matrix</w:t>
            </w:r>
          </w:p>
        </w:tc>
        <w:tc>
          <w:tcPr>
            <w:tcW w:w="1040" w:type="dxa"/>
            <w:vAlign w:val="bottom"/>
            <w:tcBorders>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34</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20" w:type="dxa"/>
            <w:vAlign w:val="bottom"/>
            <w:tcBorders>
              <w:top w:val="single" w:sz="8" w:color="0000EE"/>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660" w:type="dxa"/>
            <w:vAlign w:val="bottom"/>
            <w:tcBorders>
              <w:bottom w:val="single" w:sz="8" w:color="auto"/>
            </w:tcBorders>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6920" w:type="dxa"/>
            <w:vAlign w:val="bottom"/>
            <w:tcBorders>
              <w:bottom w:val="single" w:sz="8" w:color="auto"/>
              <w:right w:val="single" w:sz="8" w:color="auto"/>
            </w:tcBorders>
            <w:gridSpan w:val="30"/>
            <w:shd w:val="clear" w:color="auto" w:fill="4F81BD"/>
          </w:tcPr>
          <w:p>
            <w:pPr>
              <w:spacing w:after="0" w:line="147" w:lineRule="exact"/>
              <w:rPr>
                <w:sz w:val="20"/>
                <w:szCs w:val="20"/>
                <w:color w:val="auto"/>
              </w:rPr>
            </w:pPr>
            <w:r>
              <w:rPr>
                <w:rFonts w:ascii="Arial" w:cs="Arial" w:eastAsia="Arial" w:hAnsi="Arial"/>
                <w:sz w:val="15"/>
                <w:szCs w:val="15"/>
                <w:color w:val="0000EE"/>
              </w:rPr>
              <w:t>Director Biographies</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2877820</wp:posOffset>
            </wp:positionV>
            <wp:extent cx="720788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line="94" w:lineRule="exact"/>
        <w:rPr>
          <w:sz w:val="20"/>
          <w:szCs w:val="20"/>
          <w:color w:val="auto"/>
        </w:rPr>
      </w:pPr>
    </w:p>
    <w:tbl>
      <w:tblPr>
        <w:tblLayout w:type="fixed"/>
        <w:tblInd w:w="230" w:type="dxa"/>
        <w:tblCellMar>
          <w:top w:w="0" w:type="dxa"/>
          <w:left w:w="0" w:type="dxa"/>
          <w:bottom w:w="0" w:type="dxa"/>
          <w:right w:w="0" w:type="dxa"/>
        </w:tblCellMar>
      </w:tblPr>
      <w:tr>
        <w:trPr>
          <w:trHeight w:val="300"/>
        </w:trPr>
        <w:tc>
          <w:tcPr>
            <w:tcW w:w="80" w:type="dxa"/>
            <w:vAlign w:val="bottom"/>
            <w:tcBorders>
              <w:top w:val="single" w:sz="8" w:color="auto"/>
              <w:left w:val="single" w:sz="8" w:color="auto"/>
              <w:bottom w:val="single" w:sz="8" w:color="auto"/>
            </w:tcBorders>
            <w:shd w:val="clear" w:color="auto" w:fill="9E318D"/>
          </w:tcPr>
          <w:p>
            <w:pPr>
              <w:spacing w:after="0"/>
              <w:rPr>
                <w:sz w:val="24"/>
                <w:szCs w:val="24"/>
                <w:color w:val="auto"/>
              </w:rPr>
            </w:pPr>
          </w:p>
        </w:tc>
        <w:tc>
          <w:tcPr>
            <w:tcW w:w="7580" w:type="dxa"/>
            <w:vAlign w:val="bottom"/>
            <w:tcBorders>
              <w:top w:val="single" w:sz="8" w:color="auto"/>
              <w:bottom w:val="single" w:sz="8" w:color="auto"/>
              <w:right w:val="single" w:sz="8" w:color="auto"/>
            </w:tcBorders>
            <w:gridSpan w:val="30"/>
            <w:shd w:val="clear" w:color="auto" w:fill="9E318D"/>
          </w:tcPr>
          <w:p>
            <w:pPr>
              <w:spacing w:after="0"/>
              <w:rPr>
                <w:sz w:val="20"/>
                <w:szCs w:val="20"/>
                <w:color w:val="auto"/>
              </w:rPr>
            </w:pPr>
            <w:r>
              <w:rPr>
                <w:rFonts w:ascii="Arial" w:cs="Arial" w:eastAsia="Arial" w:hAnsi="Arial"/>
                <w:sz w:val="21"/>
                <w:szCs w:val="21"/>
                <w:b w:val="1"/>
                <w:bCs w:val="1"/>
                <w:color w:val="FFFFFF"/>
              </w:rPr>
              <w:t>TABLE OF CONTENTS</w:t>
            </w:r>
          </w:p>
        </w:tc>
        <w:tc>
          <w:tcPr>
            <w:tcW w:w="1040" w:type="dxa"/>
            <w:vAlign w:val="bottom"/>
            <w:tcBorders>
              <w:top w:val="single" w:sz="8" w:color="auto"/>
              <w:bottom w:val="single" w:sz="8" w:color="auto"/>
              <w:right w:val="single" w:sz="8" w:color="auto"/>
            </w:tcBorders>
            <w:shd w:val="clear" w:color="auto" w:fill="9E318D"/>
          </w:tcPr>
          <w:p>
            <w:pPr>
              <w:jc w:val="right"/>
              <w:ind w:right="5"/>
              <w:spacing w:after="0"/>
              <w:rPr>
                <w:sz w:val="20"/>
                <w:szCs w:val="20"/>
                <w:color w:val="auto"/>
              </w:rPr>
            </w:pPr>
            <w:r>
              <w:rPr>
                <w:rFonts w:ascii="Arial" w:cs="Arial" w:eastAsia="Arial" w:hAnsi="Arial"/>
                <w:sz w:val="18"/>
                <w:szCs w:val="18"/>
                <w:color w:val="FFFFFF"/>
              </w:rPr>
              <w:t>Page No.</w:t>
            </w:r>
          </w:p>
        </w:tc>
      </w:tr>
      <w:tr>
        <w:trPr>
          <w:trHeight w:val="215"/>
        </w:trPr>
        <w:tc>
          <w:tcPr>
            <w:tcW w:w="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30"/>
          </w:tcPr>
          <w:p>
            <w:pPr>
              <w:spacing w:after="0" w:line="203" w:lineRule="exact"/>
              <w:rPr>
                <w:sz w:val="20"/>
                <w:szCs w:val="20"/>
                <w:color w:val="auto"/>
              </w:rPr>
            </w:pPr>
            <w:r>
              <w:rPr>
                <w:rFonts w:ascii="Arial" w:cs="Arial" w:eastAsia="Arial" w:hAnsi="Arial"/>
                <w:sz w:val="21"/>
                <w:szCs w:val="21"/>
                <w:b w:val="1"/>
                <w:bCs w:val="1"/>
                <w:color w:val="0000EE"/>
              </w:rPr>
              <w:t>DIRECTOR COMPENSATION</w:t>
            </w:r>
          </w:p>
        </w:tc>
        <w:tc>
          <w:tcPr>
            <w:tcW w:w="10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42</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0"/>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Elements of Director Compensation</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42</w:t>
            </w:r>
          </w:p>
        </w:tc>
      </w:tr>
      <w:tr>
        <w:trPr>
          <w:trHeight w:val="158"/>
        </w:trPr>
        <w:tc>
          <w:tcPr>
            <w:tcW w:w="80" w:type="dxa"/>
            <w:vAlign w:val="bottom"/>
            <w:tcBorders>
              <w:left w:val="single" w:sz="8" w:color="auto"/>
            </w:tcBorders>
          </w:tcPr>
          <w:p>
            <w:pPr>
              <w:spacing w:after="0"/>
              <w:rPr>
                <w:sz w:val="13"/>
                <w:szCs w:val="13"/>
                <w:color w:val="auto"/>
              </w:rPr>
            </w:pPr>
          </w:p>
        </w:tc>
        <w:tc>
          <w:tcPr>
            <w:tcW w:w="7580" w:type="dxa"/>
            <w:vAlign w:val="bottom"/>
            <w:tcBorders>
              <w:right w:val="single" w:sz="8" w:color="auto"/>
            </w:tcBorders>
            <w:gridSpan w:val="30"/>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Director Stock Ownership Guidelines</w:t>
            </w:r>
          </w:p>
        </w:tc>
        <w:tc>
          <w:tcPr>
            <w:tcW w:w="1040" w:type="dxa"/>
            <w:vAlign w:val="bottom"/>
            <w:tcBorders>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43</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0"/>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Director Compensation For Fiscal 2025</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43</w:t>
            </w:r>
          </w:p>
        </w:tc>
      </w:tr>
      <w:tr>
        <w:trPr>
          <w:trHeight w:val="214"/>
        </w:trPr>
        <w:tc>
          <w:tcPr>
            <w:tcW w:w="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30"/>
          </w:tcPr>
          <w:p>
            <w:pPr>
              <w:spacing w:after="0" w:line="214" w:lineRule="exact"/>
              <w:rPr>
                <w:sz w:val="20"/>
                <w:szCs w:val="20"/>
                <w:color w:val="auto"/>
              </w:rPr>
            </w:pPr>
            <w:r>
              <w:rPr>
                <w:rFonts w:ascii="Arial" w:cs="Arial" w:eastAsia="Arial" w:hAnsi="Arial"/>
                <w:sz w:val="21"/>
                <w:szCs w:val="21"/>
                <w:b w:val="1"/>
                <w:bCs w:val="1"/>
                <w:color w:val="0000EE"/>
              </w:rPr>
              <w:t>WHO OWNS OUR STOCK? INFORMATION ABOUT OUR COMMON STOCK</w:t>
            </w:r>
          </w:p>
        </w:tc>
        <w:tc>
          <w:tcPr>
            <w:tcW w:w="1040" w:type="dxa"/>
            <w:vAlign w:val="bottom"/>
            <w:tcBorders>
              <w:right w:val="single" w:sz="8" w:color="auto"/>
            </w:tcBorders>
          </w:tcPr>
          <w:p>
            <w:pPr>
              <w:spacing w:after="0"/>
              <w:rPr>
                <w:sz w:val="18"/>
                <w:szCs w:val="18"/>
                <w:color w:val="auto"/>
              </w:rPr>
            </w:pPr>
          </w:p>
        </w:tc>
      </w:tr>
      <w:tr>
        <w:trPr>
          <w:trHeight w:val="214"/>
        </w:trPr>
        <w:tc>
          <w:tcPr>
            <w:tcW w:w="80" w:type="dxa"/>
            <w:vAlign w:val="bottom"/>
            <w:tcBorders>
              <w:left w:val="single" w:sz="8" w:color="auto"/>
            </w:tcBorders>
          </w:tcPr>
          <w:p>
            <w:pPr>
              <w:spacing w:after="0"/>
              <w:rPr>
                <w:sz w:val="18"/>
                <w:szCs w:val="18"/>
                <w:color w:val="auto"/>
              </w:rPr>
            </w:pPr>
          </w:p>
        </w:tc>
        <w:tc>
          <w:tcPr>
            <w:tcW w:w="1280" w:type="dxa"/>
            <w:vAlign w:val="bottom"/>
            <w:tcBorders>
              <w:top w:val="single" w:sz="8" w:color="0000EE"/>
              <w:bottom w:val="single" w:sz="8" w:color="0000EE"/>
            </w:tcBorders>
            <w:gridSpan w:val="2"/>
          </w:tcPr>
          <w:p>
            <w:pPr>
              <w:spacing w:after="0" w:line="203" w:lineRule="exact"/>
              <w:rPr>
                <w:sz w:val="20"/>
                <w:szCs w:val="20"/>
                <w:color w:val="auto"/>
              </w:rPr>
            </w:pPr>
            <w:r>
              <w:rPr>
                <w:rFonts w:ascii="Arial" w:cs="Arial" w:eastAsia="Arial" w:hAnsi="Arial"/>
                <w:sz w:val="21"/>
                <w:szCs w:val="21"/>
                <w:b w:val="1"/>
                <w:bCs w:val="1"/>
                <w:color w:val="0000EE"/>
                <w:w w:val="97"/>
              </w:rPr>
              <w:t>OWNERSHIP</w:t>
            </w:r>
          </w:p>
        </w:tc>
        <w:tc>
          <w:tcPr>
            <w:tcW w:w="160" w:type="dxa"/>
            <w:vAlign w:val="bottom"/>
            <w:tcBorders>
              <w:top w:val="single" w:sz="8" w:color="0000EE"/>
              <w:bottom w:val="single" w:sz="8" w:color="0000EE"/>
            </w:tcBorders>
          </w:tcPr>
          <w:p>
            <w:pPr>
              <w:spacing w:after="0"/>
              <w:rPr>
                <w:sz w:val="18"/>
                <w:szCs w:val="18"/>
                <w:color w:val="auto"/>
              </w:rPr>
            </w:pPr>
          </w:p>
        </w:tc>
        <w:tc>
          <w:tcPr>
            <w:tcW w:w="300" w:type="dxa"/>
            <w:vAlign w:val="bottom"/>
            <w:tcBorders>
              <w:top w:val="single" w:sz="8" w:color="0000EE"/>
              <w:bottom w:val="single" w:sz="8" w:color="0000EE"/>
            </w:tcBorders>
          </w:tcPr>
          <w:p>
            <w:pPr>
              <w:spacing w:after="0"/>
              <w:rPr>
                <w:sz w:val="18"/>
                <w:szCs w:val="18"/>
                <w:color w:val="auto"/>
              </w:rPr>
            </w:pPr>
          </w:p>
        </w:tc>
        <w:tc>
          <w:tcPr>
            <w:tcW w:w="40" w:type="dxa"/>
            <w:vAlign w:val="bottom"/>
            <w:tcBorders>
              <w:top w:val="single" w:sz="8" w:color="0000EE"/>
              <w:bottom w:val="single" w:sz="8" w:color="0000EE"/>
            </w:tcBorders>
          </w:tcPr>
          <w:p>
            <w:pPr>
              <w:spacing w:after="0"/>
              <w:rPr>
                <w:sz w:val="18"/>
                <w:szCs w:val="18"/>
                <w:color w:val="auto"/>
              </w:rPr>
            </w:pPr>
          </w:p>
        </w:tc>
        <w:tc>
          <w:tcPr>
            <w:tcW w:w="200" w:type="dxa"/>
            <w:vAlign w:val="bottom"/>
            <w:tcBorders>
              <w:top w:val="single" w:sz="8" w:color="0000EE"/>
              <w:bottom w:val="single" w:sz="8" w:color="0000EE"/>
            </w:tcBorders>
          </w:tcPr>
          <w:p>
            <w:pPr>
              <w:spacing w:after="0"/>
              <w:rPr>
                <w:sz w:val="18"/>
                <w:szCs w:val="18"/>
                <w:color w:val="auto"/>
              </w:rPr>
            </w:pPr>
          </w:p>
        </w:tc>
        <w:tc>
          <w:tcPr>
            <w:tcW w:w="100" w:type="dxa"/>
            <w:vAlign w:val="bottom"/>
            <w:tcBorders>
              <w:top w:val="single" w:sz="8" w:color="0000EE"/>
              <w:bottom w:val="single" w:sz="8" w:color="0000EE"/>
            </w:tcBorders>
          </w:tcPr>
          <w:p>
            <w:pPr>
              <w:spacing w:after="0"/>
              <w:rPr>
                <w:sz w:val="18"/>
                <w:szCs w:val="18"/>
                <w:color w:val="auto"/>
              </w:rPr>
            </w:pPr>
          </w:p>
        </w:tc>
        <w:tc>
          <w:tcPr>
            <w:tcW w:w="400" w:type="dxa"/>
            <w:vAlign w:val="bottom"/>
            <w:tcBorders>
              <w:top w:val="single" w:sz="8" w:color="0000EE"/>
              <w:bottom w:val="single" w:sz="8" w:color="0000EE"/>
            </w:tcBorders>
          </w:tcPr>
          <w:p>
            <w:pPr>
              <w:spacing w:after="0"/>
              <w:rPr>
                <w:sz w:val="18"/>
                <w:szCs w:val="18"/>
                <w:color w:val="auto"/>
              </w:rPr>
            </w:pPr>
          </w:p>
        </w:tc>
        <w:tc>
          <w:tcPr>
            <w:tcW w:w="80" w:type="dxa"/>
            <w:vAlign w:val="bottom"/>
            <w:tcBorders>
              <w:top w:val="single" w:sz="8" w:color="0000EE"/>
              <w:bottom w:val="single" w:sz="8" w:color="0000EE"/>
            </w:tcBorders>
          </w:tcPr>
          <w:p>
            <w:pPr>
              <w:spacing w:after="0"/>
              <w:rPr>
                <w:sz w:val="18"/>
                <w:szCs w:val="18"/>
                <w:color w:val="auto"/>
              </w:rPr>
            </w:pPr>
          </w:p>
        </w:tc>
        <w:tc>
          <w:tcPr>
            <w:tcW w:w="300" w:type="dxa"/>
            <w:vAlign w:val="bottom"/>
            <w:tcBorders>
              <w:top w:val="single" w:sz="8" w:color="0000EE"/>
              <w:bottom w:val="single" w:sz="8" w:color="0000EE"/>
            </w:tcBorders>
            <w:gridSpan w:val="2"/>
          </w:tcPr>
          <w:p>
            <w:pPr>
              <w:spacing w:after="0"/>
              <w:rPr>
                <w:sz w:val="18"/>
                <w:szCs w:val="18"/>
                <w:color w:val="auto"/>
              </w:rPr>
            </w:pPr>
          </w:p>
        </w:tc>
        <w:tc>
          <w:tcPr>
            <w:tcW w:w="60" w:type="dxa"/>
            <w:vAlign w:val="bottom"/>
            <w:tcBorders>
              <w:top w:val="single" w:sz="8" w:color="0000EE"/>
              <w:bottom w:val="single" w:sz="8" w:color="0000EE"/>
            </w:tcBorders>
          </w:tcPr>
          <w:p>
            <w:pPr>
              <w:spacing w:after="0"/>
              <w:rPr>
                <w:sz w:val="18"/>
                <w:szCs w:val="18"/>
                <w:color w:val="auto"/>
              </w:rPr>
            </w:pPr>
          </w:p>
        </w:tc>
        <w:tc>
          <w:tcPr>
            <w:tcW w:w="360" w:type="dxa"/>
            <w:vAlign w:val="bottom"/>
            <w:tcBorders>
              <w:top w:val="single" w:sz="8" w:color="0000EE"/>
              <w:bottom w:val="single" w:sz="8" w:color="0000EE"/>
            </w:tcBorders>
            <w:gridSpan w:val="4"/>
          </w:tcPr>
          <w:p>
            <w:pPr>
              <w:spacing w:after="0"/>
              <w:rPr>
                <w:sz w:val="18"/>
                <w:szCs w:val="18"/>
                <w:color w:val="auto"/>
              </w:rPr>
            </w:pPr>
          </w:p>
        </w:tc>
        <w:tc>
          <w:tcPr>
            <w:tcW w:w="620" w:type="dxa"/>
            <w:vAlign w:val="bottom"/>
            <w:tcBorders>
              <w:top w:val="single" w:sz="8" w:color="0000EE"/>
              <w:bottom w:val="single" w:sz="8" w:color="0000EE"/>
            </w:tcBorders>
          </w:tcPr>
          <w:p>
            <w:pPr>
              <w:spacing w:after="0"/>
              <w:rPr>
                <w:sz w:val="18"/>
                <w:szCs w:val="18"/>
                <w:color w:val="auto"/>
              </w:rPr>
            </w:pPr>
          </w:p>
        </w:tc>
        <w:tc>
          <w:tcPr>
            <w:tcW w:w="40" w:type="dxa"/>
            <w:vAlign w:val="bottom"/>
            <w:tcBorders>
              <w:top w:val="single" w:sz="8" w:color="0000EE"/>
              <w:bottom w:val="single" w:sz="8" w:color="0000EE"/>
            </w:tcBorders>
          </w:tcPr>
          <w:p>
            <w:pPr>
              <w:spacing w:after="0"/>
              <w:rPr>
                <w:sz w:val="18"/>
                <w:szCs w:val="18"/>
                <w:color w:val="auto"/>
              </w:rPr>
            </w:pPr>
          </w:p>
        </w:tc>
        <w:tc>
          <w:tcPr>
            <w:tcW w:w="340" w:type="dxa"/>
            <w:vAlign w:val="bottom"/>
            <w:tcBorders>
              <w:top w:val="single" w:sz="8" w:color="0000EE"/>
              <w:bottom w:val="single" w:sz="8" w:color="0000EE"/>
            </w:tcBorders>
          </w:tcPr>
          <w:p>
            <w:pPr>
              <w:spacing w:after="0"/>
              <w:rPr>
                <w:sz w:val="18"/>
                <w:szCs w:val="18"/>
                <w:color w:val="auto"/>
              </w:rPr>
            </w:pPr>
          </w:p>
        </w:tc>
        <w:tc>
          <w:tcPr>
            <w:tcW w:w="40" w:type="dxa"/>
            <w:vAlign w:val="bottom"/>
            <w:tcBorders>
              <w:top w:val="single" w:sz="8" w:color="0000EE"/>
              <w:bottom w:val="single" w:sz="8" w:color="0000EE"/>
            </w:tcBorders>
          </w:tcPr>
          <w:p>
            <w:pPr>
              <w:spacing w:after="0"/>
              <w:rPr>
                <w:sz w:val="18"/>
                <w:szCs w:val="18"/>
                <w:color w:val="auto"/>
              </w:rPr>
            </w:pPr>
          </w:p>
        </w:tc>
        <w:tc>
          <w:tcPr>
            <w:tcW w:w="300" w:type="dxa"/>
            <w:vAlign w:val="bottom"/>
            <w:tcBorders>
              <w:top w:val="single" w:sz="8" w:color="0000EE"/>
              <w:bottom w:val="single" w:sz="8" w:color="0000EE"/>
            </w:tcBorders>
          </w:tcPr>
          <w:p>
            <w:pPr>
              <w:spacing w:after="0"/>
              <w:rPr>
                <w:sz w:val="18"/>
                <w:szCs w:val="18"/>
                <w:color w:val="auto"/>
              </w:rPr>
            </w:pPr>
          </w:p>
        </w:tc>
        <w:tc>
          <w:tcPr>
            <w:tcW w:w="340" w:type="dxa"/>
            <w:vAlign w:val="bottom"/>
            <w:tcBorders>
              <w:top w:val="single" w:sz="8" w:color="0000EE"/>
              <w:bottom w:val="single" w:sz="8" w:color="0000EE"/>
            </w:tcBorders>
          </w:tcPr>
          <w:p>
            <w:pPr>
              <w:spacing w:after="0"/>
              <w:rPr>
                <w:sz w:val="18"/>
                <w:szCs w:val="18"/>
                <w:color w:val="auto"/>
              </w:rPr>
            </w:pPr>
          </w:p>
        </w:tc>
        <w:tc>
          <w:tcPr>
            <w:tcW w:w="140" w:type="dxa"/>
            <w:vAlign w:val="bottom"/>
            <w:tcBorders>
              <w:top w:val="single" w:sz="8" w:color="0000EE"/>
              <w:bottom w:val="single" w:sz="8" w:color="0000EE"/>
            </w:tcBorders>
          </w:tcPr>
          <w:p>
            <w:pPr>
              <w:spacing w:after="0"/>
              <w:rPr>
                <w:sz w:val="18"/>
                <w:szCs w:val="18"/>
                <w:color w:val="auto"/>
              </w:rPr>
            </w:pPr>
          </w:p>
        </w:tc>
        <w:tc>
          <w:tcPr>
            <w:tcW w:w="320" w:type="dxa"/>
            <w:vAlign w:val="bottom"/>
            <w:tcBorders>
              <w:top w:val="single" w:sz="8" w:color="0000EE"/>
              <w:bottom w:val="single" w:sz="8" w:color="0000EE"/>
            </w:tcBorders>
          </w:tcPr>
          <w:p>
            <w:pPr>
              <w:spacing w:after="0"/>
              <w:rPr>
                <w:sz w:val="18"/>
                <w:szCs w:val="18"/>
                <w:color w:val="auto"/>
              </w:rPr>
            </w:pPr>
          </w:p>
        </w:tc>
        <w:tc>
          <w:tcPr>
            <w:tcW w:w="300" w:type="dxa"/>
            <w:vAlign w:val="bottom"/>
            <w:tcBorders>
              <w:top w:val="single" w:sz="8" w:color="0000EE"/>
              <w:bottom w:val="single" w:sz="8" w:color="0000EE"/>
            </w:tcBorders>
          </w:tcPr>
          <w:p>
            <w:pPr>
              <w:spacing w:after="0"/>
              <w:rPr>
                <w:sz w:val="18"/>
                <w:szCs w:val="18"/>
                <w:color w:val="auto"/>
              </w:rPr>
            </w:pPr>
          </w:p>
        </w:tc>
        <w:tc>
          <w:tcPr>
            <w:tcW w:w="40" w:type="dxa"/>
            <w:vAlign w:val="bottom"/>
            <w:tcBorders>
              <w:top w:val="single" w:sz="8" w:color="0000EE"/>
              <w:bottom w:val="single" w:sz="8" w:color="0000EE"/>
            </w:tcBorders>
          </w:tcPr>
          <w:p>
            <w:pPr>
              <w:spacing w:after="0"/>
              <w:rPr>
                <w:sz w:val="18"/>
                <w:szCs w:val="18"/>
                <w:color w:val="auto"/>
              </w:rPr>
            </w:pPr>
          </w:p>
        </w:tc>
        <w:tc>
          <w:tcPr>
            <w:tcW w:w="820" w:type="dxa"/>
            <w:vAlign w:val="bottom"/>
            <w:tcBorders>
              <w:top w:val="single" w:sz="8" w:color="0000EE"/>
              <w:bottom w:val="single" w:sz="8" w:color="0000EE"/>
            </w:tcBorders>
          </w:tcPr>
          <w:p>
            <w:pPr>
              <w:spacing w:after="0"/>
              <w:rPr>
                <w:sz w:val="18"/>
                <w:szCs w:val="18"/>
                <w:color w:val="auto"/>
              </w:rPr>
            </w:pPr>
          </w:p>
        </w:tc>
        <w:tc>
          <w:tcPr>
            <w:tcW w:w="680" w:type="dxa"/>
            <w:vAlign w:val="bottom"/>
            <w:tcBorders>
              <w:top w:val="single" w:sz="8" w:color="0000EE"/>
              <w:bottom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46</w:t>
            </w:r>
          </w:p>
        </w:tc>
      </w:tr>
      <w:tr>
        <w:trPr>
          <w:trHeight w:val="47"/>
        </w:trPr>
        <w:tc>
          <w:tcPr>
            <w:tcW w:w="8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0"/>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Stock Ownership of Directors and Executive Officers as of February 15, 2026</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46</w:t>
            </w:r>
          </w:p>
        </w:tc>
      </w:tr>
      <w:tr>
        <w:trPr>
          <w:trHeight w:val="158"/>
        </w:trPr>
        <w:tc>
          <w:tcPr>
            <w:tcW w:w="80" w:type="dxa"/>
            <w:vAlign w:val="bottom"/>
            <w:tcBorders>
              <w:left w:val="single" w:sz="8" w:color="auto"/>
            </w:tcBorders>
          </w:tcPr>
          <w:p>
            <w:pPr>
              <w:spacing w:after="0"/>
              <w:rPr>
                <w:sz w:val="13"/>
                <w:szCs w:val="13"/>
                <w:color w:val="auto"/>
              </w:rPr>
            </w:pPr>
          </w:p>
        </w:tc>
        <w:tc>
          <w:tcPr>
            <w:tcW w:w="7580" w:type="dxa"/>
            <w:vAlign w:val="bottom"/>
            <w:tcBorders>
              <w:right w:val="single" w:sz="8" w:color="auto"/>
            </w:tcBorders>
            <w:gridSpan w:val="30"/>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Principal Beneficial Owners as at Fiscal Year End 2025</w:t>
            </w:r>
          </w:p>
        </w:tc>
        <w:tc>
          <w:tcPr>
            <w:tcW w:w="1040" w:type="dxa"/>
            <w:vAlign w:val="bottom"/>
            <w:tcBorders>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47</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4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0"/>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Delinquent Section 16(a) Reports</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47</w:t>
            </w:r>
          </w:p>
        </w:tc>
      </w:tr>
      <w:tr>
        <w:trPr>
          <w:trHeight w:val="158"/>
        </w:trPr>
        <w:tc>
          <w:tcPr>
            <w:tcW w:w="80" w:type="dxa"/>
            <w:vAlign w:val="bottom"/>
            <w:tcBorders>
              <w:left w:val="single" w:sz="8" w:color="auto"/>
            </w:tcBorders>
          </w:tcPr>
          <w:p>
            <w:pPr>
              <w:spacing w:after="0"/>
              <w:rPr>
                <w:sz w:val="13"/>
                <w:szCs w:val="13"/>
                <w:color w:val="auto"/>
              </w:rPr>
            </w:pPr>
          </w:p>
        </w:tc>
        <w:tc>
          <w:tcPr>
            <w:tcW w:w="660" w:type="dxa"/>
            <w:vAlign w:val="bottom"/>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6920" w:type="dxa"/>
            <w:vAlign w:val="bottom"/>
            <w:tcBorders>
              <w:right w:val="single" w:sz="8" w:color="auto"/>
            </w:tcBorders>
            <w:gridSpan w:val="29"/>
          </w:tcPr>
          <w:p>
            <w:pPr>
              <w:spacing w:after="0" w:line="147" w:lineRule="exact"/>
              <w:rPr>
                <w:sz w:val="20"/>
                <w:szCs w:val="20"/>
                <w:color w:val="auto"/>
              </w:rPr>
            </w:pPr>
            <w:r>
              <w:rPr>
                <w:rFonts w:ascii="Arial" w:cs="Arial" w:eastAsia="Arial" w:hAnsi="Arial"/>
                <w:sz w:val="15"/>
                <w:szCs w:val="15"/>
                <w:color w:val="0000EE"/>
              </w:rPr>
              <w:t>Equity Compensation Plans</w:t>
            </w:r>
          </w:p>
        </w:tc>
        <w:tc>
          <w:tcPr>
            <w:tcW w:w="1040" w:type="dxa"/>
            <w:vAlign w:val="bottom"/>
            <w:tcBorders>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48</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tcBorders>
            <w:shd w:val="clear" w:color="auto" w:fill="4F81BD"/>
          </w:tcPr>
          <w:p>
            <w:pPr>
              <w:spacing w:after="0"/>
              <w:rPr>
                <w:sz w:val="18"/>
                <w:szCs w:val="18"/>
                <w:color w:val="auto"/>
              </w:rPr>
            </w:pPr>
          </w:p>
        </w:tc>
        <w:tc>
          <w:tcPr>
            <w:tcW w:w="7580" w:type="dxa"/>
            <w:vAlign w:val="bottom"/>
            <w:tcBorders>
              <w:right w:val="single" w:sz="8" w:color="auto"/>
            </w:tcBorders>
            <w:gridSpan w:val="30"/>
            <w:shd w:val="clear" w:color="auto" w:fill="4F81BD"/>
          </w:tcPr>
          <w:p>
            <w:pPr>
              <w:spacing w:after="0" w:line="214" w:lineRule="exact"/>
              <w:rPr>
                <w:sz w:val="20"/>
                <w:szCs w:val="20"/>
                <w:color w:val="auto"/>
              </w:rPr>
            </w:pPr>
            <w:r>
              <w:rPr>
                <w:rFonts w:ascii="Arial" w:cs="Arial" w:eastAsia="Arial" w:hAnsi="Arial"/>
                <w:sz w:val="21"/>
                <w:szCs w:val="21"/>
                <w:b w:val="1"/>
                <w:bCs w:val="1"/>
                <w:color w:val="0000EE"/>
              </w:rPr>
              <w:t>PROPOSAL 2: ADVISORY APPROVAL OF INNOSPEC’S</w:t>
            </w:r>
          </w:p>
        </w:tc>
        <w:tc>
          <w:tcPr>
            <w:tcW w:w="1040" w:type="dxa"/>
            <w:vAlign w:val="bottom"/>
            <w:tcBorders>
              <w:right w:val="single" w:sz="8" w:color="auto"/>
            </w:tcBorders>
            <w:shd w:val="clear" w:color="auto" w:fill="4F81BD"/>
          </w:tcPr>
          <w:p>
            <w:pPr>
              <w:spacing w:after="0"/>
              <w:rPr>
                <w:sz w:val="18"/>
                <w:szCs w:val="18"/>
                <w:color w:val="auto"/>
              </w:rPr>
            </w:pPr>
          </w:p>
        </w:tc>
      </w:tr>
      <w:tr>
        <w:trPr>
          <w:trHeight w:val="286"/>
        </w:trPr>
        <w:tc>
          <w:tcPr>
            <w:tcW w:w="80" w:type="dxa"/>
            <w:vAlign w:val="bottom"/>
            <w:tcBorders>
              <w:top w:val="single" w:sz="8" w:color="4F81BD"/>
              <w:left w:val="single" w:sz="8" w:color="auto"/>
              <w:bottom w:val="single" w:sz="8" w:color="4F81BD"/>
            </w:tcBorders>
            <w:shd w:val="clear" w:color="auto" w:fill="4F81BD"/>
          </w:tcPr>
          <w:p>
            <w:pPr>
              <w:spacing w:after="0"/>
              <w:rPr>
                <w:sz w:val="24"/>
                <w:szCs w:val="24"/>
                <w:color w:val="auto"/>
              </w:rPr>
            </w:pPr>
          </w:p>
        </w:tc>
        <w:tc>
          <w:tcPr>
            <w:tcW w:w="2920" w:type="dxa"/>
            <w:vAlign w:val="bottom"/>
            <w:tcBorders>
              <w:top w:val="single" w:sz="8" w:color="0000EE"/>
              <w:bottom w:val="single" w:sz="8" w:color="0000EE"/>
            </w:tcBorders>
            <w:gridSpan w:val="12"/>
            <w:shd w:val="clear" w:color="auto" w:fill="4F81BD"/>
          </w:tcPr>
          <w:p>
            <w:pPr>
              <w:spacing w:after="0" w:line="203" w:lineRule="exact"/>
              <w:rPr>
                <w:sz w:val="20"/>
                <w:szCs w:val="20"/>
                <w:color w:val="auto"/>
              </w:rPr>
            </w:pPr>
            <w:r>
              <w:rPr>
                <w:rFonts w:ascii="Arial" w:cs="Arial" w:eastAsia="Arial" w:hAnsi="Arial"/>
                <w:sz w:val="21"/>
                <w:szCs w:val="21"/>
                <w:b w:val="1"/>
                <w:bCs w:val="1"/>
                <w:color w:val="0000EE"/>
                <w:w w:val="97"/>
              </w:rPr>
              <w:t>EXECUTIVE COMPENSATION</w:t>
            </w:r>
          </w:p>
        </w:tc>
        <w:tc>
          <w:tcPr>
            <w:tcW w:w="360" w:type="dxa"/>
            <w:vAlign w:val="bottom"/>
            <w:tcBorders>
              <w:top w:val="single" w:sz="8" w:color="0000EE"/>
              <w:bottom w:val="single" w:sz="8" w:color="0000EE"/>
            </w:tcBorders>
            <w:gridSpan w:val="4"/>
            <w:shd w:val="clear" w:color="auto" w:fill="4F81BD"/>
          </w:tcPr>
          <w:p>
            <w:pPr>
              <w:spacing w:after="0"/>
              <w:rPr>
                <w:sz w:val="24"/>
                <w:szCs w:val="24"/>
                <w:color w:val="auto"/>
              </w:rPr>
            </w:pPr>
          </w:p>
        </w:tc>
        <w:tc>
          <w:tcPr>
            <w:tcW w:w="620" w:type="dxa"/>
            <w:vAlign w:val="bottom"/>
            <w:tcBorders>
              <w:top w:val="single" w:sz="8" w:color="0000EE"/>
              <w:bottom w:val="single" w:sz="8" w:color="0000EE"/>
            </w:tcBorders>
            <w:shd w:val="clear" w:color="auto" w:fill="4F81BD"/>
          </w:tcPr>
          <w:p>
            <w:pPr>
              <w:spacing w:after="0"/>
              <w:rPr>
                <w:sz w:val="24"/>
                <w:szCs w:val="24"/>
                <w:color w:val="auto"/>
              </w:rPr>
            </w:pPr>
          </w:p>
        </w:tc>
        <w:tc>
          <w:tcPr>
            <w:tcW w:w="40" w:type="dxa"/>
            <w:vAlign w:val="bottom"/>
            <w:tcBorders>
              <w:top w:val="single" w:sz="8" w:color="0000EE"/>
              <w:bottom w:val="single" w:sz="8" w:color="0000EE"/>
            </w:tcBorders>
            <w:shd w:val="clear" w:color="auto" w:fill="4F81BD"/>
          </w:tcPr>
          <w:p>
            <w:pPr>
              <w:spacing w:after="0"/>
              <w:rPr>
                <w:sz w:val="24"/>
                <w:szCs w:val="24"/>
                <w:color w:val="auto"/>
              </w:rPr>
            </w:pPr>
          </w:p>
        </w:tc>
        <w:tc>
          <w:tcPr>
            <w:tcW w:w="380" w:type="dxa"/>
            <w:vAlign w:val="bottom"/>
            <w:tcBorders>
              <w:top w:val="single" w:sz="8" w:color="0000EE"/>
              <w:bottom w:val="single" w:sz="8" w:color="0000EE"/>
            </w:tcBorders>
            <w:gridSpan w:val="2"/>
            <w:shd w:val="clear" w:color="auto" w:fill="4F81BD"/>
          </w:tcPr>
          <w:p>
            <w:pPr>
              <w:spacing w:after="0"/>
              <w:rPr>
                <w:sz w:val="24"/>
                <w:szCs w:val="24"/>
                <w:color w:val="auto"/>
              </w:rPr>
            </w:pPr>
          </w:p>
        </w:tc>
        <w:tc>
          <w:tcPr>
            <w:tcW w:w="300" w:type="dxa"/>
            <w:vAlign w:val="bottom"/>
            <w:tcBorders>
              <w:top w:val="single" w:sz="8" w:color="0000EE"/>
              <w:bottom w:val="single" w:sz="8" w:color="0000EE"/>
            </w:tcBorders>
            <w:shd w:val="clear" w:color="auto" w:fill="4F81BD"/>
          </w:tcPr>
          <w:p>
            <w:pPr>
              <w:spacing w:after="0"/>
              <w:rPr>
                <w:sz w:val="24"/>
                <w:szCs w:val="24"/>
                <w:color w:val="auto"/>
              </w:rPr>
            </w:pPr>
          </w:p>
        </w:tc>
        <w:tc>
          <w:tcPr>
            <w:tcW w:w="340" w:type="dxa"/>
            <w:vAlign w:val="bottom"/>
            <w:tcBorders>
              <w:top w:val="single" w:sz="8" w:color="0000EE"/>
              <w:bottom w:val="single" w:sz="8" w:color="0000EE"/>
            </w:tcBorders>
            <w:shd w:val="clear" w:color="auto" w:fill="4F81BD"/>
          </w:tcPr>
          <w:p>
            <w:pPr>
              <w:spacing w:after="0"/>
              <w:rPr>
                <w:sz w:val="24"/>
                <w:szCs w:val="24"/>
                <w:color w:val="auto"/>
              </w:rPr>
            </w:pPr>
          </w:p>
        </w:tc>
        <w:tc>
          <w:tcPr>
            <w:tcW w:w="140" w:type="dxa"/>
            <w:vAlign w:val="bottom"/>
            <w:tcBorders>
              <w:top w:val="single" w:sz="8" w:color="0000EE"/>
              <w:bottom w:val="single" w:sz="8" w:color="0000EE"/>
            </w:tcBorders>
            <w:shd w:val="clear" w:color="auto" w:fill="4F81BD"/>
          </w:tcPr>
          <w:p>
            <w:pPr>
              <w:spacing w:after="0"/>
              <w:rPr>
                <w:sz w:val="24"/>
                <w:szCs w:val="24"/>
                <w:color w:val="auto"/>
              </w:rPr>
            </w:pPr>
          </w:p>
        </w:tc>
        <w:tc>
          <w:tcPr>
            <w:tcW w:w="320" w:type="dxa"/>
            <w:vAlign w:val="bottom"/>
            <w:tcBorders>
              <w:top w:val="single" w:sz="8" w:color="0000EE"/>
              <w:bottom w:val="single" w:sz="8" w:color="0000EE"/>
            </w:tcBorders>
            <w:shd w:val="clear" w:color="auto" w:fill="4F81BD"/>
          </w:tcPr>
          <w:p>
            <w:pPr>
              <w:spacing w:after="0"/>
              <w:rPr>
                <w:sz w:val="24"/>
                <w:szCs w:val="24"/>
                <w:color w:val="auto"/>
              </w:rPr>
            </w:pPr>
          </w:p>
        </w:tc>
        <w:tc>
          <w:tcPr>
            <w:tcW w:w="340" w:type="dxa"/>
            <w:vAlign w:val="bottom"/>
            <w:tcBorders>
              <w:top w:val="single" w:sz="8" w:color="4F81BD"/>
              <w:bottom w:val="single" w:sz="8" w:color="4F81BD"/>
            </w:tcBorders>
            <w:gridSpan w:val="2"/>
            <w:shd w:val="clear" w:color="auto" w:fill="4F81BD"/>
          </w:tcPr>
          <w:p>
            <w:pPr>
              <w:spacing w:after="0"/>
              <w:rPr>
                <w:sz w:val="24"/>
                <w:szCs w:val="24"/>
                <w:color w:val="auto"/>
              </w:rPr>
            </w:pPr>
          </w:p>
        </w:tc>
        <w:tc>
          <w:tcPr>
            <w:tcW w:w="820" w:type="dxa"/>
            <w:vAlign w:val="bottom"/>
            <w:tcBorders>
              <w:top w:val="single" w:sz="8" w:color="4F81BD"/>
              <w:bottom w:val="single" w:sz="8" w:color="4F81BD"/>
            </w:tcBorders>
            <w:shd w:val="clear" w:color="auto" w:fill="4F81BD"/>
          </w:tcPr>
          <w:p>
            <w:pPr>
              <w:spacing w:after="0"/>
              <w:rPr>
                <w:sz w:val="24"/>
                <w:szCs w:val="24"/>
                <w:color w:val="auto"/>
              </w:rPr>
            </w:pPr>
          </w:p>
        </w:tc>
        <w:tc>
          <w:tcPr>
            <w:tcW w:w="820" w:type="dxa"/>
            <w:vAlign w:val="bottom"/>
            <w:tcBorders>
              <w:top w:val="single" w:sz="8" w:color="4F81BD"/>
              <w:bottom w:val="single" w:sz="8" w:color="4F81BD"/>
            </w:tcBorders>
            <w:gridSpan w:val="2"/>
            <w:shd w:val="clear" w:color="auto" w:fill="4F81BD"/>
          </w:tcPr>
          <w:p>
            <w:pPr>
              <w:spacing w:after="0"/>
              <w:rPr>
                <w:sz w:val="24"/>
                <w:szCs w:val="24"/>
                <w:color w:val="auto"/>
              </w:rPr>
            </w:pPr>
          </w:p>
        </w:tc>
        <w:tc>
          <w:tcPr>
            <w:tcW w:w="180" w:type="dxa"/>
            <w:vAlign w:val="bottom"/>
            <w:tcBorders>
              <w:top w:val="single" w:sz="8" w:color="4F81BD"/>
              <w:bottom w:val="single" w:sz="8" w:color="4F81BD"/>
              <w:right w:val="single" w:sz="8" w:color="auto"/>
            </w:tcBorders>
            <w:shd w:val="clear" w:color="auto" w:fill="4F81BD"/>
          </w:tcPr>
          <w:p>
            <w:pPr>
              <w:spacing w:after="0"/>
              <w:rPr>
                <w:sz w:val="24"/>
                <w:szCs w:val="24"/>
                <w:color w:val="auto"/>
              </w:rPr>
            </w:pPr>
          </w:p>
        </w:tc>
        <w:tc>
          <w:tcPr>
            <w:tcW w:w="1040" w:type="dxa"/>
            <w:vAlign w:val="bottom"/>
            <w:tcBorders>
              <w:top w:val="single" w:sz="8" w:color="4F81BD"/>
              <w:bottom w:val="single" w:sz="8" w:color="4F81BD"/>
              <w:right w:val="single" w:sz="8" w:color="auto"/>
            </w:tcBorders>
            <w:shd w:val="clear" w:color="auto" w:fill="4F81BD"/>
          </w:tcPr>
          <w:p>
            <w:pPr>
              <w:jc w:val="right"/>
              <w:ind w:right="5"/>
              <w:spacing w:after="0"/>
              <w:rPr>
                <w:sz w:val="20"/>
                <w:szCs w:val="20"/>
                <w:color w:val="auto"/>
              </w:rPr>
            </w:pPr>
            <w:r>
              <w:rPr>
                <w:rFonts w:ascii="Arial" w:cs="Arial" w:eastAsia="Arial" w:hAnsi="Arial"/>
                <w:sz w:val="15"/>
                <w:szCs w:val="15"/>
                <w:color w:val="auto"/>
              </w:rPr>
              <w:t>49</w:t>
            </w:r>
          </w:p>
        </w:tc>
      </w:tr>
      <w:tr>
        <w:trPr>
          <w:trHeight w:val="214"/>
        </w:trPr>
        <w:tc>
          <w:tcPr>
            <w:tcW w:w="80" w:type="dxa"/>
            <w:vAlign w:val="bottom"/>
            <w:tcBorders>
              <w:top w:val="single" w:sz="8" w:color="auto"/>
              <w:left w:val="single" w:sz="8" w:color="auto"/>
            </w:tcBorders>
          </w:tcPr>
          <w:p>
            <w:pPr>
              <w:spacing w:after="0"/>
              <w:rPr>
                <w:sz w:val="18"/>
                <w:szCs w:val="18"/>
                <w:color w:val="auto"/>
              </w:rPr>
            </w:pPr>
          </w:p>
        </w:tc>
        <w:tc>
          <w:tcPr>
            <w:tcW w:w="7580" w:type="dxa"/>
            <w:vAlign w:val="bottom"/>
            <w:tcBorders>
              <w:top w:val="single" w:sz="8" w:color="auto"/>
              <w:right w:val="single" w:sz="8" w:color="auto"/>
            </w:tcBorders>
            <w:gridSpan w:val="30"/>
          </w:tcPr>
          <w:p>
            <w:pPr>
              <w:spacing w:after="0" w:line="214" w:lineRule="exact"/>
              <w:rPr>
                <w:sz w:val="20"/>
                <w:szCs w:val="20"/>
                <w:color w:val="auto"/>
              </w:rPr>
            </w:pPr>
            <w:r>
              <w:rPr>
                <w:rFonts w:ascii="Arial" w:cs="Arial" w:eastAsia="Arial" w:hAnsi="Arial"/>
                <w:sz w:val="21"/>
                <w:szCs w:val="21"/>
                <w:b w:val="1"/>
                <w:bCs w:val="1"/>
                <w:color w:val="0000EE"/>
              </w:rPr>
              <w:t>PROPOSAL 3: RATIFICATION OF THE APPOINTMENT OF THE COMPANY’S</w:t>
            </w:r>
          </w:p>
        </w:tc>
        <w:tc>
          <w:tcPr>
            <w:tcW w:w="1040" w:type="dxa"/>
            <w:vAlign w:val="bottom"/>
            <w:tcBorders>
              <w:top w:val="single" w:sz="8" w:color="auto"/>
              <w:right w:val="single" w:sz="8" w:color="auto"/>
            </w:tcBorders>
          </w:tcPr>
          <w:p>
            <w:pPr>
              <w:spacing w:after="0"/>
              <w:rPr>
                <w:sz w:val="18"/>
                <w:szCs w:val="18"/>
                <w:color w:val="auto"/>
              </w:rPr>
            </w:pPr>
          </w:p>
        </w:tc>
      </w:tr>
      <w:tr>
        <w:trPr>
          <w:trHeight w:val="214"/>
        </w:trPr>
        <w:tc>
          <w:tcPr>
            <w:tcW w:w="80" w:type="dxa"/>
            <w:vAlign w:val="bottom"/>
            <w:tcBorders>
              <w:left w:val="single" w:sz="8" w:color="auto"/>
            </w:tcBorders>
          </w:tcPr>
          <w:p>
            <w:pPr>
              <w:spacing w:after="0"/>
              <w:rPr>
                <w:sz w:val="18"/>
                <w:szCs w:val="18"/>
                <w:color w:val="auto"/>
              </w:rPr>
            </w:pPr>
          </w:p>
        </w:tc>
        <w:tc>
          <w:tcPr>
            <w:tcW w:w="5760" w:type="dxa"/>
            <w:vAlign w:val="bottom"/>
            <w:tcBorders>
              <w:top w:val="single" w:sz="8" w:color="0000EE"/>
              <w:bottom w:val="single" w:sz="8" w:color="0000EE"/>
            </w:tcBorders>
            <w:gridSpan w:val="26"/>
          </w:tcPr>
          <w:p>
            <w:pPr>
              <w:spacing w:after="0" w:line="203" w:lineRule="exact"/>
              <w:rPr>
                <w:sz w:val="20"/>
                <w:szCs w:val="20"/>
                <w:color w:val="auto"/>
              </w:rPr>
            </w:pPr>
            <w:r>
              <w:rPr>
                <w:rFonts w:ascii="Arial" w:cs="Arial" w:eastAsia="Arial" w:hAnsi="Arial"/>
                <w:sz w:val="21"/>
                <w:szCs w:val="21"/>
                <w:b w:val="1"/>
                <w:bCs w:val="1"/>
                <w:color w:val="0000EE"/>
                <w:w w:val="98"/>
              </w:rPr>
              <w:t>INDEPENDENT REGISTERED PUBLIC ACCOUNTING FIRM</w:t>
            </w:r>
          </w:p>
        </w:tc>
        <w:tc>
          <w:tcPr>
            <w:tcW w:w="820" w:type="dxa"/>
            <w:vAlign w:val="bottom"/>
            <w:tcBorders>
              <w:top w:val="single" w:sz="8" w:color="0000EE"/>
              <w:bottom w:val="single" w:sz="8" w:color="0000EE"/>
            </w:tcBorders>
          </w:tcPr>
          <w:p>
            <w:pPr>
              <w:spacing w:after="0"/>
              <w:rPr>
                <w:sz w:val="18"/>
                <w:szCs w:val="18"/>
                <w:color w:val="auto"/>
              </w:rPr>
            </w:pPr>
          </w:p>
        </w:tc>
        <w:tc>
          <w:tcPr>
            <w:tcW w:w="820" w:type="dxa"/>
            <w:vAlign w:val="bottom"/>
            <w:tcBorders>
              <w:top w:val="single" w:sz="8" w:color="0000EE"/>
              <w:bottom w:val="single" w:sz="8" w:color="0000EE"/>
            </w:tcBorders>
            <w:gridSpan w:val="2"/>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50</w:t>
            </w:r>
          </w:p>
        </w:tc>
      </w:tr>
      <w:tr>
        <w:trPr>
          <w:trHeight w:val="47"/>
        </w:trPr>
        <w:tc>
          <w:tcPr>
            <w:tcW w:w="80" w:type="dxa"/>
            <w:vAlign w:val="bottom"/>
            <w:tcBorders>
              <w:left w:val="single" w:sz="8" w:color="auto"/>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0"/>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Principal Accountant Fees and Services</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50</w:t>
            </w:r>
          </w:p>
        </w:tc>
      </w:tr>
      <w:tr>
        <w:trPr>
          <w:trHeight w:val="158"/>
        </w:trPr>
        <w:tc>
          <w:tcPr>
            <w:tcW w:w="80" w:type="dxa"/>
            <w:vAlign w:val="bottom"/>
            <w:tcBorders>
              <w:left w:val="single" w:sz="8" w:color="auto"/>
            </w:tcBorders>
          </w:tcPr>
          <w:p>
            <w:pPr>
              <w:spacing w:after="0"/>
              <w:rPr>
                <w:sz w:val="13"/>
                <w:szCs w:val="13"/>
                <w:color w:val="auto"/>
              </w:rPr>
            </w:pPr>
          </w:p>
        </w:tc>
        <w:tc>
          <w:tcPr>
            <w:tcW w:w="7580" w:type="dxa"/>
            <w:vAlign w:val="bottom"/>
            <w:tcBorders>
              <w:right w:val="single" w:sz="8" w:color="auto"/>
            </w:tcBorders>
            <w:gridSpan w:val="30"/>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Audit Committee Pre-Approval Policies and Procedures</w:t>
            </w:r>
          </w:p>
        </w:tc>
        <w:tc>
          <w:tcPr>
            <w:tcW w:w="1040" w:type="dxa"/>
            <w:vAlign w:val="bottom"/>
            <w:tcBorders>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51</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70"/>
        </w:trPr>
        <w:tc>
          <w:tcPr>
            <w:tcW w:w="80" w:type="dxa"/>
            <w:vAlign w:val="bottom"/>
            <w:tcBorders>
              <w:left w:val="single" w:sz="8" w:color="auto"/>
              <w:bottom w:val="single" w:sz="8" w:color="auto"/>
            </w:tcBorders>
            <w:shd w:val="clear" w:color="auto" w:fill="4F81BD"/>
          </w:tcPr>
          <w:p>
            <w:pPr>
              <w:spacing w:after="0"/>
              <w:rPr>
                <w:sz w:val="23"/>
                <w:szCs w:val="23"/>
                <w:color w:val="auto"/>
              </w:rPr>
            </w:pPr>
          </w:p>
        </w:tc>
        <w:tc>
          <w:tcPr>
            <w:tcW w:w="7580" w:type="dxa"/>
            <w:vAlign w:val="bottom"/>
            <w:tcBorders>
              <w:bottom w:val="single" w:sz="8" w:color="auto"/>
              <w:right w:val="single" w:sz="8" w:color="auto"/>
            </w:tcBorders>
            <w:gridSpan w:val="30"/>
            <w:shd w:val="clear" w:color="auto" w:fill="4F81BD"/>
          </w:tcPr>
          <w:p>
            <w:pPr>
              <w:spacing w:after="0" w:line="203" w:lineRule="exact"/>
              <w:rPr>
                <w:sz w:val="20"/>
                <w:szCs w:val="20"/>
                <w:color w:val="auto"/>
              </w:rPr>
            </w:pPr>
            <w:r>
              <w:rPr>
                <w:rFonts w:ascii="Arial" w:cs="Arial" w:eastAsia="Arial" w:hAnsi="Arial"/>
                <w:sz w:val="21"/>
                <w:szCs w:val="21"/>
                <w:b w:val="1"/>
                <w:bCs w:val="1"/>
                <w:color w:val="0000EE"/>
              </w:rPr>
              <w:t>AUDIT COMMITTEE REPORT</w:t>
            </w:r>
          </w:p>
        </w:tc>
        <w:tc>
          <w:tcPr>
            <w:tcW w:w="1040" w:type="dxa"/>
            <w:vAlign w:val="bottom"/>
            <w:tcBorders>
              <w:bottom w:val="single" w:sz="8" w:color="auto"/>
              <w:right w:val="single" w:sz="8" w:color="auto"/>
            </w:tcBorders>
            <w:shd w:val="clear" w:color="auto" w:fill="4F81BD"/>
          </w:tcPr>
          <w:p>
            <w:pPr>
              <w:jc w:val="right"/>
              <w:ind w:right="5"/>
              <w:spacing w:after="0"/>
              <w:rPr>
                <w:sz w:val="20"/>
                <w:szCs w:val="20"/>
                <w:color w:val="auto"/>
              </w:rPr>
            </w:pPr>
            <w:r>
              <w:rPr>
                <w:rFonts w:ascii="Arial" w:cs="Arial" w:eastAsia="Arial" w:hAnsi="Arial"/>
                <w:sz w:val="15"/>
                <w:szCs w:val="15"/>
                <w:color w:val="auto"/>
              </w:rPr>
              <w:t>52</w:t>
            </w:r>
          </w:p>
        </w:tc>
      </w:tr>
      <w:tr>
        <w:trPr>
          <w:trHeight w:val="214"/>
        </w:trPr>
        <w:tc>
          <w:tcPr>
            <w:tcW w:w="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30"/>
          </w:tcPr>
          <w:p>
            <w:pPr>
              <w:spacing w:after="0" w:line="203" w:lineRule="exact"/>
              <w:rPr>
                <w:sz w:val="20"/>
                <w:szCs w:val="20"/>
                <w:color w:val="auto"/>
              </w:rPr>
            </w:pPr>
            <w:r>
              <w:rPr>
                <w:rFonts w:ascii="Arial" w:cs="Arial" w:eastAsia="Arial" w:hAnsi="Arial"/>
                <w:sz w:val="21"/>
                <w:szCs w:val="21"/>
                <w:b w:val="1"/>
                <w:bCs w:val="1"/>
                <w:color w:val="0000EE"/>
              </w:rPr>
              <w:t>INFORMATION ABOUT OUR EXECUTIVE OFFICERS</w:t>
            </w:r>
          </w:p>
        </w:tc>
        <w:tc>
          <w:tcPr>
            <w:tcW w:w="10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53</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34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70"/>
        </w:trPr>
        <w:tc>
          <w:tcPr>
            <w:tcW w:w="80" w:type="dxa"/>
            <w:vAlign w:val="bottom"/>
            <w:tcBorders>
              <w:left w:val="single" w:sz="8" w:color="auto"/>
              <w:bottom w:val="single" w:sz="8" w:color="auto"/>
            </w:tcBorders>
            <w:shd w:val="clear" w:color="auto" w:fill="4F81BD"/>
          </w:tcPr>
          <w:p>
            <w:pPr>
              <w:spacing w:after="0"/>
              <w:rPr>
                <w:sz w:val="23"/>
                <w:szCs w:val="23"/>
                <w:color w:val="auto"/>
              </w:rPr>
            </w:pPr>
          </w:p>
        </w:tc>
        <w:tc>
          <w:tcPr>
            <w:tcW w:w="7580" w:type="dxa"/>
            <w:vAlign w:val="bottom"/>
            <w:tcBorders>
              <w:bottom w:val="single" w:sz="8" w:color="auto"/>
              <w:right w:val="single" w:sz="8" w:color="auto"/>
            </w:tcBorders>
            <w:gridSpan w:val="30"/>
            <w:shd w:val="clear" w:color="auto" w:fill="4F81BD"/>
          </w:tcPr>
          <w:p>
            <w:pPr>
              <w:spacing w:after="0" w:line="203" w:lineRule="exact"/>
              <w:rPr>
                <w:sz w:val="20"/>
                <w:szCs w:val="20"/>
                <w:color w:val="auto"/>
              </w:rPr>
            </w:pPr>
            <w:r>
              <w:rPr>
                <w:rFonts w:ascii="Arial" w:cs="Arial" w:eastAsia="Arial" w:hAnsi="Arial"/>
                <w:sz w:val="21"/>
                <w:szCs w:val="21"/>
                <w:b w:val="1"/>
                <w:bCs w:val="1"/>
                <w:color w:val="0000EE"/>
              </w:rPr>
              <w:t>COMPENSATION DISCUSSION AND ANALYSIS</w:t>
            </w:r>
          </w:p>
        </w:tc>
        <w:tc>
          <w:tcPr>
            <w:tcW w:w="1040" w:type="dxa"/>
            <w:vAlign w:val="bottom"/>
            <w:tcBorders>
              <w:bottom w:val="single" w:sz="8" w:color="auto"/>
              <w:right w:val="single" w:sz="8" w:color="auto"/>
            </w:tcBorders>
            <w:shd w:val="clear" w:color="auto" w:fill="4F81BD"/>
          </w:tcPr>
          <w:p>
            <w:pPr>
              <w:jc w:val="right"/>
              <w:ind w:right="5"/>
              <w:spacing w:after="0"/>
              <w:rPr>
                <w:sz w:val="20"/>
                <w:szCs w:val="20"/>
                <w:color w:val="auto"/>
              </w:rPr>
            </w:pPr>
            <w:r>
              <w:rPr>
                <w:rFonts w:ascii="Arial" w:cs="Arial" w:eastAsia="Arial" w:hAnsi="Arial"/>
                <w:sz w:val="15"/>
                <w:szCs w:val="15"/>
                <w:color w:val="auto"/>
              </w:rPr>
              <w:t>55</w:t>
            </w:r>
          </w:p>
        </w:tc>
      </w:tr>
      <w:tr>
        <w:trPr>
          <w:trHeight w:val="158"/>
        </w:trPr>
        <w:tc>
          <w:tcPr>
            <w:tcW w:w="80" w:type="dxa"/>
            <w:vAlign w:val="bottom"/>
            <w:tcBorders>
              <w:left w:val="single" w:sz="8" w:color="auto"/>
            </w:tcBorders>
          </w:tcPr>
          <w:p>
            <w:pPr>
              <w:spacing w:after="0"/>
              <w:rPr>
                <w:sz w:val="13"/>
                <w:szCs w:val="13"/>
                <w:color w:val="auto"/>
              </w:rPr>
            </w:pPr>
          </w:p>
        </w:tc>
        <w:tc>
          <w:tcPr>
            <w:tcW w:w="660" w:type="dxa"/>
            <w:vAlign w:val="bottom"/>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6920" w:type="dxa"/>
            <w:vAlign w:val="bottom"/>
            <w:tcBorders>
              <w:right w:val="single" w:sz="8" w:color="auto"/>
            </w:tcBorders>
            <w:gridSpan w:val="29"/>
          </w:tcPr>
          <w:p>
            <w:pPr>
              <w:spacing w:after="0" w:line="147" w:lineRule="exact"/>
              <w:rPr>
                <w:sz w:val="20"/>
                <w:szCs w:val="20"/>
                <w:color w:val="auto"/>
              </w:rPr>
            </w:pPr>
            <w:r>
              <w:rPr>
                <w:rFonts w:ascii="Arial" w:cs="Arial" w:eastAsia="Arial" w:hAnsi="Arial"/>
                <w:sz w:val="15"/>
                <w:szCs w:val="15"/>
                <w:color w:val="0000EE"/>
              </w:rPr>
              <w:t>Executive Summary</w:t>
            </w:r>
          </w:p>
        </w:tc>
        <w:tc>
          <w:tcPr>
            <w:tcW w:w="1040" w:type="dxa"/>
            <w:vAlign w:val="bottom"/>
            <w:tcBorders>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55</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top w:val="single" w:sz="8" w:color="0000EE"/>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660" w:type="dxa"/>
            <w:vAlign w:val="bottom"/>
            <w:tcBorders>
              <w:bottom w:val="single" w:sz="8" w:color="auto"/>
            </w:tcBorders>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6920" w:type="dxa"/>
            <w:vAlign w:val="bottom"/>
            <w:tcBorders>
              <w:bottom w:val="single" w:sz="8" w:color="auto"/>
              <w:right w:val="single" w:sz="8" w:color="auto"/>
            </w:tcBorders>
            <w:gridSpan w:val="29"/>
            <w:shd w:val="clear" w:color="auto" w:fill="4F81BD"/>
          </w:tcPr>
          <w:p>
            <w:pPr>
              <w:spacing w:after="0" w:line="147" w:lineRule="exact"/>
              <w:rPr>
                <w:sz w:val="20"/>
                <w:szCs w:val="20"/>
                <w:color w:val="auto"/>
              </w:rPr>
            </w:pPr>
            <w:r>
              <w:rPr>
                <w:rFonts w:ascii="Arial" w:cs="Arial" w:eastAsia="Arial" w:hAnsi="Arial"/>
                <w:sz w:val="15"/>
                <w:szCs w:val="15"/>
                <w:color w:val="0000EE"/>
              </w:rPr>
              <w:t>Say-on-Pay</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58</w:t>
            </w:r>
          </w:p>
        </w:tc>
      </w:tr>
      <w:tr>
        <w:trPr>
          <w:trHeight w:val="158"/>
        </w:trPr>
        <w:tc>
          <w:tcPr>
            <w:tcW w:w="80" w:type="dxa"/>
            <w:vAlign w:val="bottom"/>
            <w:tcBorders>
              <w:left w:val="single" w:sz="8" w:color="auto"/>
            </w:tcBorders>
          </w:tcPr>
          <w:p>
            <w:pPr>
              <w:spacing w:after="0"/>
              <w:rPr>
                <w:sz w:val="13"/>
                <w:szCs w:val="13"/>
                <w:color w:val="auto"/>
              </w:rPr>
            </w:pPr>
          </w:p>
        </w:tc>
        <w:tc>
          <w:tcPr>
            <w:tcW w:w="660" w:type="dxa"/>
            <w:vAlign w:val="bottom"/>
          </w:tcPr>
          <w:p>
            <w:pPr>
              <w:ind w:left="340"/>
              <w:spacing w:after="0" w:line="147" w:lineRule="exact"/>
              <w:rPr>
                <w:sz w:val="20"/>
                <w:szCs w:val="20"/>
                <w:color w:val="auto"/>
              </w:rPr>
            </w:pPr>
            <w:r>
              <w:rPr>
                <w:rFonts w:ascii="MS PGothic" w:cs="MS PGothic" w:eastAsia="MS PGothic" w:hAnsi="MS PGothic"/>
                <w:sz w:val="15"/>
                <w:szCs w:val="15"/>
                <w:color w:val="9E318D"/>
              </w:rPr>
              <w:t>▶</w:t>
            </w:r>
          </w:p>
        </w:tc>
        <w:tc>
          <w:tcPr>
            <w:tcW w:w="6920" w:type="dxa"/>
            <w:vAlign w:val="bottom"/>
            <w:tcBorders>
              <w:right w:val="single" w:sz="8" w:color="auto"/>
            </w:tcBorders>
            <w:gridSpan w:val="29"/>
          </w:tcPr>
          <w:p>
            <w:pPr>
              <w:spacing w:after="0" w:line="147" w:lineRule="exact"/>
              <w:rPr>
                <w:sz w:val="20"/>
                <w:szCs w:val="20"/>
                <w:color w:val="auto"/>
              </w:rPr>
            </w:pPr>
            <w:r>
              <w:rPr>
                <w:rFonts w:ascii="Arial" w:cs="Arial" w:eastAsia="Arial" w:hAnsi="Arial"/>
                <w:sz w:val="15"/>
                <w:szCs w:val="15"/>
                <w:color w:val="0000EE"/>
              </w:rPr>
              <w:t>Elements of Pay</w:t>
            </w:r>
          </w:p>
        </w:tc>
        <w:tc>
          <w:tcPr>
            <w:tcW w:w="1040" w:type="dxa"/>
            <w:vAlign w:val="bottom"/>
            <w:tcBorders>
              <w:right w:val="single" w:sz="8" w:color="auto"/>
            </w:tcBorders>
          </w:tcPr>
          <w:p>
            <w:pPr>
              <w:jc w:val="right"/>
              <w:ind w:right="5"/>
              <w:spacing w:after="0" w:line="147" w:lineRule="exact"/>
              <w:rPr>
                <w:sz w:val="20"/>
                <w:szCs w:val="20"/>
                <w:color w:val="auto"/>
              </w:rPr>
            </w:pPr>
            <w:r>
              <w:rPr>
                <w:rFonts w:ascii="Arial" w:cs="Arial" w:eastAsia="Arial" w:hAnsi="Arial"/>
                <w:sz w:val="15"/>
                <w:szCs w:val="15"/>
                <w:color w:val="auto"/>
              </w:rPr>
              <w:t>59</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bottom w:val="single" w:sz="8" w:color="auto"/>
            </w:tcBorders>
            <w:shd w:val="clear" w:color="auto" w:fill="4F81BD"/>
          </w:tcPr>
          <w:p>
            <w:pPr>
              <w:spacing w:after="0"/>
              <w:rPr>
                <w:sz w:val="18"/>
                <w:szCs w:val="18"/>
                <w:color w:val="auto"/>
              </w:rPr>
            </w:pPr>
          </w:p>
        </w:tc>
        <w:tc>
          <w:tcPr>
            <w:tcW w:w="7580" w:type="dxa"/>
            <w:vAlign w:val="bottom"/>
            <w:tcBorders>
              <w:bottom w:val="single" w:sz="8" w:color="auto"/>
              <w:right w:val="single" w:sz="8" w:color="auto"/>
            </w:tcBorders>
            <w:gridSpan w:val="30"/>
            <w:shd w:val="clear" w:color="auto" w:fill="4F81BD"/>
          </w:tcPr>
          <w:p>
            <w:pPr>
              <w:ind w:left="340"/>
              <w:spacing w:after="0" w:line="147" w:lineRule="exact"/>
              <w:rPr>
                <w:sz w:val="20"/>
                <w:szCs w:val="20"/>
                <w:color w:val="auto"/>
              </w:rPr>
            </w:pPr>
            <w:r>
              <w:rPr>
                <w:rFonts w:ascii="MS PGothic" w:cs="MS PGothic" w:eastAsia="MS PGothic" w:hAnsi="MS PGothic"/>
                <w:sz w:val="15"/>
                <w:szCs w:val="15"/>
                <w:color w:val="9E318D"/>
              </w:rPr>
              <w:t>▶</w:t>
            </w:r>
            <w:r>
              <w:rPr>
                <w:rFonts w:ascii="Arial" w:cs="Arial" w:eastAsia="Arial" w:hAnsi="Arial"/>
                <w:sz w:val="15"/>
                <w:szCs w:val="15"/>
                <w:color w:val="0000EE"/>
              </w:rPr>
              <w:t xml:space="preserve">  Other Pay Programs and Policies</w:t>
            </w:r>
          </w:p>
        </w:tc>
        <w:tc>
          <w:tcPr>
            <w:tcW w:w="1040" w:type="dxa"/>
            <w:vAlign w:val="bottom"/>
            <w:tcBorders>
              <w:bottom w:val="single" w:sz="8" w:color="auto"/>
              <w:right w:val="single" w:sz="8" w:color="auto"/>
            </w:tcBorders>
            <w:shd w:val="clear" w:color="auto" w:fill="4F81BD"/>
          </w:tcPr>
          <w:p>
            <w:pPr>
              <w:jc w:val="right"/>
              <w:ind w:right="5"/>
              <w:spacing w:after="0" w:line="147" w:lineRule="exact"/>
              <w:rPr>
                <w:sz w:val="20"/>
                <w:szCs w:val="20"/>
                <w:color w:val="auto"/>
              </w:rPr>
            </w:pPr>
            <w:r>
              <w:rPr>
                <w:rFonts w:ascii="Arial" w:cs="Arial" w:eastAsia="Arial" w:hAnsi="Arial"/>
                <w:sz w:val="15"/>
                <w:szCs w:val="15"/>
                <w:color w:val="auto"/>
              </w:rPr>
              <w:t>70</w:t>
            </w:r>
          </w:p>
        </w:tc>
      </w:tr>
      <w:tr>
        <w:trPr>
          <w:trHeight w:val="214"/>
        </w:trPr>
        <w:tc>
          <w:tcPr>
            <w:tcW w:w="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30"/>
          </w:tcPr>
          <w:p>
            <w:pPr>
              <w:spacing w:after="0" w:line="203" w:lineRule="exact"/>
              <w:rPr>
                <w:sz w:val="20"/>
                <w:szCs w:val="20"/>
                <w:color w:val="auto"/>
              </w:rPr>
            </w:pPr>
            <w:r>
              <w:rPr>
                <w:rFonts w:ascii="Arial" w:cs="Arial" w:eastAsia="Arial" w:hAnsi="Arial"/>
                <w:sz w:val="21"/>
                <w:szCs w:val="21"/>
                <w:b w:val="1"/>
                <w:bCs w:val="1"/>
                <w:color w:val="0000EE"/>
              </w:rPr>
              <w:t>COMPENSATION COMMITTEE REPORT</w:t>
            </w:r>
          </w:p>
        </w:tc>
        <w:tc>
          <w:tcPr>
            <w:tcW w:w="10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73</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70"/>
        </w:trPr>
        <w:tc>
          <w:tcPr>
            <w:tcW w:w="80" w:type="dxa"/>
            <w:vAlign w:val="bottom"/>
            <w:tcBorders>
              <w:left w:val="single" w:sz="8" w:color="auto"/>
              <w:bottom w:val="single" w:sz="8" w:color="auto"/>
            </w:tcBorders>
            <w:shd w:val="clear" w:color="auto" w:fill="4F81BD"/>
          </w:tcPr>
          <w:p>
            <w:pPr>
              <w:spacing w:after="0"/>
              <w:rPr>
                <w:sz w:val="23"/>
                <w:szCs w:val="23"/>
                <w:color w:val="auto"/>
              </w:rPr>
            </w:pPr>
          </w:p>
        </w:tc>
        <w:tc>
          <w:tcPr>
            <w:tcW w:w="7580" w:type="dxa"/>
            <w:vAlign w:val="bottom"/>
            <w:tcBorders>
              <w:bottom w:val="single" w:sz="8" w:color="auto"/>
              <w:right w:val="single" w:sz="8" w:color="auto"/>
            </w:tcBorders>
            <w:gridSpan w:val="30"/>
            <w:shd w:val="clear" w:color="auto" w:fill="4F81BD"/>
          </w:tcPr>
          <w:p>
            <w:pPr>
              <w:spacing w:after="0" w:line="203" w:lineRule="exact"/>
              <w:rPr>
                <w:sz w:val="20"/>
                <w:szCs w:val="20"/>
                <w:color w:val="auto"/>
              </w:rPr>
            </w:pPr>
            <w:r>
              <w:rPr>
                <w:rFonts w:ascii="Arial" w:cs="Arial" w:eastAsia="Arial" w:hAnsi="Arial"/>
                <w:sz w:val="21"/>
                <w:szCs w:val="21"/>
                <w:b w:val="1"/>
                <w:bCs w:val="1"/>
                <w:color w:val="0000EE"/>
              </w:rPr>
              <w:t>COMPENSATION TABLES</w:t>
            </w:r>
          </w:p>
        </w:tc>
        <w:tc>
          <w:tcPr>
            <w:tcW w:w="1040" w:type="dxa"/>
            <w:vAlign w:val="bottom"/>
            <w:tcBorders>
              <w:bottom w:val="single" w:sz="8" w:color="auto"/>
              <w:right w:val="single" w:sz="8" w:color="auto"/>
            </w:tcBorders>
            <w:shd w:val="clear" w:color="auto" w:fill="4F81BD"/>
          </w:tcPr>
          <w:p>
            <w:pPr>
              <w:jc w:val="right"/>
              <w:ind w:right="5"/>
              <w:spacing w:after="0"/>
              <w:rPr>
                <w:sz w:val="20"/>
                <w:szCs w:val="20"/>
                <w:color w:val="auto"/>
              </w:rPr>
            </w:pPr>
            <w:r>
              <w:rPr>
                <w:rFonts w:ascii="Arial" w:cs="Arial" w:eastAsia="Arial" w:hAnsi="Arial"/>
                <w:sz w:val="15"/>
                <w:szCs w:val="15"/>
                <w:color w:val="auto"/>
              </w:rPr>
              <w:t>74</w:t>
            </w:r>
          </w:p>
        </w:tc>
      </w:tr>
      <w:tr>
        <w:trPr>
          <w:trHeight w:val="214"/>
        </w:trPr>
        <w:tc>
          <w:tcPr>
            <w:tcW w:w="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30"/>
          </w:tcPr>
          <w:p>
            <w:pPr>
              <w:spacing w:after="0" w:line="203" w:lineRule="exact"/>
              <w:rPr>
                <w:sz w:val="20"/>
                <w:szCs w:val="20"/>
                <w:color w:val="auto"/>
              </w:rPr>
            </w:pPr>
            <w:r>
              <w:rPr>
                <w:rFonts w:ascii="Arial" w:cs="Arial" w:eastAsia="Arial" w:hAnsi="Arial"/>
                <w:sz w:val="21"/>
                <w:szCs w:val="21"/>
                <w:b w:val="1"/>
                <w:bCs w:val="1"/>
                <w:color w:val="0000EE"/>
              </w:rPr>
              <w:t>OTHER MATTERS</w:t>
            </w:r>
          </w:p>
        </w:tc>
        <w:tc>
          <w:tcPr>
            <w:tcW w:w="10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88</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70"/>
        </w:trPr>
        <w:tc>
          <w:tcPr>
            <w:tcW w:w="80" w:type="dxa"/>
            <w:vAlign w:val="bottom"/>
            <w:tcBorders>
              <w:left w:val="single" w:sz="8" w:color="auto"/>
              <w:bottom w:val="single" w:sz="8" w:color="auto"/>
            </w:tcBorders>
            <w:shd w:val="clear" w:color="auto" w:fill="4F81BD"/>
          </w:tcPr>
          <w:p>
            <w:pPr>
              <w:spacing w:after="0"/>
              <w:rPr>
                <w:sz w:val="23"/>
                <w:szCs w:val="23"/>
                <w:color w:val="auto"/>
              </w:rPr>
            </w:pPr>
          </w:p>
        </w:tc>
        <w:tc>
          <w:tcPr>
            <w:tcW w:w="7580" w:type="dxa"/>
            <w:vAlign w:val="bottom"/>
            <w:tcBorders>
              <w:bottom w:val="single" w:sz="8" w:color="auto"/>
              <w:right w:val="single" w:sz="8" w:color="auto"/>
            </w:tcBorders>
            <w:gridSpan w:val="30"/>
            <w:shd w:val="clear" w:color="auto" w:fill="4F81BD"/>
          </w:tcPr>
          <w:p>
            <w:pPr>
              <w:spacing w:after="0" w:line="203" w:lineRule="exact"/>
              <w:rPr>
                <w:sz w:val="20"/>
                <w:szCs w:val="20"/>
                <w:color w:val="auto"/>
              </w:rPr>
            </w:pPr>
            <w:r>
              <w:rPr>
                <w:rFonts w:ascii="Arial" w:cs="Arial" w:eastAsia="Arial" w:hAnsi="Arial"/>
                <w:sz w:val="21"/>
                <w:szCs w:val="21"/>
                <w:b w:val="1"/>
                <w:bCs w:val="1"/>
                <w:color w:val="0000EE"/>
              </w:rPr>
              <w:t>SOLICITATION AND EXPENSES OF SOLICITATION</w:t>
            </w:r>
          </w:p>
        </w:tc>
        <w:tc>
          <w:tcPr>
            <w:tcW w:w="1040" w:type="dxa"/>
            <w:vAlign w:val="bottom"/>
            <w:tcBorders>
              <w:bottom w:val="single" w:sz="8" w:color="auto"/>
              <w:right w:val="single" w:sz="8" w:color="auto"/>
            </w:tcBorders>
            <w:shd w:val="clear" w:color="auto" w:fill="4F81BD"/>
          </w:tcPr>
          <w:p>
            <w:pPr>
              <w:jc w:val="right"/>
              <w:ind w:right="5"/>
              <w:spacing w:after="0"/>
              <w:rPr>
                <w:sz w:val="20"/>
                <w:szCs w:val="20"/>
                <w:color w:val="auto"/>
              </w:rPr>
            </w:pPr>
            <w:r>
              <w:rPr>
                <w:rFonts w:ascii="Arial" w:cs="Arial" w:eastAsia="Arial" w:hAnsi="Arial"/>
                <w:sz w:val="15"/>
                <w:szCs w:val="15"/>
                <w:color w:val="auto"/>
              </w:rPr>
              <w:t>89</w:t>
            </w:r>
          </w:p>
        </w:tc>
      </w:tr>
      <w:tr>
        <w:trPr>
          <w:trHeight w:val="214"/>
        </w:trPr>
        <w:tc>
          <w:tcPr>
            <w:tcW w:w="8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gridSpan w:val="30"/>
          </w:tcPr>
          <w:p>
            <w:pPr>
              <w:spacing w:after="0" w:line="203" w:lineRule="exact"/>
              <w:rPr>
                <w:sz w:val="20"/>
                <w:szCs w:val="20"/>
                <w:color w:val="auto"/>
              </w:rPr>
            </w:pPr>
            <w:r>
              <w:rPr>
                <w:rFonts w:ascii="Arial" w:cs="Arial" w:eastAsia="Arial" w:hAnsi="Arial"/>
                <w:sz w:val="21"/>
                <w:szCs w:val="21"/>
                <w:b w:val="1"/>
                <w:bCs w:val="1"/>
                <w:color w:val="0000EE"/>
              </w:rPr>
              <w:t>ANNUAL REPORT TO STOCKHOLDERS</w:t>
            </w:r>
          </w:p>
        </w:tc>
        <w:tc>
          <w:tcPr>
            <w:tcW w:w="1040" w:type="dxa"/>
            <w:vAlign w:val="bottom"/>
            <w:tcBorders>
              <w:right w:val="single" w:sz="8" w:color="auto"/>
            </w:tcBorders>
          </w:tcPr>
          <w:p>
            <w:pPr>
              <w:jc w:val="right"/>
              <w:ind w:right="5"/>
              <w:spacing w:after="0"/>
              <w:rPr>
                <w:sz w:val="20"/>
                <w:szCs w:val="20"/>
                <w:color w:val="auto"/>
              </w:rPr>
            </w:pPr>
            <w:r>
              <w:rPr>
                <w:rFonts w:ascii="Arial" w:cs="Arial" w:eastAsia="Arial" w:hAnsi="Arial"/>
                <w:sz w:val="15"/>
                <w:szCs w:val="15"/>
                <w:color w:val="auto"/>
              </w:rPr>
              <w:t>89</w:t>
            </w:r>
          </w:p>
        </w:tc>
      </w:tr>
      <w:tr>
        <w:trPr>
          <w:trHeight w:val="36"/>
        </w:trPr>
        <w:tc>
          <w:tcPr>
            <w:tcW w:w="80" w:type="dxa"/>
            <w:vAlign w:val="bottom"/>
            <w:tcBorders>
              <w:left w:val="single" w:sz="8" w:color="auto"/>
              <w:bottom w:val="single" w:sz="8" w:color="auto"/>
            </w:tcBorders>
          </w:tcPr>
          <w:p>
            <w:pPr>
              <w:spacing w:after="0"/>
              <w:rPr>
                <w:sz w:val="3"/>
                <w:szCs w:val="3"/>
                <w:color w:val="auto"/>
              </w:rPr>
            </w:pPr>
          </w:p>
        </w:tc>
        <w:tc>
          <w:tcPr>
            <w:tcW w:w="66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160" w:type="dxa"/>
            <w:vAlign w:val="bottom"/>
            <w:tcBorders>
              <w:top w:val="single" w:sz="8" w:color="0000EE"/>
              <w:bottom w:val="single" w:sz="8" w:color="auto"/>
            </w:tcBorders>
          </w:tcPr>
          <w:p>
            <w:pPr>
              <w:spacing w:after="0"/>
              <w:rPr>
                <w:sz w:val="3"/>
                <w:szCs w:val="3"/>
                <w:color w:val="auto"/>
              </w:rPr>
            </w:pPr>
          </w:p>
        </w:tc>
        <w:tc>
          <w:tcPr>
            <w:tcW w:w="3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20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40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100" w:type="dxa"/>
            <w:vAlign w:val="bottom"/>
            <w:tcBorders>
              <w:top w:val="single" w:sz="8" w:color="0000EE"/>
              <w:bottom w:val="single" w:sz="8" w:color="auto"/>
            </w:tcBorders>
          </w:tcPr>
          <w:p>
            <w:pPr>
              <w:spacing w:after="0"/>
              <w:rPr>
                <w:sz w:val="3"/>
                <w:szCs w:val="3"/>
                <w:color w:val="auto"/>
              </w:rPr>
            </w:pPr>
          </w:p>
        </w:tc>
        <w:tc>
          <w:tcPr>
            <w:tcW w:w="1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62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214"/>
        </w:trPr>
        <w:tc>
          <w:tcPr>
            <w:tcW w:w="80" w:type="dxa"/>
            <w:vAlign w:val="bottom"/>
            <w:tcBorders>
              <w:left w:val="single" w:sz="8" w:color="auto"/>
            </w:tcBorders>
            <w:shd w:val="clear" w:color="auto" w:fill="4F81BD"/>
          </w:tcPr>
          <w:p>
            <w:pPr>
              <w:spacing w:after="0"/>
              <w:rPr>
                <w:sz w:val="18"/>
                <w:szCs w:val="18"/>
                <w:color w:val="auto"/>
              </w:rPr>
            </w:pPr>
          </w:p>
        </w:tc>
        <w:tc>
          <w:tcPr>
            <w:tcW w:w="7580" w:type="dxa"/>
            <w:vAlign w:val="bottom"/>
            <w:tcBorders>
              <w:right w:val="single" w:sz="8" w:color="auto"/>
            </w:tcBorders>
            <w:gridSpan w:val="30"/>
            <w:shd w:val="clear" w:color="auto" w:fill="4F81BD"/>
          </w:tcPr>
          <w:p>
            <w:pPr>
              <w:spacing w:after="0" w:line="214" w:lineRule="exact"/>
              <w:rPr>
                <w:sz w:val="20"/>
                <w:szCs w:val="20"/>
                <w:color w:val="auto"/>
              </w:rPr>
            </w:pPr>
            <w:r>
              <w:rPr>
                <w:rFonts w:ascii="Arial" w:cs="Arial" w:eastAsia="Arial" w:hAnsi="Arial"/>
                <w:sz w:val="21"/>
                <w:szCs w:val="21"/>
                <w:b w:val="1"/>
                <w:bCs w:val="1"/>
                <w:color w:val="0000EE"/>
              </w:rPr>
              <w:t>STOCKHOLDERS’ PROPOSALS FOR THE 2027 ANNUAL MEETING</w:t>
            </w:r>
          </w:p>
        </w:tc>
        <w:tc>
          <w:tcPr>
            <w:tcW w:w="1040" w:type="dxa"/>
            <w:vAlign w:val="bottom"/>
            <w:tcBorders>
              <w:right w:val="single" w:sz="8" w:color="auto"/>
            </w:tcBorders>
            <w:shd w:val="clear" w:color="auto" w:fill="4F81BD"/>
          </w:tcPr>
          <w:p>
            <w:pPr>
              <w:spacing w:after="0"/>
              <w:rPr>
                <w:sz w:val="18"/>
                <w:szCs w:val="18"/>
                <w:color w:val="auto"/>
              </w:rPr>
            </w:pPr>
          </w:p>
        </w:tc>
      </w:tr>
      <w:tr>
        <w:trPr>
          <w:trHeight w:val="266"/>
        </w:trPr>
        <w:tc>
          <w:tcPr>
            <w:tcW w:w="80" w:type="dxa"/>
            <w:vAlign w:val="bottom"/>
            <w:tcBorders>
              <w:top w:val="single" w:sz="8" w:color="4F81BD"/>
              <w:left w:val="single" w:sz="8" w:color="auto"/>
              <w:bottom w:val="single" w:sz="8" w:color="4F81BD"/>
            </w:tcBorders>
            <w:shd w:val="clear" w:color="auto" w:fill="4F81BD"/>
          </w:tcPr>
          <w:p>
            <w:pPr>
              <w:spacing w:after="0"/>
              <w:rPr>
                <w:sz w:val="22"/>
                <w:szCs w:val="22"/>
                <w:color w:val="auto"/>
              </w:rPr>
            </w:pPr>
          </w:p>
        </w:tc>
        <w:tc>
          <w:tcPr>
            <w:tcW w:w="2080" w:type="dxa"/>
            <w:vAlign w:val="bottom"/>
            <w:tcBorders>
              <w:top w:val="single" w:sz="8" w:color="0000EE"/>
              <w:bottom w:val="single" w:sz="8" w:color="0000EE"/>
            </w:tcBorders>
            <w:gridSpan w:val="7"/>
            <w:shd w:val="clear" w:color="auto" w:fill="4F81BD"/>
          </w:tcPr>
          <w:p>
            <w:pPr>
              <w:spacing w:after="0" w:line="203" w:lineRule="exact"/>
              <w:rPr>
                <w:sz w:val="20"/>
                <w:szCs w:val="20"/>
                <w:color w:val="auto"/>
              </w:rPr>
            </w:pPr>
            <w:r>
              <w:rPr>
                <w:rFonts w:ascii="Arial" w:cs="Arial" w:eastAsia="Arial" w:hAnsi="Arial"/>
                <w:sz w:val="21"/>
                <w:szCs w:val="21"/>
                <w:b w:val="1"/>
                <w:bCs w:val="1"/>
                <w:color w:val="0000EE"/>
                <w:w w:val="97"/>
              </w:rPr>
              <w:t>OF STOCKHOLDERS</w:t>
            </w:r>
          </w:p>
        </w:tc>
        <w:tc>
          <w:tcPr>
            <w:tcW w:w="4500" w:type="dxa"/>
            <w:vAlign w:val="bottom"/>
            <w:tcBorders>
              <w:top w:val="single" w:sz="8" w:color="0000EE"/>
              <w:bottom w:val="single" w:sz="8" w:color="0000EE"/>
            </w:tcBorders>
            <w:gridSpan w:val="20"/>
            <w:shd w:val="clear" w:color="auto" w:fill="4F81BD"/>
          </w:tcPr>
          <w:p>
            <w:pPr>
              <w:spacing w:after="0"/>
              <w:rPr>
                <w:sz w:val="22"/>
                <w:szCs w:val="22"/>
                <w:color w:val="auto"/>
              </w:rPr>
            </w:pPr>
          </w:p>
        </w:tc>
        <w:tc>
          <w:tcPr>
            <w:tcW w:w="1000" w:type="dxa"/>
            <w:vAlign w:val="bottom"/>
            <w:tcBorders>
              <w:top w:val="single" w:sz="8" w:color="4F81BD"/>
              <w:bottom w:val="single" w:sz="8" w:color="4F81BD"/>
              <w:right w:val="single" w:sz="8" w:color="auto"/>
            </w:tcBorders>
            <w:gridSpan w:val="3"/>
            <w:shd w:val="clear" w:color="auto" w:fill="4F81BD"/>
          </w:tcPr>
          <w:p>
            <w:pPr>
              <w:spacing w:after="0"/>
              <w:rPr>
                <w:sz w:val="22"/>
                <w:szCs w:val="22"/>
                <w:color w:val="auto"/>
              </w:rPr>
            </w:pPr>
          </w:p>
        </w:tc>
        <w:tc>
          <w:tcPr>
            <w:tcW w:w="1040" w:type="dxa"/>
            <w:vAlign w:val="bottom"/>
            <w:tcBorders>
              <w:top w:val="single" w:sz="8" w:color="4F81BD"/>
              <w:bottom w:val="single" w:sz="8" w:color="4F81BD"/>
              <w:right w:val="single" w:sz="8" w:color="auto"/>
            </w:tcBorders>
            <w:shd w:val="clear" w:color="auto" w:fill="4F81BD"/>
          </w:tcPr>
          <w:p>
            <w:pPr>
              <w:jc w:val="right"/>
              <w:ind w:right="5"/>
              <w:spacing w:after="0"/>
              <w:rPr>
                <w:sz w:val="20"/>
                <w:szCs w:val="20"/>
                <w:color w:val="auto"/>
              </w:rPr>
            </w:pPr>
            <w:r>
              <w:rPr>
                <w:rFonts w:ascii="Arial" w:cs="Arial" w:eastAsia="Arial" w:hAnsi="Arial"/>
                <w:sz w:val="15"/>
                <w:szCs w:val="15"/>
                <w:color w:val="auto"/>
              </w:rPr>
              <w:t>90</w:t>
            </w:r>
          </w:p>
        </w:tc>
      </w:tr>
      <w:tr>
        <w:trPr>
          <w:trHeight w:val="20"/>
        </w:trPr>
        <w:tc>
          <w:tcPr>
            <w:tcW w:w="80" w:type="dxa"/>
            <w:vAlign w:val="bottom"/>
            <w:tcBorders>
              <w:top w:val="single" w:sz="8" w:color="4F81BD"/>
              <w:left w:val="single" w:sz="8" w:color="auto"/>
            </w:tcBorders>
            <w:shd w:val="clear" w:color="auto" w:fill="000000"/>
          </w:tcPr>
          <w:p>
            <w:pPr>
              <w:spacing w:after="0" w:line="20" w:lineRule="exact"/>
              <w:rPr>
                <w:sz w:val="1"/>
                <w:szCs w:val="1"/>
                <w:color w:val="auto"/>
              </w:rPr>
            </w:pPr>
          </w:p>
        </w:tc>
        <w:tc>
          <w:tcPr>
            <w:tcW w:w="660" w:type="dxa"/>
            <w:vAlign w:val="bottom"/>
            <w:tcBorders>
              <w:top w:val="single" w:sz="8" w:color="4F81BD"/>
            </w:tcBorders>
            <w:shd w:val="clear" w:color="auto" w:fill="000000"/>
          </w:tcPr>
          <w:p>
            <w:pPr>
              <w:spacing w:after="0" w:line="20" w:lineRule="exact"/>
              <w:rPr>
                <w:sz w:val="1"/>
                <w:szCs w:val="1"/>
                <w:color w:val="auto"/>
              </w:rPr>
            </w:pPr>
          </w:p>
        </w:tc>
        <w:tc>
          <w:tcPr>
            <w:tcW w:w="620" w:type="dxa"/>
            <w:vAlign w:val="bottom"/>
            <w:tcBorders>
              <w:top w:val="single" w:sz="8" w:color="4F81BD"/>
            </w:tcBorders>
            <w:shd w:val="clear" w:color="auto" w:fill="000000"/>
          </w:tcPr>
          <w:p>
            <w:pPr>
              <w:spacing w:after="0" w:line="20" w:lineRule="exact"/>
              <w:rPr>
                <w:sz w:val="1"/>
                <w:szCs w:val="1"/>
                <w:color w:val="auto"/>
              </w:rPr>
            </w:pPr>
          </w:p>
        </w:tc>
        <w:tc>
          <w:tcPr>
            <w:tcW w:w="160" w:type="dxa"/>
            <w:vAlign w:val="bottom"/>
            <w:tcBorders>
              <w:top w:val="single" w:sz="8" w:color="4F81BD"/>
            </w:tcBorders>
            <w:shd w:val="clear" w:color="auto" w:fill="000000"/>
          </w:tcPr>
          <w:p>
            <w:pPr>
              <w:spacing w:after="0" w:line="20" w:lineRule="exact"/>
              <w:rPr>
                <w:sz w:val="1"/>
                <w:szCs w:val="1"/>
                <w:color w:val="auto"/>
              </w:rPr>
            </w:pPr>
          </w:p>
        </w:tc>
        <w:tc>
          <w:tcPr>
            <w:tcW w:w="300" w:type="dxa"/>
            <w:vAlign w:val="bottom"/>
            <w:tcBorders>
              <w:top w:val="single" w:sz="8" w:color="4F81BD"/>
            </w:tcBorders>
            <w:shd w:val="clear" w:color="auto" w:fill="000000"/>
          </w:tcPr>
          <w:p>
            <w:pPr>
              <w:spacing w:after="0" w:line="20" w:lineRule="exact"/>
              <w:rPr>
                <w:sz w:val="1"/>
                <w:szCs w:val="1"/>
                <w:color w:val="auto"/>
              </w:rPr>
            </w:pPr>
          </w:p>
        </w:tc>
        <w:tc>
          <w:tcPr>
            <w:tcW w:w="40" w:type="dxa"/>
            <w:vAlign w:val="bottom"/>
            <w:tcBorders>
              <w:top w:val="single" w:sz="8" w:color="4F81BD"/>
            </w:tcBorders>
            <w:shd w:val="clear" w:color="auto" w:fill="000000"/>
          </w:tcPr>
          <w:p>
            <w:pPr>
              <w:spacing w:after="0" w:line="20" w:lineRule="exact"/>
              <w:rPr>
                <w:sz w:val="1"/>
                <w:szCs w:val="1"/>
                <w:color w:val="auto"/>
              </w:rPr>
            </w:pPr>
          </w:p>
        </w:tc>
        <w:tc>
          <w:tcPr>
            <w:tcW w:w="200" w:type="dxa"/>
            <w:vAlign w:val="bottom"/>
            <w:tcBorders>
              <w:top w:val="single" w:sz="8" w:color="4F81BD"/>
            </w:tcBorders>
            <w:shd w:val="clear" w:color="auto" w:fill="000000"/>
          </w:tcPr>
          <w:p>
            <w:pPr>
              <w:spacing w:after="0" w:line="20" w:lineRule="exact"/>
              <w:rPr>
                <w:sz w:val="1"/>
                <w:szCs w:val="1"/>
                <w:color w:val="auto"/>
              </w:rPr>
            </w:pPr>
          </w:p>
        </w:tc>
        <w:tc>
          <w:tcPr>
            <w:tcW w:w="100" w:type="dxa"/>
            <w:vAlign w:val="bottom"/>
            <w:tcBorders>
              <w:top w:val="single" w:sz="8" w:color="4F81BD"/>
            </w:tcBorders>
            <w:shd w:val="clear" w:color="auto" w:fill="000000"/>
          </w:tcPr>
          <w:p>
            <w:pPr>
              <w:spacing w:after="0" w:line="20" w:lineRule="exact"/>
              <w:rPr>
                <w:sz w:val="1"/>
                <w:szCs w:val="1"/>
                <w:color w:val="auto"/>
              </w:rPr>
            </w:pPr>
          </w:p>
        </w:tc>
        <w:tc>
          <w:tcPr>
            <w:tcW w:w="400" w:type="dxa"/>
            <w:vAlign w:val="bottom"/>
            <w:tcBorders>
              <w:top w:val="single" w:sz="8" w:color="4F81BD"/>
            </w:tcBorders>
            <w:shd w:val="clear" w:color="auto" w:fill="000000"/>
          </w:tcPr>
          <w:p>
            <w:pPr>
              <w:spacing w:after="0" w:line="20" w:lineRule="exact"/>
              <w:rPr>
                <w:sz w:val="1"/>
                <w:szCs w:val="1"/>
                <w:color w:val="auto"/>
              </w:rPr>
            </w:pPr>
          </w:p>
        </w:tc>
        <w:tc>
          <w:tcPr>
            <w:tcW w:w="80" w:type="dxa"/>
            <w:vAlign w:val="bottom"/>
            <w:tcBorders>
              <w:top w:val="single" w:sz="8" w:color="4F81BD"/>
            </w:tcBorders>
            <w:shd w:val="clear" w:color="auto" w:fill="000000"/>
          </w:tcPr>
          <w:p>
            <w:pPr>
              <w:spacing w:after="0" w:line="20" w:lineRule="exact"/>
              <w:rPr>
                <w:sz w:val="1"/>
                <w:szCs w:val="1"/>
                <w:color w:val="auto"/>
              </w:rPr>
            </w:pPr>
          </w:p>
        </w:tc>
        <w:tc>
          <w:tcPr>
            <w:tcW w:w="260" w:type="dxa"/>
            <w:vAlign w:val="bottom"/>
            <w:tcBorders>
              <w:top w:val="single" w:sz="8" w:color="4F81BD"/>
            </w:tcBorders>
            <w:shd w:val="clear" w:color="auto" w:fill="000000"/>
          </w:tcPr>
          <w:p>
            <w:pPr>
              <w:spacing w:after="0" w:line="20" w:lineRule="exact"/>
              <w:rPr>
                <w:sz w:val="1"/>
                <w:szCs w:val="1"/>
                <w:color w:val="auto"/>
              </w:rPr>
            </w:pPr>
          </w:p>
        </w:tc>
        <w:tc>
          <w:tcPr>
            <w:tcW w:w="40" w:type="dxa"/>
            <w:vAlign w:val="bottom"/>
            <w:tcBorders>
              <w:top w:val="single" w:sz="8" w:color="4F81BD"/>
            </w:tcBorders>
            <w:shd w:val="clear" w:color="auto" w:fill="000000"/>
          </w:tcPr>
          <w:p>
            <w:pPr>
              <w:spacing w:after="0" w:line="20" w:lineRule="exact"/>
              <w:rPr>
                <w:sz w:val="1"/>
                <w:szCs w:val="1"/>
                <w:color w:val="auto"/>
              </w:rPr>
            </w:pPr>
          </w:p>
        </w:tc>
        <w:tc>
          <w:tcPr>
            <w:tcW w:w="60" w:type="dxa"/>
            <w:vAlign w:val="bottom"/>
            <w:tcBorders>
              <w:top w:val="single" w:sz="8" w:color="4F81BD"/>
            </w:tcBorders>
            <w:shd w:val="clear" w:color="auto" w:fill="000000"/>
          </w:tcPr>
          <w:p>
            <w:pPr>
              <w:spacing w:after="0" w:line="20" w:lineRule="exact"/>
              <w:rPr>
                <w:sz w:val="1"/>
                <w:szCs w:val="1"/>
                <w:color w:val="auto"/>
              </w:rPr>
            </w:pPr>
          </w:p>
        </w:tc>
        <w:tc>
          <w:tcPr>
            <w:tcW w:w="80" w:type="dxa"/>
            <w:vAlign w:val="bottom"/>
            <w:tcBorders>
              <w:top w:val="single" w:sz="8" w:color="4F81BD"/>
            </w:tcBorders>
            <w:shd w:val="clear" w:color="auto" w:fill="000000"/>
          </w:tcPr>
          <w:p>
            <w:pPr>
              <w:spacing w:after="0" w:line="20" w:lineRule="exact"/>
              <w:rPr>
                <w:sz w:val="1"/>
                <w:szCs w:val="1"/>
                <w:color w:val="auto"/>
              </w:rPr>
            </w:pPr>
          </w:p>
        </w:tc>
        <w:tc>
          <w:tcPr>
            <w:tcW w:w="100" w:type="dxa"/>
            <w:vAlign w:val="bottom"/>
            <w:tcBorders>
              <w:top w:val="single" w:sz="8" w:color="4F81BD"/>
            </w:tcBorders>
            <w:shd w:val="clear" w:color="auto" w:fill="000000"/>
          </w:tcPr>
          <w:p>
            <w:pPr>
              <w:spacing w:after="0" w:line="20" w:lineRule="exact"/>
              <w:rPr>
                <w:sz w:val="1"/>
                <w:szCs w:val="1"/>
                <w:color w:val="auto"/>
              </w:rPr>
            </w:pPr>
          </w:p>
        </w:tc>
        <w:tc>
          <w:tcPr>
            <w:tcW w:w="140" w:type="dxa"/>
            <w:vAlign w:val="bottom"/>
            <w:tcBorders>
              <w:top w:val="single" w:sz="8" w:color="4F81BD"/>
            </w:tcBorders>
            <w:shd w:val="clear" w:color="auto" w:fill="000000"/>
          </w:tcPr>
          <w:p>
            <w:pPr>
              <w:spacing w:after="0" w:line="20" w:lineRule="exact"/>
              <w:rPr>
                <w:sz w:val="1"/>
                <w:szCs w:val="1"/>
                <w:color w:val="auto"/>
              </w:rPr>
            </w:pPr>
          </w:p>
        </w:tc>
        <w:tc>
          <w:tcPr>
            <w:tcW w:w="40" w:type="dxa"/>
            <w:vAlign w:val="bottom"/>
            <w:tcBorders>
              <w:top w:val="single" w:sz="8" w:color="4F81BD"/>
            </w:tcBorders>
            <w:shd w:val="clear" w:color="auto" w:fill="000000"/>
          </w:tcPr>
          <w:p>
            <w:pPr>
              <w:spacing w:after="0" w:line="20" w:lineRule="exact"/>
              <w:rPr>
                <w:sz w:val="1"/>
                <w:szCs w:val="1"/>
                <w:color w:val="auto"/>
              </w:rPr>
            </w:pPr>
          </w:p>
        </w:tc>
        <w:tc>
          <w:tcPr>
            <w:tcW w:w="620" w:type="dxa"/>
            <w:vAlign w:val="bottom"/>
            <w:tcBorders>
              <w:top w:val="single" w:sz="8" w:color="4F81BD"/>
            </w:tcBorders>
            <w:shd w:val="clear" w:color="auto" w:fill="000000"/>
          </w:tcPr>
          <w:p>
            <w:pPr>
              <w:spacing w:after="0" w:line="20" w:lineRule="exact"/>
              <w:rPr>
                <w:sz w:val="1"/>
                <w:szCs w:val="1"/>
                <w:color w:val="auto"/>
              </w:rPr>
            </w:pPr>
          </w:p>
        </w:tc>
        <w:tc>
          <w:tcPr>
            <w:tcW w:w="40" w:type="dxa"/>
            <w:vAlign w:val="bottom"/>
            <w:tcBorders>
              <w:top w:val="single" w:sz="8" w:color="4F81BD"/>
            </w:tcBorders>
            <w:shd w:val="clear" w:color="auto" w:fill="000000"/>
          </w:tcPr>
          <w:p>
            <w:pPr>
              <w:spacing w:after="0" w:line="20" w:lineRule="exact"/>
              <w:rPr>
                <w:sz w:val="1"/>
                <w:szCs w:val="1"/>
                <w:color w:val="auto"/>
              </w:rPr>
            </w:pPr>
          </w:p>
        </w:tc>
        <w:tc>
          <w:tcPr>
            <w:tcW w:w="340" w:type="dxa"/>
            <w:vAlign w:val="bottom"/>
            <w:tcBorders>
              <w:top w:val="single" w:sz="8" w:color="4F81BD"/>
            </w:tcBorders>
            <w:shd w:val="clear" w:color="auto" w:fill="000000"/>
          </w:tcPr>
          <w:p>
            <w:pPr>
              <w:spacing w:after="0" w:line="20" w:lineRule="exact"/>
              <w:rPr>
                <w:sz w:val="1"/>
                <w:szCs w:val="1"/>
                <w:color w:val="auto"/>
              </w:rPr>
            </w:pPr>
          </w:p>
        </w:tc>
        <w:tc>
          <w:tcPr>
            <w:tcW w:w="40" w:type="dxa"/>
            <w:vAlign w:val="bottom"/>
            <w:tcBorders>
              <w:top w:val="single" w:sz="8" w:color="4F81BD"/>
            </w:tcBorders>
            <w:shd w:val="clear" w:color="auto" w:fill="000000"/>
          </w:tcPr>
          <w:p>
            <w:pPr>
              <w:spacing w:after="0" w:line="20" w:lineRule="exact"/>
              <w:rPr>
                <w:sz w:val="1"/>
                <w:szCs w:val="1"/>
                <w:color w:val="auto"/>
              </w:rPr>
            </w:pPr>
          </w:p>
        </w:tc>
        <w:tc>
          <w:tcPr>
            <w:tcW w:w="300" w:type="dxa"/>
            <w:vAlign w:val="bottom"/>
            <w:tcBorders>
              <w:top w:val="single" w:sz="8" w:color="4F81BD"/>
            </w:tcBorders>
            <w:shd w:val="clear" w:color="auto" w:fill="000000"/>
          </w:tcPr>
          <w:p>
            <w:pPr>
              <w:spacing w:after="0" w:line="20" w:lineRule="exact"/>
              <w:rPr>
                <w:sz w:val="1"/>
                <w:szCs w:val="1"/>
                <w:color w:val="auto"/>
              </w:rPr>
            </w:pPr>
          </w:p>
        </w:tc>
        <w:tc>
          <w:tcPr>
            <w:tcW w:w="340" w:type="dxa"/>
            <w:vAlign w:val="bottom"/>
            <w:tcBorders>
              <w:top w:val="single" w:sz="8" w:color="4F81BD"/>
            </w:tcBorders>
            <w:shd w:val="clear" w:color="auto" w:fill="000000"/>
          </w:tcPr>
          <w:p>
            <w:pPr>
              <w:spacing w:after="0" w:line="20" w:lineRule="exact"/>
              <w:rPr>
                <w:sz w:val="1"/>
                <w:szCs w:val="1"/>
                <w:color w:val="auto"/>
              </w:rPr>
            </w:pPr>
          </w:p>
        </w:tc>
        <w:tc>
          <w:tcPr>
            <w:tcW w:w="140" w:type="dxa"/>
            <w:vAlign w:val="bottom"/>
            <w:tcBorders>
              <w:top w:val="single" w:sz="8" w:color="4F81BD"/>
            </w:tcBorders>
            <w:shd w:val="clear" w:color="auto" w:fill="000000"/>
          </w:tcPr>
          <w:p>
            <w:pPr>
              <w:spacing w:after="0" w:line="20" w:lineRule="exact"/>
              <w:rPr>
                <w:sz w:val="1"/>
                <w:szCs w:val="1"/>
                <w:color w:val="auto"/>
              </w:rPr>
            </w:pPr>
          </w:p>
        </w:tc>
        <w:tc>
          <w:tcPr>
            <w:tcW w:w="320" w:type="dxa"/>
            <w:vAlign w:val="bottom"/>
            <w:tcBorders>
              <w:top w:val="single" w:sz="8" w:color="4F81BD"/>
            </w:tcBorders>
            <w:shd w:val="clear" w:color="auto" w:fill="000000"/>
          </w:tcPr>
          <w:p>
            <w:pPr>
              <w:spacing w:after="0" w:line="20" w:lineRule="exact"/>
              <w:rPr>
                <w:sz w:val="1"/>
                <w:szCs w:val="1"/>
                <w:color w:val="auto"/>
              </w:rPr>
            </w:pPr>
          </w:p>
        </w:tc>
        <w:tc>
          <w:tcPr>
            <w:tcW w:w="300" w:type="dxa"/>
            <w:vAlign w:val="bottom"/>
            <w:tcBorders>
              <w:top w:val="single" w:sz="8" w:color="4F81BD"/>
            </w:tcBorders>
            <w:shd w:val="clear" w:color="auto" w:fill="000000"/>
          </w:tcPr>
          <w:p>
            <w:pPr>
              <w:spacing w:after="0" w:line="20" w:lineRule="exact"/>
              <w:rPr>
                <w:sz w:val="1"/>
                <w:szCs w:val="1"/>
                <w:color w:val="auto"/>
              </w:rPr>
            </w:pPr>
          </w:p>
        </w:tc>
        <w:tc>
          <w:tcPr>
            <w:tcW w:w="40" w:type="dxa"/>
            <w:vAlign w:val="bottom"/>
            <w:tcBorders>
              <w:top w:val="single" w:sz="8" w:color="4F81BD"/>
            </w:tcBorders>
            <w:shd w:val="clear" w:color="auto" w:fill="000000"/>
          </w:tcPr>
          <w:p>
            <w:pPr>
              <w:spacing w:after="0" w:line="20" w:lineRule="exact"/>
              <w:rPr>
                <w:sz w:val="1"/>
                <w:szCs w:val="1"/>
                <w:color w:val="auto"/>
              </w:rPr>
            </w:pPr>
          </w:p>
        </w:tc>
        <w:tc>
          <w:tcPr>
            <w:tcW w:w="820" w:type="dxa"/>
            <w:vAlign w:val="bottom"/>
            <w:tcBorders>
              <w:top w:val="single" w:sz="8" w:color="4F81BD"/>
            </w:tcBorders>
            <w:shd w:val="clear" w:color="auto" w:fill="000000"/>
          </w:tcPr>
          <w:p>
            <w:pPr>
              <w:spacing w:after="0" w:line="20" w:lineRule="exact"/>
              <w:rPr>
                <w:sz w:val="1"/>
                <w:szCs w:val="1"/>
                <w:color w:val="auto"/>
              </w:rPr>
            </w:pPr>
          </w:p>
        </w:tc>
        <w:tc>
          <w:tcPr>
            <w:tcW w:w="680" w:type="dxa"/>
            <w:vAlign w:val="bottom"/>
            <w:tcBorders>
              <w:top w:val="single" w:sz="8" w:color="4F81BD"/>
            </w:tcBorders>
            <w:shd w:val="clear" w:color="auto" w:fill="000000"/>
          </w:tcPr>
          <w:p>
            <w:pPr>
              <w:spacing w:after="0" w:line="20" w:lineRule="exact"/>
              <w:rPr>
                <w:sz w:val="1"/>
                <w:szCs w:val="1"/>
                <w:color w:val="auto"/>
              </w:rPr>
            </w:pPr>
          </w:p>
        </w:tc>
        <w:tc>
          <w:tcPr>
            <w:tcW w:w="140" w:type="dxa"/>
            <w:vAlign w:val="bottom"/>
            <w:tcBorders>
              <w:top w:val="single" w:sz="8" w:color="4F81BD"/>
            </w:tcBorders>
            <w:shd w:val="clear" w:color="auto" w:fill="000000"/>
          </w:tcPr>
          <w:p>
            <w:pPr>
              <w:spacing w:after="0" w:line="20" w:lineRule="exact"/>
              <w:rPr>
                <w:sz w:val="1"/>
                <w:szCs w:val="1"/>
                <w:color w:val="auto"/>
              </w:rPr>
            </w:pPr>
          </w:p>
        </w:tc>
        <w:tc>
          <w:tcPr>
            <w:tcW w:w="180" w:type="dxa"/>
            <w:vAlign w:val="bottom"/>
            <w:tcBorders>
              <w:top w:val="single" w:sz="8" w:color="4F81BD"/>
              <w:right w:val="single" w:sz="8" w:color="auto"/>
            </w:tcBorders>
            <w:shd w:val="clear" w:color="auto" w:fill="000000"/>
          </w:tcPr>
          <w:p>
            <w:pPr>
              <w:spacing w:after="0" w:line="20" w:lineRule="exact"/>
              <w:rPr>
                <w:sz w:val="1"/>
                <w:szCs w:val="1"/>
                <w:color w:val="auto"/>
              </w:rPr>
            </w:pPr>
          </w:p>
        </w:tc>
        <w:tc>
          <w:tcPr>
            <w:tcW w:w="1040" w:type="dxa"/>
            <w:vAlign w:val="bottom"/>
            <w:tcBorders>
              <w:top w:val="single" w:sz="8" w:color="4F81BD"/>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3352165</wp:posOffset>
            </wp:positionV>
            <wp:extent cx="720788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2558415</wp:posOffset>
            </wp:positionH>
            <wp:positionV relativeFrom="page">
              <wp:posOffset>986790</wp:posOffset>
            </wp:positionV>
            <wp:extent cx="2489200"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892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40"/>
        <w:spacing w:after="0"/>
        <w:rPr>
          <w:sz w:val="20"/>
          <w:szCs w:val="20"/>
          <w:color w:val="auto"/>
        </w:rPr>
      </w:pPr>
      <w:r>
        <w:rPr>
          <w:rFonts w:ascii="Arial" w:cs="Arial" w:eastAsia="Arial" w:hAnsi="Arial"/>
          <w:sz w:val="27"/>
          <w:szCs w:val="27"/>
          <w:b w:val="1"/>
          <w:bCs w:val="1"/>
          <w:color w:val="9E318D"/>
        </w:rPr>
        <w:t>PROXY STATEMENT</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27"/>
          <w:szCs w:val="27"/>
          <w:b w:val="1"/>
          <w:bCs w:val="1"/>
          <w:color w:val="9E318D"/>
        </w:rPr>
        <w:t>INFORMATION ABOUT THE 2026 ANNUAL MEETING OF</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27"/>
          <w:szCs w:val="27"/>
          <w:b w:val="1"/>
          <w:bCs w:val="1"/>
          <w:color w:val="9E318D"/>
        </w:rPr>
        <w:t>STOCKHOLDERS AND VOTING AT THE MEETING</w:t>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Why did you send me the Notice Regarding the Availability of Proxy Materials?</w:t>
      </w:r>
    </w:p>
    <w:p>
      <w:pPr>
        <w:spacing w:after="0" w:line="128"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We sent you the Notice Regarding the Availability of Proxy Materials (the “Notice”) because the Board of Directors (the “Board”) of Innospec Inc. (“Innospec” or the “Company”) is soliciting your proxy to vote at the 2026 Annual Meeting of Stockholders, which will be held on Friday, May 8, 2026 at 10.00 a.m. Eastern Time, at The St. Regis New York, Two East 55th Street, at Fifth Avenue, New York, USA, 10022.</w:t>
      </w:r>
    </w:p>
    <w:p>
      <w:pPr>
        <w:spacing w:after="0" w:line="82"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This Proxy Statement summarizes the information you need to vote at the Annual Meeting. You do not need to attend the Annual Meeting to vote your stock. Alternatively, you may simply vote by telephone, over the internet, or, if you have requested written proxy materials, by completing, signing and returning the accompanying proxy card.</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Innospec intends to commence distribution of the Notice to stockholders on or about March 27, 2026.</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proposals will be voted on at the Annual Meeting of Stockholders?</w:t>
      </w:r>
    </w:p>
    <w:p>
      <w:pPr>
        <w:spacing w:after="0" w:line="117"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You are being asked to consider and vote on three proposals at the Annual Meeting. The following is a summary of the proposals and the voting recommendations of the Board with respect to each proposal:</w:t>
      </w:r>
    </w:p>
    <w:p>
      <w:pPr>
        <w:sectPr>
          <w:pgSz w:w="11900" w:h="16838" w:orient="portrait"/>
          <w:cols w:equalWidth="0" w:num="1">
            <w:col w:w="9019"/>
          </w:cols>
          <w:pgMar w:left="1440" w:top="1440" w:right="1440" w:bottom="1440" w:gutter="0" w:footer="0" w:header="0"/>
        </w:sectPr>
      </w:pPr>
    </w:p>
    <w:p>
      <w:pPr>
        <w:spacing w:after="0" w:line="275"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5"/>
          <w:szCs w:val="15"/>
          <w:b w:val="1"/>
          <w:bCs w:val="1"/>
          <w:color w:val="9E318D"/>
        </w:rPr>
        <w:t>NO.</w:t>
      </w:r>
      <w:r>
        <w:rPr>
          <w:sz w:val="20"/>
          <w:szCs w:val="20"/>
          <w:color w:val="auto"/>
        </w:rPr>
        <w:tab/>
      </w:r>
      <w:r>
        <w:rPr>
          <w:rFonts w:ascii="Arial" w:cs="Arial" w:eastAsia="Arial" w:hAnsi="Arial"/>
          <w:sz w:val="15"/>
          <w:szCs w:val="15"/>
          <w:b w:val="1"/>
          <w:bCs w:val="1"/>
          <w:color w:val="9E318D"/>
        </w:rPr>
        <w:t>PROPOSAL</w:t>
      </w:r>
    </w:p>
    <w:p>
      <w:pPr>
        <w:spacing w:after="0" w:line="150" w:lineRule="exact"/>
        <w:rPr>
          <w:sz w:val="20"/>
          <w:szCs w:val="20"/>
          <w:color w:val="auto"/>
        </w:rPr>
      </w:pPr>
    </w:p>
    <w:p>
      <w:pPr>
        <w:ind w:left="840" w:hanging="575"/>
        <w:spacing w:after="0"/>
        <w:tabs>
          <w:tab w:leader="none" w:pos="840" w:val="left"/>
        </w:tabs>
        <w:numPr>
          <w:ilvl w:val="0"/>
          <w:numId w:val="4"/>
        </w:numPr>
        <w:rPr>
          <w:rFonts w:ascii="Arial" w:cs="Arial" w:eastAsia="Arial" w:hAnsi="Arial"/>
          <w:sz w:val="15"/>
          <w:szCs w:val="15"/>
          <w:color w:val="auto"/>
        </w:rPr>
      </w:pPr>
      <w:r>
        <w:rPr>
          <w:rFonts w:ascii="Arial" w:cs="Arial" w:eastAsia="Arial" w:hAnsi="Arial"/>
          <w:sz w:val="15"/>
          <w:szCs w:val="15"/>
          <w:color w:val="auto"/>
        </w:rPr>
        <w:t>Election of two Class I Directors</w:t>
      </w:r>
    </w:p>
    <w:p>
      <w:pPr>
        <w:spacing w:after="0" w:line="295" w:lineRule="exact"/>
        <w:rPr>
          <w:sz w:val="20"/>
          <w:szCs w:val="20"/>
          <w:color w:val="auto"/>
        </w:rPr>
      </w:pPr>
    </w:p>
    <w:p>
      <w:pPr>
        <w:ind w:left="840" w:hanging="575"/>
        <w:spacing w:after="0"/>
        <w:tabs>
          <w:tab w:leader="none" w:pos="8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Advisory approval of the Company’s executive compensation</w:t>
      </w:r>
    </w:p>
    <w:p>
      <w:pPr>
        <w:spacing w:after="0" w:line="207" w:lineRule="exact"/>
        <w:rPr>
          <w:sz w:val="20"/>
          <w:szCs w:val="20"/>
          <w:color w:val="auto"/>
        </w:rPr>
      </w:pPr>
    </w:p>
    <w:p>
      <w:pPr>
        <w:ind w:left="840" w:hanging="575"/>
        <w:spacing w:after="0" w:line="181" w:lineRule="auto"/>
        <w:tabs>
          <w:tab w:leader="none" w:pos="840" w:val="left"/>
        </w:tabs>
        <w:numPr>
          <w:ilvl w:val="0"/>
          <w:numId w:val="6"/>
        </w:numPr>
        <w:rPr>
          <w:rFonts w:ascii="Arial" w:cs="Arial" w:eastAsia="Arial" w:hAnsi="Arial"/>
          <w:sz w:val="29"/>
          <w:szCs w:val="29"/>
          <w:color w:val="auto"/>
          <w:vertAlign w:val="subscript"/>
        </w:rPr>
      </w:pPr>
      <w:r>
        <w:rPr>
          <w:rFonts w:ascii="Arial" w:cs="Arial" w:eastAsia="Arial" w:hAnsi="Arial"/>
          <w:sz w:val="14"/>
          <w:szCs w:val="14"/>
          <w:color w:val="auto"/>
        </w:rPr>
        <w:t>Ratification of the appointment of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243205</wp:posOffset>
            </wp:positionV>
            <wp:extent cx="5542280" cy="415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42280" cy="415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100" w:type="dxa"/>
            <w:vAlign w:val="bottom"/>
          </w:tcPr>
          <w:p>
            <w:pPr>
              <w:jc w:val="center"/>
              <w:ind w:right="126"/>
              <w:spacing w:after="0"/>
              <w:rPr>
                <w:sz w:val="20"/>
                <w:szCs w:val="20"/>
                <w:color w:val="auto"/>
              </w:rPr>
            </w:pPr>
            <w:r>
              <w:rPr>
                <w:rFonts w:ascii="Arial" w:cs="Arial" w:eastAsia="Arial" w:hAnsi="Arial"/>
                <w:sz w:val="15"/>
                <w:szCs w:val="15"/>
                <w:b w:val="1"/>
                <w:bCs w:val="1"/>
                <w:color w:val="9E318D"/>
                <w:w w:val="99"/>
              </w:rPr>
              <w:t>HOW THE BOARD</w:t>
            </w:r>
          </w:p>
        </w:tc>
        <w:tc>
          <w:tcPr>
            <w:tcW w:w="1220" w:type="dxa"/>
            <w:vAlign w:val="bottom"/>
          </w:tcPr>
          <w:p>
            <w:pPr>
              <w:jc w:val="center"/>
              <w:ind w:left="106"/>
              <w:spacing w:after="0"/>
              <w:rPr>
                <w:sz w:val="20"/>
                <w:szCs w:val="20"/>
                <w:color w:val="auto"/>
              </w:rPr>
            </w:pPr>
            <w:r>
              <w:rPr>
                <w:rFonts w:ascii="Arial" w:cs="Arial" w:eastAsia="Arial" w:hAnsi="Arial"/>
                <w:sz w:val="15"/>
                <w:szCs w:val="15"/>
                <w:b w:val="1"/>
                <w:bCs w:val="1"/>
                <w:color w:val="9E318D"/>
                <w:w w:val="97"/>
              </w:rPr>
              <w:t>MORE</w:t>
            </w:r>
          </w:p>
        </w:tc>
      </w:tr>
      <w:tr>
        <w:trPr>
          <w:trHeight w:val="202"/>
        </w:trPr>
        <w:tc>
          <w:tcPr>
            <w:tcW w:w="2100" w:type="dxa"/>
            <w:vAlign w:val="bottom"/>
          </w:tcPr>
          <w:p>
            <w:pPr>
              <w:jc w:val="center"/>
              <w:ind w:right="126"/>
              <w:spacing w:after="0"/>
              <w:rPr>
                <w:sz w:val="20"/>
                <w:szCs w:val="20"/>
                <w:color w:val="auto"/>
              </w:rPr>
            </w:pPr>
            <w:r>
              <w:rPr>
                <w:rFonts w:ascii="Arial" w:cs="Arial" w:eastAsia="Arial" w:hAnsi="Arial"/>
                <w:sz w:val="15"/>
                <w:szCs w:val="15"/>
                <w:b w:val="1"/>
                <w:bCs w:val="1"/>
                <w:color w:val="9E318D"/>
                <w:w w:val="99"/>
              </w:rPr>
              <w:t>RECOMMENDS YOU VOTE</w:t>
            </w:r>
          </w:p>
        </w:tc>
        <w:tc>
          <w:tcPr>
            <w:tcW w:w="1220" w:type="dxa"/>
            <w:vAlign w:val="bottom"/>
          </w:tcPr>
          <w:p>
            <w:pPr>
              <w:jc w:val="center"/>
              <w:ind w:left="106"/>
              <w:spacing w:after="0"/>
              <w:rPr>
                <w:sz w:val="20"/>
                <w:szCs w:val="20"/>
                <w:color w:val="auto"/>
              </w:rPr>
            </w:pPr>
            <w:r>
              <w:rPr>
                <w:rFonts w:ascii="Arial" w:cs="Arial" w:eastAsia="Arial" w:hAnsi="Arial"/>
                <w:sz w:val="15"/>
                <w:szCs w:val="15"/>
                <w:b w:val="1"/>
                <w:bCs w:val="1"/>
                <w:color w:val="9E318D"/>
                <w:w w:val="98"/>
              </w:rPr>
              <w:t>INFORMATION</w:t>
            </w:r>
          </w:p>
        </w:tc>
      </w:tr>
      <w:tr>
        <w:trPr>
          <w:trHeight w:val="323"/>
        </w:trPr>
        <w:tc>
          <w:tcPr>
            <w:tcW w:w="2100" w:type="dxa"/>
            <w:vAlign w:val="bottom"/>
          </w:tcPr>
          <w:p>
            <w:pPr>
              <w:ind w:left="440"/>
              <w:spacing w:after="0"/>
              <w:rPr>
                <w:sz w:val="20"/>
                <w:szCs w:val="20"/>
                <w:color w:val="auto"/>
              </w:rPr>
            </w:pPr>
            <w:r>
              <w:rPr>
                <w:rFonts w:ascii="Arial" w:cs="Arial" w:eastAsia="Arial" w:hAnsi="Arial"/>
                <w:sz w:val="15"/>
                <w:szCs w:val="15"/>
                <w:b w:val="1"/>
                <w:bCs w:val="1"/>
                <w:color w:val="auto"/>
              </w:rPr>
              <w:t>FOR ALL NOMINEES</w:t>
            </w:r>
          </w:p>
        </w:tc>
        <w:tc>
          <w:tcPr>
            <w:tcW w:w="1220" w:type="dxa"/>
            <w:vAlign w:val="bottom"/>
          </w:tcPr>
          <w:p>
            <w:pPr>
              <w:jc w:val="center"/>
              <w:ind w:left="106"/>
              <w:spacing w:after="0"/>
              <w:rPr>
                <w:sz w:val="20"/>
                <w:szCs w:val="20"/>
                <w:color w:val="auto"/>
              </w:rPr>
            </w:pPr>
            <w:r>
              <w:rPr>
                <w:rFonts w:ascii="Arial" w:cs="Arial" w:eastAsia="Arial" w:hAnsi="Arial"/>
                <w:sz w:val="15"/>
                <w:szCs w:val="15"/>
                <w:color w:val="auto"/>
              </w:rPr>
              <w:t>Page 32</w:t>
            </w:r>
          </w:p>
        </w:tc>
      </w:tr>
      <w:tr>
        <w:trPr>
          <w:trHeight w:val="468"/>
        </w:trPr>
        <w:tc>
          <w:tcPr>
            <w:tcW w:w="2100" w:type="dxa"/>
            <w:vAlign w:val="bottom"/>
          </w:tcPr>
          <w:p>
            <w:pPr>
              <w:ind w:left="440"/>
              <w:spacing w:after="0"/>
              <w:rPr>
                <w:sz w:val="20"/>
                <w:szCs w:val="20"/>
                <w:color w:val="auto"/>
              </w:rPr>
            </w:pPr>
            <w:r>
              <w:rPr>
                <w:rFonts w:ascii="Arial" w:cs="Arial" w:eastAsia="Arial" w:hAnsi="Arial"/>
                <w:sz w:val="15"/>
                <w:szCs w:val="15"/>
                <w:b w:val="1"/>
                <w:bCs w:val="1"/>
                <w:color w:val="auto"/>
              </w:rPr>
              <w:t>FOR</w:t>
            </w:r>
          </w:p>
        </w:tc>
        <w:tc>
          <w:tcPr>
            <w:tcW w:w="1220" w:type="dxa"/>
            <w:vAlign w:val="bottom"/>
          </w:tcPr>
          <w:p>
            <w:pPr>
              <w:jc w:val="center"/>
              <w:ind w:left="106"/>
              <w:spacing w:after="0"/>
              <w:rPr>
                <w:sz w:val="20"/>
                <w:szCs w:val="20"/>
                <w:color w:val="auto"/>
              </w:rPr>
            </w:pPr>
            <w:r>
              <w:rPr>
                <w:rFonts w:ascii="Arial" w:cs="Arial" w:eastAsia="Arial" w:hAnsi="Arial"/>
                <w:sz w:val="15"/>
                <w:szCs w:val="15"/>
                <w:color w:val="auto"/>
              </w:rPr>
              <w:t>Page 49</w:t>
            </w:r>
          </w:p>
        </w:tc>
      </w:tr>
      <w:tr>
        <w:trPr>
          <w:trHeight w:val="457"/>
        </w:trPr>
        <w:tc>
          <w:tcPr>
            <w:tcW w:w="2100" w:type="dxa"/>
            <w:vAlign w:val="bottom"/>
          </w:tcPr>
          <w:p>
            <w:pPr>
              <w:ind w:left="440"/>
              <w:spacing w:after="0"/>
              <w:rPr>
                <w:sz w:val="20"/>
                <w:szCs w:val="20"/>
                <w:color w:val="auto"/>
              </w:rPr>
            </w:pPr>
            <w:r>
              <w:rPr>
                <w:rFonts w:ascii="Arial" w:cs="Arial" w:eastAsia="Arial" w:hAnsi="Arial"/>
                <w:sz w:val="15"/>
                <w:szCs w:val="15"/>
                <w:b w:val="1"/>
                <w:bCs w:val="1"/>
                <w:color w:val="auto"/>
              </w:rPr>
              <w:t>FOR</w:t>
            </w:r>
          </w:p>
        </w:tc>
        <w:tc>
          <w:tcPr>
            <w:tcW w:w="1220" w:type="dxa"/>
            <w:vAlign w:val="bottom"/>
          </w:tcPr>
          <w:p>
            <w:pPr>
              <w:jc w:val="center"/>
              <w:ind w:left="106"/>
              <w:spacing w:after="0"/>
              <w:rPr>
                <w:sz w:val="20"/>
                <w:szCs w:val="20"/>
                <w:color w:val="auto"/>
              </w:rPr>
            </w:pPr>
            <w:r>
              <w:rPr>
                <w:rFonts w:ascii="Arial" w:cs="Arial" w:eastAsia="Arial" w:hAnsi="Arial"/>
                <w:sz w:val="15"/>
                <w:szCs w:val="15"/>
                <w:color w:val="auto"/>
              </w:rPr>
              <w:t>Page 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-762000</wp:posOffset>
            </wp:positionV>
            <wp:extent cx="240665" cy="226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0665" cy="22606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-464820</wp:posOffset>
            </wp:positionV>
            <wp:extent cx="240665" cy="226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665" cy="22606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-175260</wp:posOffset>
            </wp:positionV>
            <wp:extent cx="240665" cy="226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665" cy="22606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4880" w:space="440"/>
            <w:col w:w="3699"/>
          </w:cols>
          <w:pgMar w:left="1440" w:top="1440" w:right="1440" w:bottom="1440" w:gutter="0" w:footer="0" w:header="0"/>
          <w:type w:val="continuous"/>
        </w:sectPr>
      </w:pPr>
    </w:p>
    <w:p>
      <w:pPr>
        <w:spacing w:after="0" w:line="307" w:lineRule="exact"/>
        <w:rPr>
          <w:sz w:val="20"/>
          <w:szCs w:val="20"/>
          <w:color w:val="auto"/>
        </w:rPr>
      </w:pPr>
    </w:p>
    <w:p>
      <w:pPr>
        <w:ind w:left="360" w:right="1459"/>
        <w:spacing w:after="0" w:line="289" w:lineRule="auto"/>
        <w:rPr>
          <w:sz w:val="20"/>
          <w:szCs w:val="20"/>
          <w:color w:val="auto"/>
        </w:rPr>
      </w:pPr>
      <w:r>
        <w:rPr>
          <w:rFonts w:ascii="Arial" w:cs="Arial" w:eastAsia="Arial" w:hAnsi="Arial"/>
          <w:sz w:val="15"/>
          <w:szCs w:val="15"/>
          <w:b w:val="1"/>
          <w:bCs w:val="1"/>
          <w:color w:val="9E318D"/>
        </w:rPr>
        <w:t>Important notice regarding availability of Proxy Materials for the Annual Meeting of Stockholders to be held on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2185035</wp:posOffset>
            </wp:positionV>
            <wp:extent cx="297180" cy="290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 w:name="page7"/>
    <w:bookmarkEnd w:id="6"/>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Are proxy materials available on the internet?</w:t>
      </w:r>
    </w:p>
    <w:p>
      <w:pPr>
        <w:spacing w:after="0" w:line="128" w:lineRule="exact"/>
        <w:rPr>
          <w:sz w:val="20"/>
          <w:szCs w:val="20"/>
          <w:color w:val="auto"/>
        </w:rPr>
      </w:pPr>
    </w:p>
    <w:p>
      <w:pPr>
        <w:jc w:val="both"/>
        <w:ind w:left="200" w:right="139"/>
        <w:spacing w:after="0" w:line="289" w:lineRule="auto"/>
        <w:rPr>
          <w:sz w:val="20"/>
          <w:szCs w:val="20"/>
          <w:color w:val="auto"/>
        </w:rPr>
      </w:pPr>
      <w:r>
        <w:rPr>
          <w:rFonts w:ascii="Arial" w:cs="Arial" w:eastAsia="Arial" w:hAnsi="Arial"/>
          <w:sz w:val="15"/>
          <w:szCs w:val="15"/>
          <w:color w:val="auto"/>
        </w:rPr>
        <w:t xml:space="preserve">Yes. This Proxy Statement, and the proxy card, for the Annual Meeting and our 2025 Annual Report on Form 10-K are available at </w:t>
      </w:r>
      <w:r>
        <w:rPr>
          <w:rFonts w:ascii="Arial" w:cs="Arial" w:eastAsia="Arial" w:hAnsi="Arial"/>
          <w:sz w:val="15"/>
          <w:szCs w:val="15"/>
          <w:b w:val="1"/>
          <w:bCs w:val="1"/>
          <w:i w:val="1"/>
          <w:iCs w:val="1"/>
          <w:color w:val="9E318D"/>
        </w:rPr>
        <w:t xml:space="preserve">www.envisionreports.com/iosp </w:t>
      </w:r>
      <w:r>
        <w:rPr>
          <w:rFonts w:ascii="Arial" w:cs="Arial" w:eastAsia="Arial" w:hAnsi="Arial"/>
          <w:sz w:val="15"/>
          <w:szCs w:val="15"/>
          <w:color w:val="000000"/>
        </w:rPr>
        <w:t>for stockholders of record and</w:t>
      </w:r>
      <w:r>
        <w:rPr>
          <w:rFonts w:ascii="Arial" w:cs="Arial" w:eastAsia="Arial" w:hAnsi="Arial"/>
          <w:sz w:val="15"/>
          <w:szCs w:val="15"/>
          <w:b w:val="1"/>
          <w:bCs w:val="1"/>
          <w:i w:val="1"/>
          <w:iCs w:val="1"/>
          <w:color w:val="9E318D"/>
        </w:rPr>
        <w:t xml:space="preserve"> www.edocumentview.com/iosp </w:t>
      </w:r>
      <w:r>
        <w:rPr>
          <w:rFonts w:ascii="Arial" w:cs="Arial" w:eastAsia="Arial" w:hAnsi="Arial"/>
          <w:sz w:val="15"/>
          <w:szCs w:val="15"/>
          <w:color w:val="000000"/>
        </w:rPr>
        <w:t>for beneficial owners.</w:t>
      </w:r>
    </w:p>
    <w:p>
      <w:pPr>
        <w:spacing w:after="0" w:line="52"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Who is entitled to vote at the meeting?</w:t>
      </w:r>
    </w:p>
    <w:p>
      <w:pPr>
        <w:spacing w:after="0" w:line="128"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March 13, 2026 is the record date for the Annual Meeting. If you owned Innospec Common Stock at the close of business on March 13, 2026, you are entitled to vote. On this record date, we had 24,890,467 shares of our Common Stock outstanding and entitled to vote at the Annual Meeting. Our Common Stock is our only class of voting stock.</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How many votes do I have?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You have one vote for each share of Common Stock that you owned at the close of business on the March 13, 2026 record date.</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Your Notice indicates the number of shares of Common Stock you are entitled to vote.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difference between holding stock as a stockholder of record and as a beneficial owner?</w:t>
      </w:r>
    </w:p>
    <w:p>
      <w:pPr>
        <w:spacing w:after="0" w:line="12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Although many stockholders are the record holders of their stock, others hold their stock beneficially, which means it is held through a stockbroker, bank or other nominee rather than directly in the stockholder’s own name. As summarized below, there are some differences between stock held of record and stock owned beneficially.</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u w:val="single" w:color="auto"/>
          <w:color w:val="auto"/>
        </w:rPr>
        <w:t>Stockholder of Record</w:t>
      </w:r>
    </w:p>
    <w:p>
      <w:pPr>
        <w:spacing w:after="0" w:line="128"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If your shares of Common Stock are registered directly in your name with our transfer agent, Computershare, you are considered, with respect to those shares, the stockholder of record and the Notice is being sent to you directly at your address of record. As the stockholder of record, you have the right to grant your voting proxy directly to Innospec by voting by telephone or via the internet, or, if you have requested written materials, by signing, dating and returning your proxy card to Innospec. Alternatively, you may vote in person at the Annual Meeting. For more information on voting by telephone or via the internet see the description below under the heading “Information about the 2026 Annual Meeting of Stockholders and Voting at the Meeting - May I vote by telephone or via the internet?”.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5"/>
          <w:szCs w:val="15"/>
          <w:u w:val="single" w:color="auto"/>
          <w:color w:val="auto"/>
        </w:rPr>
        <w:t>Beneficial Owner</w:t>
      </w:r>
    </w:p>
    <w:p>
      <w:pPr>
        <w:spacing w:after="0" w:line="117" w:lineRule="exact"/>
        <w:rPr>
          <w:sz w:val="20"/>
          <w:szCs w:val="20"/>
          <w:color w:val="auto"/>
        </w:rPr>
      </w:pPr>
    </w:p>
    <w:p>
      <w:pPr>
        <w:jc w:val="both"/>
        <w:ind w:left="200" w:right="139"/>
        <w:spacing w:after="0" w:line="276" w:lineRule="auto"/>
        <w:rPr>
          <w:sz w:val="20"/>
          <w:szCs w:val="20"/>
          <w:color w:val="auto"/>
        </w:rPr>
      </w:pPr>
      <w:r>
        <w:rPr>
          <w:rFonts w:ascii="Arial" w:cs="Arial" w:eastAsia="Arial" w:hAnsi="Arial"/>
          <w:sz w:val="14"/>
          <w:szCs w:val="14"/>
          <w:color w:val="auto"/>
        </w:rPr>
        <w:t>If your Common Stock is held in a stock brokerage account or by a bank or other nominee, you are considered the beneficial owner of stock held in “street name” and our proxy materials are being forwarded to you by your broker or nominee who is considered the stockholder of record with respect to those shares. As the beneficial owner, you have the right to direct your broker or nominee on how to vote your stock and are also invited to attend the Annual Meeting. However, since you are not the stockholder of record, you may only vote these shares at the Annual Meeting if you follow the instructions described below under the heading “Information about the 2026 Annual Meeting of Stockholders and Voting at the Meeting - How do I attend and vote at the Annual Meeting?”.</w:t>
      </w:r>
    </w:p>
    <w:p>
      <w:pPr>
        <w:spacing w:after="0" w:line="81"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Your broker or nominee has provided a voting instruction card for you to use in directing your broker or nominee as to how to vote your stock. You may also vote by telephone or via the internet by following your broker or other nominee’s directions as described below under the heading “Information about the 2026 Annual Meeting of Stockholders and Voting at the Meeting - May I vote by telephone or via the internet?”.</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How do I vote by proxy if I am a stockholder of record?</w:t>
      </w:r>
    </w:p>
    <w:p>
      <w:pPr>
        <w:spacing w:after="0" w:line="117"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If you are a stockholder of record and you request a physical proxy card and properly fill in such proxy card and it is completed and received by us (and not revoked) prior to the Annual Meeting, or you vote by internet or telephone, your “proxy” (i.e., one of the individuals named on your proxy card) will vote your stock as you have directed. If you sign the proxy card (including by electronic signature in the case of internet or telephonic voting), but do not make specific voting choices, the person holding your proxy will vote your stock as recommended by the Board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1907540</wp:posOffset>
            </wp:positionV>
            <wp:extent cx="297180" cy="290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 w:name="page8"/>
    <w:bookmarkEnd w:id="7"/>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election of two Class I Directors;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approval, on an advisory basis, of the Company’s executive compensation; and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“FOR” </w:t>
      </w:r>
      <w:r>
        <w:rPr>
          <w:rFonts w:ascii="Arial" w:cs="Arial" w:eastAsia="Arial" w:hAnsi="Arial"/>
          <w:sz w:val="15"/>
          <w:szCs w:val="15"/>
          <w:color w:val="auto"/>
        </w:rPr>
        <w:t>the ratification of the appointment of the Company’s independent registered public accounting firm.</w:t>
      </w:r>
    </w:p>
    <w:p>
      <w:pPr>
        <w:spacing w:after="0" w:line="12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If any other matter is presented at the Annual Meeting, your vote will be cast in accordance with the best judgment of the individuals named on your proxy card. As of the date of this Proxy Statement, we know of no such other matters that need to be acted on at the Annual Meeting.</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How do I give voting instructions if I am a beneficial owner?</w:t>
      </w:r>
    </w:p>
    <w:p>
      <w:pPr>
        <w:spacing w:after="0" w:line="117"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 xml:space="preserve">If you are a beneficial owner of stock, your broker will communicate with you directly and ask you how you want your stock to be voted. If you give the broker voting instructions, the broker will vote your stock as you direct. If you do not give the broker voting instructions, one of two things can happen, depending on the type of proposal in question. Brokers have discretionary power to vote your stock with respect to “routine” matters, but they do not have discretionary power to vote your stock on “non-routine” matters. Brokers holding stock beneficially owned by their clients do not have the ability to cast votes with respect to the election and ratification of directors or executive compensation unless they have received instructions from the beneficial owner of the stock because these are considered “non-routine” matters. </w:t>
      </w:r>
      <w:r>
        <w:rPr>
          <w:rFonts w:ascii="Arial" w:cs="Arial" w:eastAsia="Arial" w:hAnsi="Arial"/>
          <w:sz w:val="15"/>
          <w:szCs w:val="15"/>
          <w:b w:val="1"/>
          <w:bCs w:val="1"/>
          <w:color w:val="auto"/>
        </w:rPr>
        <w:t>It is therefore important that you provide voting instructions to your</w:t>
      </w:r>
      <w:r>
        <w:rPr>
          <w:rFonts w:ascii="Arial" w:cs="Arial" w:eastAsia="Arial" w:hAnsi="Arial"/>
          <w:sz w:val="15"/>
          <w:szCs w:val="15"/>
          <w:color w:val="auto"/>
        </w:rPr>
        <w:t xml:space="preserve"> </w:t>
      </w:r>
      <w:r>
        <w:rPr>
          <w:rFonts w:ascii="Arial" w:cs="Arial" w:eastAsia="Arial" w:hAnsi="Arial"/>
          <w:sz w:val="15"/>
          <w:szCs w:val="15"/>
          <w:b w:val="1"/>
          <w:bCs w:val="1"/>
          <w:color w:val="auto"/>
        </w:rPr>
        <w:t>broker if your shares of Common Stock are held beneficially through a broker so that your vote with respect to directors and executive compensation, and any other matter treated as “non-routine”, is counted.</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May I vote by telephone or via the internet?</w:t>
      </w:r>
    </w:p>
    <w:p>
      <w:pPr>
        <w:spacing w:after="0" w:line="128"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Yes, you may vote by telephone or via the internet up until 11:59 P.M. Eastern Time the day before the Annual Meeting date. We encourage you to do so because your vote will be tabulated faster than if you mailed it. Please note the following depending on whether you are a stockholder of record or a beneficial owner whose shares are held by a bank or broker in “street name”:</w:t>
      </w:r>
    </w:p>
    <w:p>
      <w:pPr>
        <w:spacing w:after="0" w:line="77"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 xml:space="preserve">If you are a stockholder of record, you may vote electronically through the internet at </w:t>
      </w:r>
      <w:r>
        <w:rPr>
          <w:rFonts w:ascii="Arial" w:cs="Arial" w:eastAsia="Arial" w:hAnsi="Arial"/>
          <w:sz w:val="15"/>
          <w:szCs w:val="15"/>
          <w:b w:val="1"/>
          <w:bCs w:val="1"/>
          <w:i w:val="1"/>
          <w:iCs w:val="1"/>
          <w:color w:val="9E318D"/>
        </w:rPr>
        <w:t>www.envisionreports.com/iosp</w:t>
      </w:r>
      <w:r>
        <w:rPr>
          <w:rFonts w:ascii="Arial" w:cs="Arial" w:eastAsia="Arial" w:hAnsi="Arial"/>
          <w:sz w:val="15"/>
          <w:szCs w:val="15"/>
          <w:color w:val="auto"/>
        </w:rPr>
        <w:t xml:space="preserve"> or by telephone Toll Free 1-800-652-8683 within the U.S.A., U.S. Territories and Canada. Be sure to have your control number, which appears on your Notice or proxy card, with you when you vote.</w:t>
      </w:r>
    </w:p>
    <w:p>
      <w:pPr>
        <w:spacing w:after="0" w:line="88"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 xml:space="preserve">If you are a beneficial owner and hold your stock in “street name”, you may vote electronically through the internet at </w:t>
      </w:r>
      <w:r>
        <w:rPr>
          <w:rFonts w:ascii="Arial" w:cs="Arial" w:eastAsia="Arial" w:hAnsi="Arial"/>
          <w:sz w:val="15"/>
          <w:szCs w:val="15"/>
          <w:b w:val="1"/>
          <w:bCs w:val="1"/>
          <w:i w:val="1"/>
          <w:iCs w:val="1"/>
          <w:color w:val="9E318D"/>
        </w:rPr>
        <w:t xml:space="preserve">www.proxyvote.com </w:t>
      </w:r>
      <w:r>
        <w:rPr>
          <w:rFonts w:ascii="Arial" w:cs="Arial" w:eastAsia="Arial" w:hAnsi="Arial"/>
          <w:sz w:val="15"/>
          <w:szCs w:val="15"/>
          <w:color w:val="000000"/>
        </w:rPr>
        <w:t>and you should contact your bank or broker to determine whether you will be able to vote by telephone. Be</w:t>
      </w:r>
      <w:r>
        <w:rPr>
          <w:rFonts w:ascii="Arial" w:cs="Arial" w:eastAsia="Arial" w:hAnsi="Arial"/>
          <w:sz w:val="15"/>
          <w:szCs w:val="15"/>
          <w:b w:val="1"/>
          <w:bCs w:val="1"/>
          <w:i w:val="1"/>
          <w:iCs w:val="1"/>
          <w:color w:val="9E318D"/>
        </w:rPr>
        <w:t xml:space="preserve"> </w:t>
      </w:r>
      <w:r>
        <w:rPr>
          <w:rFonts w:ascii="Arial" w:cs="Arial" w:eastAsia="Arial" w:hAnsi="Arial"/>
          <w:sz w:val="15"/>
          <w:szCs w:val="15"/>
          <w:color w:val="000000"/>
        </w:rPr>
        <w:t>sure to have your control number, which appears on your Notice or proxy card, with you when you vote.</w:t>
      </w:r>
    </w:p>
    <w:p>
      <w:pPr>
        <w:spacing w:after="0" w:line="88"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Whether or not you plan to attend the Annual Meeting, we urge you to vote. Doing so by returning the proxy card or voting by telephone or via the internet will not affect your ultimate right to attend and vote at the meeting.</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May I revoke my proxy?</w:t>
      </w:r>
    </w:p>
    <w:p>
      <w:pPr>
        <w:spacing w:after="0" w:line="128"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Yes. If you change your mind after you vote, you may revoke your proxy by following any of the procedures described below. To revoke your proxy:</w:t>
      </w:r>
    </w:p>
    <w:p>
      <w:pPr>
        <w:spacing w:after="0" w:line="75" w:lineRule="exact"/>
        <w:rPr>
          <w:sz w:val="20"/>
          <w:szCs w:val="20"/>
          <w:color w:val="auto"/>
        </w:rPr>
      </w:pPr>
    </w:p>
    <w:p>
      <w:pPr>
        <w:ind w:left="540" w:hanging="335"/>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Send in another signed proxy with a later date or resubmit your vote by telephone or the internet;</w:t>
      </w:r>
    </w:p>
    <w:p>
      <w:pPr>
        <w:spacing w:after="0" w:line="117"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Send a letter revoking your proxy to Mr. David B. Jones, Senior Vice President, General Counsel, Chief Compliance Officer and Corporate Secretary at Innospec Inc., 8310 South Valley Highway, Suite 350, Englewood, CO 80112; or</w:t>
      </w:r>
    </w:p>
    <w:p>
      <w:pPr>
        <w:spacing w:after="0" w:line="74" w:lineRule="exact"/>
        <w:rPr>
          <w:rFonts w:ascii="Arial" w:cs="Arial" w:eastAsia="Arial" w:hAnsi="Arial"/>
          <w:sz w:val="15"/>
          <w:szCs w:val="15"/>
          <w:color w:val="auto"/>
        </w:rPr>
      </w:pPr>
    </w:p>
    <w:p>
      <w:pPr>
        <w:ind w:left="540" w:hanging="335"/>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Attend the Annual Meeting and vote in accordance with the instructions described below.</w:t>
      </w:r>
    </w:p>
    <w:p>
      <w:pPr>
        <w:spacing w:after="0" w:line="128" w:lineRule="exact"/>
        <w:rPr>
          <w:sz w:val="20"/>
          <w:szCs w:val="20"/>
          <w:color w:val="auto"/>
        </w:rPr>
      </w:pPr>
    </w:p>
    <w:p>
      <w:pPr>
        <w:ind w:left="200" w:right="139"/>
        <w:spacing w:after="0" w:line="281" w:lineRule="auto"/>
        <w:rPr>
          <w:sz w:val="20"/>
          <w:szCs w:val="20"/>
          <w:color w:val="auto"/>
        </w:rPr>
      </w:pPr>
      <w:r>
        <w:rPr>
          <w:rFonts w:ascii="Arial" w:cs="Arial" w:eastAsia="Arial" w:hAnsi="Arial"/>
          <w:sz w:val="15"/>
          <w:szCs w:val="15"/>
          <w:color w:val="auto"/>
        </w:rPr>
        <w:t>If you wish to revoke your proxy, you must do so sufficiently in advance to permit the necessary examination and tabulation of the subsequent proxy or revocation before the vote is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1965960</wp:posOffset>
            </wp:positionV>
            <wp:extent cx="297180" cy="290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 w:name="page9"/>
    <w:bookmarkEnd w:id="8"/>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How do I attend and vote at the 2026 Annual Meeting?</w:t>
      </w:r>
    </w:p>
    <w:p>
      <w:pPr>
        <w:spacing w:after="0" w:line="128"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If you are a stockholder of record, you may attend the meeting and vote your shares in person. If you choose to do so, please bring your Notice, or proxy card showing your control number and proof of identification.</w:t>
      </w:r>
    </w:p>
    <w:p>
      <w:pPr>
        <w:spacing w:after="0" w:line="64"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If you are the beneficial owner of stock held in “street name”, you may vote your shares in person only if you obtain a signed proxy from the stockholder of record giving you the right to vote the stock. To do so, you must bring to the 2026 Annual Meeting of Stockholders proof of identification, an account statement or letter from the broker, bank or other nominee indicating that you are the owner of the stock and a signed proxy from the stockholder of record giving you the right to vote the stock. The account statement or letter must show that you were the beneficial owner of the stock on the Record Date.</w:t>
      </w:r>
    </w:p>
    <w:p>
      <w:pPr>
        <w:spacing w:after="0" w:line="93"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Even if you plan to attend the 2026 Annual Meeting of Stockholders in person, Innospec recommends that you vote your stock in advance by internet or telephone, or by returning the accompanying proxy card, as described above, so that your vote will be counted if you later decide not to attend the 2026 Annual Meeting of Stockholders.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Is a stockholder list available for examination?</w:t>
      </w:r>
    </w:p>
    <w:p>
      <w:pPr>
        <w:spacing w:after="0" w:line="117"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For 10 days prior to the Annual Meeting, a complete list of stockholders of record entitled to vote at the Annual Meeting will be available for examination by any stockholder for any purpose relevant to the Annual Meeting. Stockholders may view the list at Innospec’s corporate headquarters at 8310 South Valley Highway, Suite 350, Englewood, CO 80112 during office hours and showing their control number and photo identification. The stockholders list will also be available during the Annual Meeting.</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votes need to be present to hold the Annual Meeting?</w:t>
      </w:r>
    </w:p>
    <w:p>
      <w:pPr>
        <w:spacing w:after="0" w:line="12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To have a quorum for our Annual Meeting, the holders of a majority of the shares of Common Stock outstanding and entitled to vote need to be present or represented by proxy. Abstentions and broker “non-votes” are treated as present and entitled to vote and are counted in determining whether we have a quorum.</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vote is required to approve each proposal?</w:t>
      </w:r>
    </w:p>
    <w:p>
      <w:pPr>
        <w:spacing w:after="0" w:line="143" w:lineRule="exact"/>
        <w:rPr>
          <w:sz w:val="20"/>
          <w:szCs w:val="20"/>
          <w:color w:val="auto"/>
        </w:rPr>
      </w:pPr>
    </w:p>
    <w:tbl>
      <w:tblPr>
        <w:tblLayout w:type="fixed"/>
        <w:tblInd w:w="210" w:type="dxa"/>
        <w:tblCellMar>
          <w:top w:w="0" w:type="dxa"/>
          <w:left w:w="0" w:type="dxa"/>
          <w:bottom w:w="0" w:type="dxa"/>
          <w:right w:w="0" w:type="dxa"/>
        </w:tblCellMar>
      </w:tblPr>
      <w:tr>
        <w:trPr>
          <w:trHeight w:val="197"/>
        </w:trPr>
        <w:tc>
          <w:tcPr>
            <w:tcW w:w="1260" w:type="dxa"/>
            <w:vAlign w:val="bottom"/>
            <w:tcBorders>
              <w:left w:val="single" w:sz="8" w:color="9E318D"/>
              <w:right w:val="single" w:sz="8" w:color="9E318D"/>
            </w:tcBorders>
            <w:shd w:val="clear" w:color="auto" w:fill="9E318D"/>
          </w:tcPr>
          <w:p>
            <w:pPr>
              <w:spacing w:after="0"/>
              <w:rPr>
                <w:sz w:val="17"/>
                <w:szCs w:val="17"/>
                <w:color w:val="auto"/>
              </w:rPr>
            </w:pPr>
          </w:p>
        </w:tc>
        <w:tc>
          <w:tcPr>
            <w:tcW w:w="2780" w:type="dxa"/>
            <w:vAlign w:val="bottom"/>
            <w:tcBorders>
              <w:right w:val="single" w:sz="8" w:color="9E318D"/>
            </w:tcBorders>
            <w:shd w:val="clear" w:color="auto" w:fill="9E318D"/>
          </w:tcPr>
          <w:p>
            <w:pPr>
              <w:spacing w:after="0"/>
              <w:rPr>
                <w:sz w:val="17"/>
                <w:szCs w:val="17"/>
                <w:color w:val="auto"/>
              </w:rPr>
            </w:pPr>
          </w:p>
        </w:tc>
        <w:tc>
          <w:tcPr>
            <w:tcW w:w="2660" w:type="dxa"/>
            <w:vAlign w:val="bottom"/>
            <w:tcBorders>
              <w:right w:val="single" w:sz="8" w:color="9E318D"/>
            </w:tcBorders>
            <w:shd w:val="clear" w:color="auto" w:fill="9E318D"/>
          </w:tcPr>
          <w:p>
            <w:pPr>
              <w:spacing w:after="0"/>
              <w:rPr>
                <w:sz w:val="17"/>
                <w:szCs w:val="17"/>
                <w:color w:val="auto"/>
              </w:rPr>
            </w:pPr>
          </w:p>
        </w:tc>
        <w:tc>
          <w:tcPr>
            <w:tcW w:w="2020" w:type="dxa"/>
            <w:vAlign w:val="bottom"/>
            <w:tcBorders>
              <w:right w:val="single" w:sz="8" w:color="9E318D"/>
            </w:tcBorders>
            <w:shd w:val="clear" w:color="auto" w:fill="9E318D"/>
          </w:tcPr>
          <w:p>
            <w:pPr>
              <w:jc w:val="center"/>
              <w:spacing w:after="0"/>
              <w:rPr>
                <w:sz w:val="20"/>
                <w:szCs w:val="20"/>
                <w:color w:val="auto"/>
              </w:rPr>
            </w:pPr>
            <w:r>
              <w:rPr>
                <w:rFonts w:ascii="Arial" w:cs="Arial" w:eastAsia="Arial" w:hAnsi="Arial"/>
                <w:sz w:val="15"/>
                <w:szCs w:val="15"/>
                <w:b w:val="1"/>
                <w:bCs w:val="1"/>
                <w:color w:val="FFFFFF"/>
                <w:w w:val="98"/>
              </w:rPr>
              <w:t>Is broker discretionary</w:t>
            </w:r>
          </w:p>
        </w:tc>
      </w:tr>
      <w:tr>
        <w:trPr>
          <w:trHeight w:val="206"/>
        </w:trPr>
        <w:tc>
          <w:tcPr>
            <w:tcW w:w="1260" w:type="dxa"/>
            <w:vAlign w:val="bottom"/>
            <w:tcBorders>
              <w:left w:val="single" w:sz="8" w:color="9E318D"/>
              <w:bottom w:val="single" w:sz="8" w:color="9E318D"/>
              <w:right w:val="single" w:sz="8" w:color="9E318D"/>
            </w:tcBorders>
            <w:shd w:val="clear" w:color="auto" w:fill="9E318D"/>
          </w:tcPr>
          <w:p>
            <w:pPr>
              <w:spacing w:after="0"/>
              <w:rPr>
                <w:sz w:val="17"/>
                <w:szCs w:val="17"/>
                <w:color w:val="auto"/>
              </w:rPr>
            </w:pPr>
          </w:p>
        </w:tc>
        <w:tc>
          <w:tcPr>
            <w:tcW w:w="2780" w:type="dxa"/>
            <w:vAlign w:val="bottom"/>
            <w:tcBorders>
              <w:bottom w:val="single" w:sz="8" w:color="9E318D"/>
              <w:right w:val="single" w:sz="8" w:color="9E318D"/>
            </w:tcBorders>
            <w:shd w:val="clear" w:color="auto" w:fill="9E318D"/>
          </w:tcPr>
          <w:p>
            <w:pPr>
              <w:ind w:left="440"/>
              <w:spacing w:after="0"/>
              <w:rPr>
                <w:sz w:val="20"/>
                <w:szCs w:val="20"/>
                <w:color w:val="auto"/>
              </w:rPr>
            </w:pPr>
            <w:r>
              <w:rPr>
                <w:rFonts w:ascii="Arial" w:cs="Arial" w:eastAsia="Arial" w:hAnsi="Arial"/>
                <w:sz w:val="15"/>
                <w:szCs w:val="15"/>
                <w:b w:val="1"/>
                <w:bCs w:val="1"/>
                <w:color w:val="FFFFFF"/>
              </w:rPr>
              <w:t>Proposal</w:t>
            </w:r>
          </w:p>
        </w:tc>
        <w:tc>
          <w:tcPr>
            <w:tcW w:w="2660" w:type="dxa"/>
            <w:vAlign w:val="bottom"/>
            <w:tcBorders>
              <w:bottom w:val="single" w:sz="8" w:color="9E318D"/>
              <w:right w:val="single" w:sz="8" w:color="9E318D"/>
            </w:tcBorders>
            <w:shd w:val="clear" w:color="auto" w:fill="9E318D"/>
          </w:tcPr>
          <w:p>
            <w:pPr>
              <w:ind w:left="240"/>
              <w:spacing w:after="0"/>
              <w:rPr>
                <w:sz w:val="20"/>
                <w:szCs w:val="20"/>
                <w:color w:val="auto"/>
              </w:rPr>
            </w:pPr>
            <w:r>
              <w:rPr>
                <w:rFonts w:ascii="Arial" w:cs="Arial" w:eastAsia="Arial" w:hAnsi="Arial"/>
                <w:sz w:val="15"/>
                <w:szCs w:val="15"/>
                <w:b w:val="1"/>
                <w:bCs w:val="1"/>
                <w:color w:val="FFFFFF"/>
              </w:rPr>
              <w:t>How many votes are required?</w:t>
            </w:r>
          </w:p>
        </w:tc>
        <w:tc>
          <w:tcPr>
            <w:tcW w:w="2020" w:type="dxa"/>
            <w:vAlign w:val="bottom"/>
            <w:tcBorders>
              <w:bottom w:val="single" w:sz="8" w:color="9E318D"/>
              <w:right w:val="single" w:sz="8" w:color="9E318D"/>
            </w:tcBorders>
            <w:shd w:val="clear" w:color="auto" w:fill="9E318D"/>
          </w:tcPr>
          <w:p>
            <w:pPr>
              <w:jc w:val="center"/>
              <w:spacing w:after="0"/>
              <w:rPr>
                <w:sz w:val="20"/>
                <w:szCs w:val="20"/>
                <w:color w:val="auto"/>
              </w:rPr>
            </w:pPr>
            <w:r>
              <w:rPr>
                <w:rFonts w:ascii="Arial" w:cs="Arial" w:eastAsia="Arial" w:hAnsi="Arial"/>
                <w:sz w:val="15"/>
                <w:szCs w:val="15"/>
                <w:b w:val="1"/>
                <w:bCs w:val="1"/>
                <w:color w:val="FFFFFF"/>
                <w:w w:val="98"/>
              </w:rPr>
              <w:t>voting allowed?</w:t>
            </w:r>
          </w:p>
        </w:tc>
      </w:tr>
      <w:tr>
        <w:trPr>
          <w:trHeight w:val="186"/>
        </w:trPr>
        <w:tc>
          <w:tcPr>
            <w:tcW w:w="1260" w:type="dxa"/>
            <w:vAlign w:val="bottom"/>
            <w:tcBorders>
              <w:left w:val="single" w:sz="8" w:color="9E318D"/>
              <w:right w:val="single" w:sz="8" w:color="9E318D"/>
            </w:tcBorders>
          </w:tcPr>
          <w:p>
            <w:pPr>
              <w:ind w:left="80"/>
              <w:spacing w:after="0"/>
              <w:rPr>
                <w:sz w:val="20"/>
                <w:szCs w:val="20"/>
                <w:color w:val="auto"/>
              </w:rPr>
            </w:pPr>
            <w:r>
              <w:rPr>
                <w:rFonts w:ascii="Arial" w:cs="Arial" w:eastAsia="Arial" w:hAnsi="Arial"/>
                <w:sz w:val="15"/>
                <w:szCs w:val="15"/>
                <w:b w:val="1"/>
                <w:bCs w:val="1"/>
                <w:color w:val="9E318D"/>
              </w:rPr>
              <w:t>Proposal 1</w:t>
            </w:r>
          </w:p>
        </w:tc>
        <w:tc>
          <w:tcPr>
            <w:tcW w:w="2780" w:type="dxa"/>
            <w:vAlign w:val="bottom"/>
            <w:tcBorders>
              <w:right w:val="single" w:sz="8" w:color="9E318D"/>
            </w:tcBorders>
          </w:tcPr>
          <w:p>
            <w:pPr>
              <w:ind w:left="40"/>
              <w:spacing w:after="0"/>
              <w:rPr>
                <w:sz w:val="20"/>
                <w:szCs w:val="20"/>
                <w:color w:val="auto"/>
              </w:rPr>
            </w:pPr>
            <w:r>
              <w:rPr>
                <w:rFonts w:ascii="Arial" w:cs="Arial" w:eastAsia="Arial" w:hAnsi="Arial"/>
                <w:sz w:val="15"/>
                <w:szCs w:val="15"/>
                <w:color w:val="auto"/>
              </w:rPr>
              <w:t>Election of two Class I Directors</w:t>
            </w:r>
          </w:p>
        </w:tc>
        <w:tc>
          <w:tcPr>
            <w:tcW w:w="2660" w:type="dxa"/>
            <w:vAlign w:val="bottom"/>
            <w:tcBorders>
              <w:right w:val="single" w:sz="8" w:color="9E318D"/>
            </w:tcBorders>
          </w:tcPr>
          <w:p>
            <w:pPr>
              <w:ind w:left="40"/>
              <w:spacing w:after="0"/>
              <w:rPr>
                <w:sz w:val="20"/>
                <w:szCs w:val="20"/>
                <w:color w:val="auto"/>
              </w:rPr>
            </w:pPr>
            <w:r>
              <w:rPr>
                <w:rFonts w:ascii="Arial" w:cs="Arial" w:eastAsia="Arial" w:hAnsi="Arial"/>
                <w:sz w:val="15"/>
                <w:szCs w:val="15"/>
                <w:color w:val="auto"/>
              </w:rPr>
              <w:t>Plurality of votes of shares present or</w:t>
            </w:r>
          </w:p>
        </w:tc>
        <w:tc>
          <w:tcPr>
            <w:tcW w:w="2020" w:type="dxa"/>
            <w:vAlign w:val="bottom"/>
            <w:tcBorders>
              <w:right w:val="single" w:sz="8" w:color="9E318D"/>
            </w:tcBorders>
          </w:tcPr>
          <w:p>
            <w:pPr>
              <w:ind w:left="60"/>
              <w:spacing w:after="0"/>
              <w:rPr>
                <w:sz w:val="20"/>
                <w:szCs w:val="20"/>
                <w:color w:val="auto"/>
              </w:rPr>
            </w:pPr>
            <w:r>
              <w:rPr>
                <w:rFonts w:ascii="Arial" w:cs="Arial" w:eastAsia="Arial" w:hAnsi="Arial"/>
                <w:sz w:val="15"/>
                <w:szCs w:val="15"/>
                <w:color w:val="auto"/>
              </w:rPr>
              <w:t>No</w:t>
            </w:r>
          </w:p>
        </w:tc>
      </w:tr>
      <w:tr>
        <w:trPr>
          <w:trHeight w:val="206"/>
        </w:trPr>
        <w:tc>
          <w:tcPr>
            <w:tcW w:w="1260" w:type="dxa"/>
            <w:vAlign w:val="bottom"/>
            <w:tcBorders>
              <w:left w:val="single" w:sz="8" w:color="9E318D"/>
              <w:bottom w:val="single" w:sz="8" w:color="9E318D"/>
              <w:right w:val="single" w:sz="8" w:color="9E318D"/>
            </w:tcBorders>
          </w:tcPr>
          <w:p>
            <w:pPr>
              <w:spacing w:after="0"/>
              <w:rPr>
                <w:sz w:val="17"/>
                <w:szCs w:val="17"/>
                <w:color w:val="auto"/>
              </w:rPr>
            </w:pPr>
          </w:p>
        </w:tc>
        <w:tc>
          <w:tcPr>
            <w:tcW w:w="2780" w:type="dxa"/>
            <w:vAlign w:val="bottom"/>
            <w:tcBorders>
              <w:bottom w:val="single" w:sz="8" w:color="9E318D"/>
              <w:right w:val="single" w:sz="8" w:color="9E318D"/>
            </w:tcBorders>
          </w:tcPr>
          <w:p>
            <w:pPr>
              <w:spacing w:after="0"/>
              <w:rPr>
                <w:sz w:val="17"/>
                <w:szCs w:val="17"/>
                <w:color w:val="auto"/>
              </w:rPr>
            </w:pPr>
          </w:p>
        </w:tc>
        <w:tc>
          <w:tcPr>
            <w:tcW w:w="2660" w:type="dxa"/>
            <w:vAlign w:val="bottom"/>
            <w:tcBorders>
              <w:bottom w:val="single" w:sz="8" w:color="9E318D"/>
              <w:right w:val="single" w:sz="8" w:color="9E318D"/>
            </w:tcBorders>
          </w:tcPr>
          <w:p>
            <w:pPr>
              <w:ind w:left="40"/>
              <w:spacing w:after="0"/>
              <w:rPr>
                <w:sz w:val="20"/>
                <w:szCs w:val="20"/>
                <w:color w:val="auto"/>
              </w:rPr>
            </w:pPr>
            <w:r>
              <w:rPr>
                <w:rFonts w:ascii="Arial" w:cs="Arial" w:eastAsia="Arial" w:hAnsi="Arial"/>
                <w:sz w:val="15"/>
                <w:szCs w:val="15"/>
                <w:color w:val="auto"/>
              </w:rPr>
              <w:t>represented by proxy*</w:t>
            </w:r>
          </w:p>
        </w:tc>
        <w:tc>
          <w:tcPr>
            <w:tcW w:w="2020" w:type="dxa"/>
            <w:vAlign w:val="bottom"/>
            <w:tcBorders>
              <w:bottom w:val="single" w:sz="8" w:color="9E318D"/>
              <w:right w:val="single" w:sz="8" w:color="9E318D"/>
            </w:tcBorders>
          </w:tcPr>
          <w:p>
            <w:pPr>
              <w:spacing w:after="0"/>
              <w:rPr>
                <w:sz w:val="17"/>
                <w:szCs w:val="17"/>
                <w:color w:val="auto"/>
              </w:rPr>
            </w:pPr>
          </w:p>
        </w:tc>
      </w:tr>
      <w:tr>
        <w:trPr>
          <w:trHeight w:val="186"/>
        </w:trPr>
        <w:tc>
          <w:tcPr>
            <w:tcW w:w="1260" w:type="dxa"/>
            <w:vAlign w:val="bottom"/>
            <w:tcBorders>
              <w:left w:val="single" w:sz="8" w:color="9E318D"/>
              <w:right w:val="single" w:sz="8" w:color="9E318D"/>
            </w:tcBorders>
            <w:shd w:val="clear" w:color="auto" w:fill="F5EAF3"/>
          </w:tcPr>
          <w:p>
            <w:pPr>
              <w:ind w:left="80"/>
              <w:spacing w:after="0"/>
              <w:rPr>
                <w:sz w:val="20"/>
                <w:szCs w:val="20"/>
                <w:color w:val="auto"/>
              </w:rPr>
            </w:pPr>
            <w:r>
              <w:rPr>
                <w:rFonts w:ascii="Arial" w:cs="Arial" w:eastAsia="Arial" w:hAnsi="Arial"/>
                <w:sz w:val="15"/>
                <w:szCs w:val="15"/>
                <w:b w:val="1"/>
                <w:bCs w:val="1"/>
                <w:color w:val="9E318D"/>
              </w:rPr>
              <w:t>Proposal 2</w:t>
            </w:r>
          </w:p>
        </w:tc>
        <w:tc>
          <w:tcPr>
            <w:tcW w:w="2780" w:type="dxa"/>
            <w:vAlign w:val="bottom"/>
            <w:tcBorders>
              <w:right w:val="single" w:sz="8" w:color="9E318D"/>
            </w:tcBorders>
            <w:shd w:val="clear" w:color="auto" w:fill="F5EAF3"/>
          </w:tcPr>
          <w:p>
            <w:pPr>
              <w:ind w:left="40"/>
              <w:spacing w:after="0"/>
              <w:rPr>
                <w:sz w:val="20"/>
                <w:szCs w:val="20"/>
                <w:color w:val="auto"/>
              </w:rPr>
            </w:pPr>
            <w:r>
              <w:rPr>
                <w:rFonts w:ascii="Arial" w:cs="Arial" w:eastAsia="Arial" w:hAnsi="Arial"/>
                <w:sz w:val="15"/>
                <w:szCs w:val="15"/>
                <w:color w:val="auto"/>
              </w:rPr>
              <w:t>Advisory approval of the Company’s</w:t>
            </w:r>
          </w:p>
        </w:tc>
        <w:tc>
          <w:tcPr>
            <w:tcW w:w="2660" w:type="dxa"/>
            <w:vAlign w:val="bottom"/>
            <w:tcBorders>
              <w:right w:val="single" w:sz="8" w:color="9E318D"/>
            </w:tcBorders>
            <w:shd w:val="clear" w:color="auto" w:fill="F5EAF3"/>
          </w:tcPr>
          <w:p>
            <w:pPr>
              <w:ind w:left="40"/>
              <w:spacing w:after="0"/>
              <w:rPr>
                <w:sz w:val="20"/>
                <w:szCs w:val="20"/>
                <w:color w:val="auto"/>
              </w:rPr>
            </w:pPr>
            <w:r>
              <w:rPr>
                <w:rFonts w:ascii="Arial" w:cs="Arial" w:eastAsia="Arial" w:hAnsi="Arial"/>
                <w:sz w:val="15"/>
                <w:szCs w:val="15"/>
                <w:color w:val="auto"/>
              </w:rPr>
              <w:t>Majority of the stock present or</w:t>
            </w:r>
          </w:p>
        </w:tc>
        <w:tc>
          <w:tcPr>
            <w:tcW w:w="2020" w:type="dxa"/>
            <w:vAlign w:val="bottom"/>
            <w:tcBorders>
              <w:right w:val="single" w:sz="8" w:color="9E318D"/>
            </w:tcBorders>
            <w:shd w:val="clear" w:color="auto" w:fill="F5EAF3"/>
          </w:tcPr>
          <w:p>
            <w:pPr>
              <w:ind w:left="60"/>
              <w:spacing w:after="0"/>
              <w:rPr>
                <w:sz w:val="20"/>
                <w:szCs w:val="20"/>
                <w:color w:val="auto"/>
              </w:rPr>
            </w:pPr>
            <w:r>
              <w:rPr>
                <w:rFonts w:ascii="Arial" w:cs="Arial" w:eastAsia="Arial" w:hAnsi="Arial"/>
                <w:sz w:val="15"/>
                <w:szCs w:val="15"/>
                <w:color w:val="auto"/>
              </w:rPr>
              <w:t>No</w:t>
            </w:r>
          </w:p>
        </w:tc>
      </w:tr>
      <w:tr>
        <w:trPr>
          <w:trHeight w:val="206"/>
        </w:trPr>
        <w:tc>
          <w:tcPr>
            <w:tcW w:w="1260" w:type="dxa"/>
            <w:vAlign w:val="bottom"/>
            <w:tcBorders>
              <w:left w:val="single" w:sz="8" w:color="9E318D"/>
              <w:bottom w:val="single" w:sz="8" w:color="9E318D"/>
              <w:right w:val="single" w:sz="8" w:color="9E318D"/>
            </w:tcBorders>
            <w:shd w:val="clear" w:color="auto" w:fill="F5EAF3"/>
          </w:tcPr>
          <w:p>
            <w:pPr>
              <w:spacing w:after="0"/>
              <w:rPr>
                <w:sz w:val="17"/>
                <w:szCs w:val="17"/>
                <w:color w:val="auto"/>
              </w:rPr>
            </w:pPr>
          </w:p>
        </w:tc>
        <w:tc>
          <w:tcPr>
            <w:tcW w:w="2780" w:type="dxa"/>
            <w:vAlign w:val="bottom"/>
            <w:tcBorders>
              <w:bottom w:val="single" w:sz="8" w:color="9E318D"/>
              <w:right w:val="single" w:sz="8" w:color="9E318D"/>
            </w:tcBorders>
            <w:shd w:val="clear" w:color="auto" w:fill="F5EAF3"/>
          </w:tcPr>
          <w:p>
            <w:pPr>
              <w:ind w:left="40"/>
              <w:spacing w:after="0"/>
              <w:rPr>
                <w:sz w:val="20"/>
                <w:szCs w:val="20"/>
                <w:color w:val="auto"/>
              </w:rPr>
            </w:pPr>
            <w:r>
              <w:rPr>
                <w:rFonts w:ascii="Arial" w:cs="Arial" w:eastAsia="Arial" w:hAnsi="Arial"/>
                <w:sz w:val="15"/>
                <w:szCs w:val="15"/>
                <w:color w:val="auto"/>
              </w:rPr>
              <w:t>executive compensation</w:t>
            </w:r>
          </w:p>
        </w:tc>
        <w:tc>
          <w:tcPr>
            <w:tcW w:w="2660" w:type="dxa"/>
            <w:vAlign w:val="bottom"/>
            <w:tcBorders>
              <w:bottom w:val="single" w:sz="8" w:color="9E318D"/>
              <w:right w:val="single" w:sz="8" w:color="9E318D"/>
            </w:tcBorders>
            <w:shd w:val="clear" w:color="auto" w:fill="F5EAF3"/>
          </w:tcPr>
          <w:p>
            <w:pPr>
              <w:ind w:left="40"/>
              <w:spacing w:after="0"/>
              <w:rPr>
                <w:sz w:val="20"/>
                <w:szCs w:val="20"/>
                <w:color w:val="auto"/>
              </w:rPr>
            </w:pPr>
            <w:r>
              <w:rPr>
                <w:rFonts w:ascii="Arial" w:cs="Arial" w:eastAsia="Arial" w:hAnsi="Arial"/>
                <w:sz w:val="15"/>
                <w:szCs w:val="15"/>
                <w:color w:val="auto"/>
              </w:rPr>
              <w:t>represented by proxy**</w:t>
            </w:r>
          </w:p>
        </w:tc>
        <w:tc>
          <w:tcPr>
            <w:tcW w:w="2020" w:type="dxa"/>
            <w:vAlign w:val="bottom"/>
            <w:tcBorders>
              <w:bottom w:val="single" w:sz="8" w:color="9E318D"/>
              <w:right w:val="single" w:sz="8" w:color="9E318D"/>
            </w:tcBorders>
            <w:shd w:val="clear" w:color="auto" w:fill="F5EAF3"/>
          </w:tcPr>
          <w:p>
            <w:pPr>
              <w:spacing w:after="0"/>
              <w:rPr>
                <w:sz w:val="17"/>
                <w:szCs w:val="17"/>
                <w:color w:val="auto"/>
              </w:rPr>
            </w:pPr>
          </w:p>
        </w:tc>
      </w:tr>
      <w:tr>
        <w:trPr>
          <w:trHeight w:val="186"/>
        </w:trPr>
        <w:tc>
          <w:tcPr>
            <w:tcW w:w="1260" w:type="dxa"/>
            <w:vAlign w:val="bottom"/>
            <w:tcBorders>
              <w:left w:val="single" w:sz="8" w:color="9E318D"/>
              <w:right w:val="single" w:sz="8" w:color="9E318D"/>
            </w:tcBorders>
          </w:tcPr>
          <w:p>
            <w:pPr>
              <w:ind w:left="80"/>
              <w:spacing w:after="0"/>
              <w:rPr>
                <w:sz w:val="20"/>
                <w:szCs w:val="20"/>
                <w:color w:val="auto"/>
              </w:rPr>
            </w:pPr>
            <w:r>
              <w:rPr>
                <w:rFonts w:ascii="Arial" w:cs="Arial" w:eastAsia="Arial" w:hAnsi="Arial"/>
                <w:sz w:val="15"/>
                <w:szCs w:val="15"/>
                <w:b w:val="1"/>
                <w:bCs w:val="1"/>
                <w:color w:val="9E318D"/>
              </w:rPr>
              <w:t>Proposal 3</w:t>
            </w:r>
          </w:p>
        </w:tc>
        <w:tc>
          <w:tcPr>
            <w:tcW w:w="2780" w:type="dxa"/>
            <w:vAlign w:val="bottom"/>
            <w:tcBorders>
              <w:right w:val="single" w:sz="8" w:color="9E318D"/>
            </w:tcBorders>
          </w:tcPr>
          <w:p>
            <w:pPr>
              <w:ind w:left="40"/>
              <w:spacing w:after="0"/>
              <w:rPr>
                <w:sz w:val="20"/>
                <w:szCs w:val="20"/>
                <w:color w:val="auto"/>
              </w:rPr>
            </w:pPr>
            <w:r>
              <w:rPr>
                <w:rFonts w:ascii="Arial" w:cs="Arial" w:eastAsia="Arial" w:hAnsi="Arial"/>
                <w:sz w:val="15"/>
                <w:szCs w:val="15"/>
                <w:color w:val="auto"/>
              </w:rPr>
              <w:t>Ratification of the appointment of the</w:t>
            </w:r>
          </w:p>
        </w:tc>
        <w:tc>
          <w:tcPr>
            <w:tcW w:w="2660" w:type="dxa"/>
            <w:vAlign w:val="bottom"/>
            <w:tcBorders>
              <w:right w:val="single" w:sz="8" w:color="9E318D"/>
            </w:tcBorders>
          </w:tcPr>
          <w:p>
            <w:pPr>
              <w:ind w:left="40"/>
              <w:spacing w:after="0"/>
              <w:rPr>
                <w:sz w:val="20"/>
                <w:szCs w:val="20"/>
                <w:color w:val="auto"/>
              </w:rPr>
            </w:pPr>
            <w:r>
              <w:rPr>
                <w:rFonts w:ascii="Arial" w:cs="Arial" w:eastAsia="Arial" w:hAnsi="Arial"/>
                <w:sz w:val="15"/>
                <w:szCs w:val="15"/>
                <w:color w:val="auto"/>
              </w:rPr>
              <w:t>Majority of the stock present or</w:t>
            </w:r>
          </w:p>
        </w:tc>
        <w:tc>
          <w:tcPr>
            <w:tcW w:w="2020" w:type="dxa"/>
            <w:vAlign w:val="bottom"/>
            <w:tcBorders>
              <w:right w:val="single" w:sz="8" w:color="9E318D"/>
            </w:tcBorders>
          </w:tcPr>
          <w:p>
            <w:pPr>
              <w:ind w:left="60"/>
              <w:spacing w:after="0"/>
              <w:rPr>
                <w:sz w:val="20"/>
                <w:szCs w:val="20"/>
                <w:color w:val="auto"/>
              </w:rPr>
            </w:pPr>
            <w:r>
              <w:rPr>
                <w:rFonts w:ascii="Arial" w:cs="Arial" w:eastAsia="Arial" w:hAnsi="Arial"/>
                <w:sz w:val="15"/>
                <w:szCs w:val="15"/>
                <w:color w:val="auto"/>
              </w:rPr>
              <w:t>Yes</w:t>
            </w:r>
          </w:p>
        </w:tc>
      </w:tr>
      <w:tr>
        <w:trPr>
          <w:trHeight w:val="178"/>
        </w:trPr>
        <w:tc>
          <w:tcPr>
            <w:tcW w:w="1260" w:type="dxa"/>
            <w:vAlign w:val="bottom"/>
            <w:tcBorders>
              <w:left w:val="single" w:sz="8" w:color="9E318D"/>
              <w:right w:val="single" w:sz="8" w:color="9E318D"/>
            </w:tcBorders>
          </w:tcPr>
          <w:p>
            <w:pPr>
              <w:spacing w:after="0"/>
              <w:rPr>
                <w:sz w:val="15"/>
                <w:szCs w:val="15"/>
                <w:color w:val="auto"/>
              </w:rPr>
            </w:pPr>
          </w:p>
        </w:tc>
        <w:tc>
          <w:tcPr>
            <w:tcW w:w="2780" w:type="dxa"/>
            <w:vAlign w:val="bottom"/>
            <w:tcBorders>
              <w:right w:val="single" w:sz="8" w:color="9E318D"/>
            </w:tcBorders>
          </w:tcPr>
          <w:p>
            <w:pPr>
              <w:ind w:left="40"/>
              <w:spacing w:after="0"/>
              <w:rPr>
                <w:sz w:val="20"/>
                <w:szCs w:val="20"/>
                <w:color w:val="auto"/>
              </w:rPr>
            </w:pPr>
            <w:r>
              <w:rPr>
                <w:rFonts w:ascii="Arial" w:cs="Arial" w:eastAsia="Arial" w:hAnsi="Arial"/>
                <w:sz w:val="15"/>
                <w:szCs w:val="15"/>
                <w:color w:val="auto"/>
              </w:rPr>
              <w:t>Company’s independent registered</w:t>
            </w:r>
          </w:p>
        </w:tc>
        <w:tc>
          <w:tcPr>
            <w:tcW w:w="2660" w:type="dxa"/>
            <w:vAlign w:val="bottom"/>
            <w:tcBorders>
              <w:right w:val="single" w:sz="8" w:color="9E318D"/>
            </w:tcBorders>
          </w:tcPr>
          <w:p>
            <w:pPr>
              <w:ind w:left="40"/>
              <w:spacing w:after="0"/>
              <w:rPr>
                <w:sz w:val="20"/>
                <w:szCs w:val="20"/>
                <w:color w:val="auto"/>
              </w:rPr>
            </w:pPr>
            <w:r>
              <w:rPr>
                <w:rFonts w:ascii="Arial" w:cs="Arial" w:eastAsia="Arial" w:hAnsi="Arial"/>
                <w:sz w:val="15"/>
                <w:szCs w:val="15"/>
                <w:color w:val="auto"/>
              </w:rPr>
              <w:t>represented by proxy</w:t>
            </w:r>
          </w:p>
        </w:tc>
        <w:tc>
          <w:tcPr>
            <w:tcW w:w="2020" w:type="dxa"/>
            <w:vAlign w:val="bottom"/>
            <w:tcBorders>
              <w:right w:val="single" w:sz="8" w:color="9E318D"/>
            </w:tcBorders>
          </w:tcPr>
          <w:p>
            <w:pPr>
              <w:spacing w:after="0"/>
              <w:rPr>
                <w:sz w:val="15"/>
                <w:szCs w:val="15"/>
                <w:color w:val="auto"/>
              </w:rPr>
            </w:pPr>
          </w:p>
        </w:tc>
      </w:tr>
      <w:tr>
        <w:trPr>
          <w:trHeight w:val="206"/>
        </w:trPr>
        <w:tc>
          <w:tcPr>
            <w:tcW w:w="1260" w:type="dxa"/>
            <w:vAlign w:val="bottom"/>
            <w:tcBorders>
              <w:left w:val="single" w:sz="8" w:color="9E318D"/>
              <w:bottom w:val="single" w:sz="8" w:color="9E318D"/>
              <w:right w:val="single" w:sz="8" w:color="9E318D"/>
            </w:tcBorders>
          </w:tcPr>
          <w:p>
            <w:pPr>
              <w:spacing w:after="0"/>
              <w:rPr>
                <w:sz w:val="17"/>
                <w:szCs w:val="17"/>
                <w:color w:val="auto"/>
              </w:rPr>
            </w:pPr>
          </w:p>
        </w:tc>
        <w:tc>
          <w:tcPr>
            <w:tcW w:w="2780" w:type="dxa"/>
            <w:vAlign w:val="bottom"/>
            <w:tcBorders>
              <w:bottom w:val="single" w:sz="8" w:color="9E318D"/>
              <w:right w:val="single" w:sz="8" w:color="9E318D"/>
            </w:tcBorders>
          </w:tcPr>
          <w:p>
            <w:pPr>
              <w:ind w:left="40"/>
              <w:spacing w:after="0"/>
              <w:rPr>
                <w:sz w:val="20"/>
                <w:szCs w:val="20"/>
                <w:color w:val="auto"/>
              </w:rPr>
            </w:pPr>
            <w:r>
              <w:rPr>
                <w:rFonts w:ascii="Arial" w:cs="Arial" w:eastAsia="Arial" w:hAnsi="Arial"/>
                <w:sz w:val="15"/>
                <w:szCs w:val="15"/>
                <w:color w:val="auto"/>
              </w:rPr>
              <w:t>public accounting firm</w:t>
            </w:r>
          </w:p>
        </w:tc>
        <w:tc>
          <w:tcPr>
            <w:tcW w:w="2660" w:type="dxa"/>
            <w:vAlign w:val="bottom"/>
            <w:tcBorders>
              <w:bottom w:val="single" w:sz="8" w:color="9E318D"/>
              <w:right w:val="single" w:sz="8" w:color="9E318D"/>
            </w:tcBorders>
          </w:tcPr>
          <w:p>
            <w:pPr>
              <w:spacing w:after="0"/>
              <w:rPr>
                <w:sz w:val="17"/>
                <w:szCs w:val="17"/>
                <w:color w:val="auto"/>
              </w:rPr>
            </w:pPr>
          </w:p>
        </w:tc>
        <w:tc>
          <w:tcPr>
            <w:tcW w:w="2020" w:type="dxa"/>
            <w:vAlign w:val="bottom"/>
            <w:tcBorders>
              <w:bottom w:val="single" w:sz="8" w:color="9E318D"/>
              <w:right w:val="single" w:sz="8" w:color="9E318D"/>
            </w:tcBorders>
          </w:tcPr>
          <w:p>
            <w:pPr>
              <w:spacing w:after="0"/>
              <w:rPr>
                <w:sz w:val="17"/>
                <w:szCs w:val="17"/>
                <w:color w:val="auto"/>
              </w:rPr>
            </w:pPr>
          </w:p>
        </w:tc>
      </w:tr>
    </w:tbl>
    <w:p>
      <w:pPr>
        <w:spacing w:after="0" w:line="16" w:lineRule="exact"/>
        <w:rPr>
          <w:sz w:val="20"/>
          <w:szCs w:val="20"/>
          <w:color w:val="auto"/>
        </w:rPr>
      </w:pPr>
    </w:p>
    <w:p>
      <w:pPr>
        <w:ind w:left="540" w:hanging="335"/>
        <w:spacing w:after="0"/>
        <w:tabs>
          <w:tab w:leader="none" w:pos="5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While directors are elected by a plurality vote, we have a “majority vote” director resignation policy in place, as described on page 32.</w:t>
      </w:r>
    </w:p>
    <w:p>
      <w:pPr>
        <w:spacing w:after="0" w:line="96" w:lineRule="exact"/>
        <w:rPr>
          <w:sz w:val="20"/>
          <w:szCs w:val="20"/>
          <w:color w:val="auto"/>
        </w:rPr>
      </w:pPr>
    </w:p>
    <w:p>
      <w:pPr>
        <w:ind w:left="540" w:right="139" w:hanging="335"/>
        <w:spacing w:after="0" w:line="340"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As Proposal 2 is an advisory vote, there is no specified vote requirement for approval. Innospec will consider that the affirmative vote of the majority of the stock present or represented by proxy and entitled to vote on such proposal reflects the advice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2753995</wp:posOffset>
            </wp:positionV>
            <wp:extent cx="297180" cy="290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 w:name="page10"/>
    <w:bookmarkEnd w:id="9"/>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How are votes counted?</w:t>
      </w:r>
    </w:p>
    <w:p>
      <w:pPr>
        <w:spacing w:after="0" w:line="143" w:lineRule="exact"/>
        <w:rPr>
          <w:sz w:val="20"/>
          <w:szCs w:val="20"/>
          <w:color w:val="auto"/>
        </w:rPr>
      </w:pPr>
    </w:p>
    <w:tbl>
      <w:tblPr>
        <w:tblLayout w:type="fixed"/>
        <w:tblInd w:w="210" w:type="dxa"/>
        <w:tblCellMar>
          <w:top w:w="0" w:type="dxa"/>
          <w:left w:w="0" w:type="dxa"/>
          <w:bottom w:w="0" w:type="dxa"/>
          <w:right w:w="0" w:type="dxa"/>
        </w:tblCellMar>
      </w:tblPr>
      <w:tr>
        <w:trPr>
          <w:trHeight w:val="186"/>
        </w:trPr>
        <w:tc>
          <w:tcPr>
            <w:tcW w:w="1260" w:type="dxa"/>
            <w:vAlign w:val="bottom"/>
            <w:tcBorders>
              <w:left w:val="single" w:sz="8" w:color="9E318D"/>
              <w:right w:val="single" w:sz="8" w:color="9E318D"/>
            </w:tcBorders>
            <w:shd w:val="clear" w:color="auto" w:fill="9E318D"/>
          </w:tcPr>
          <w:p>
            <w:pPr>
              <w:spacing w:after="0"/>
              <w:rPr>
                <w:sz w:val="16"/>
                <w:szCs w:val="16"/>
                <w:color w:val="auto"/>
              </w:rPr>
            </w:pPr>
          </w:p>
        </w:tc>
        <w:tc>
          <w:tcPr>
            <w:tcW w:w="2780" w:type="dxa"/>
            <w:vAlign w:val="bottom"/>
            <w:tcBorders>
              <w:right w:val="single" w:sz="8" w:color="auto"/>
            </w:tcBorders>
            <w:shd w:val="clear" w:color="auto" w:fill="9E318D"/>
          </w:tcPr>
          <w:p>
            <w:pPr>
              <w:spacing w:after="0"/>
              <w:rPr>
                <w:sz w:val="16"/>
                <w:szCs w:val="16"/>
                <w:color w:val="auto"/>
              </w:rPr>
            </w:pPr>
          </w:p>
        </w:tc>
        <w:tc>
          <w:tcPr>
            <w:tcW w:w="2660" w:type="dxa"/>
            <w:vAlign w:val="bottom"/>
            <w:tcBorders>
              <w:right w:val="single" w:sz="8" w:color="auto"/>
            </w:tcBorders>
            <w:shd w:val="clear" w:color="auto" w:fill="9E318D"/>
          </w:tcPr>
          <w:p>
            <w:pPr>
              <w:spacing w:after="0"/>
              <w:rPr>
                <w:sz w:val="16"/>
                <w:szCs w:val="16"/>
                <w:color w:val="auto"/>
              </w:rPr>
            </w:pPr>
          </w:p>
        </w:tc>
        <w:tc>
          <w:tcPr>
            <w:tcW w:w="2020" w:type="dxa"/>
            <w:vAlign w:val="bottom"/>
            <w:tcBorders>
              <w:right w:val="single" w:sz="8" w:color="9E318D"/>
            </w:tcBorders>
            <w:shd w:val="clear" w:color="auto" w:fill="9E318D"/>
          </w:tcPr>
          <w:p>
            <w:pPr>
              <w:jc w:val="center"/>
              <w:spacing w:after="0"/>
              <w:rPr>
                <w:sz w:val="20"/>
                <w:szCs w:val="20"/>
                <w:color w:val="auto"/>
              </w:rPr>
            </w:pPr>
            <w:r>
              <w:rPr>
                <w:rFonts w:ascii="Arial" w:cs="Arial" w:eastAsia="Arial" w:hAnsi="Arial"/>
                <w:sz w:val="15"/>
                <w:szCs w:val="15"/>
                <w:b w:val="1"/>
                <w:bCs w:val="1"/>
                <w:color w:val="FFFFFF"/>
                <w:w w:val="98"/>
              </w:rPr>
              <w:t>Is broker discretionary</w:t>
            </w:r>
          </w:p>
        </w:tc>
      </w:tr>
      <w:tr>
        <w:trPr>
          <w:trHeight w:val="209"/>
        </w:trPr>
        <w:tc>
          <w:tcPr>
            <w:tcW w:w="1260" w:type="dxa"/>
            <w:vAlign w:val="bottom"/>
            <w:tcBorders>
              <w:left w:val="single" w:sz="8" w:color="9E318D"/>
              <w:bottom w:val="single" w:sz="8" w:color="auto"/>
              <w:right w:val="single" w:sz="8" w:color="9E318D"/>
            </w:tcBorders>
            <w:shd w:val="clear" w:color="auto" w:fill="9E318D"/>
          </w:tcPr>
          <w:p>
            <w:pPr>
              <w:spacing w:after="0"/>
              <w:rPr>
                <w:sz w:val="18"/>
                <w:szCs w:val="18"/>
                <w:color w:val="auto"/>
              </w:rPr>
            </w:pPr>
          </w:p>
        </w:tc>
        <w:tc>
          <w:tcPr>
            <w:tcW w:w="2780" w:type="dxa"/>
            <w:vAlign w:val="bottom"/>
            <w:tcBorders>
              <w:bottom w:val="single" w:sz="8" w:color="auto"/>
              <w:right w:val="single" w:sz="8" w:color="auto"/>
            </w:tcBorders>
            <w:shd w:val="clear" w:color="auto" w:fill="9E318D"/>
          </w:tcPr>
          <w:p>
            <w:pPr>
              <w:ind w:left="440"/>
              <w:spacing w:after="0"/>
              <w:rPr>
                <w:sz w:val="20"/>
                <w:szCs w:val="20"/>
                <w:color w:val="auto"/>
              </w:rPr>
            </w:pPr>
            <w:r>
              <w:rPr>
                <w:rFonts w:ascii="Arial" w:cs="Arial" w:eastAsia="Arial" w:hAnsi="Arial"/>
                <w:sz w:val="15"/>
                <w:szCs w:val="15"/>
                <w:b w:val="1"/>
                <w:bCs w:val="1"/>
                <w:color w:val="FFFFFF"/>
              </w:rPr>
              <w:t>Proposal</w:t>
            </w:r>
          </w:p>
        </w:tc>
        <w:tc>
          <w:tcPr>
            <w:tcW w:w="2660" w:type="dxa"/>
            <w:vAlign w:val="bottom"/>
            <w:tcBorders>
              <w:bottom w:val="single" w:sz="8" w:color="auto"/>
              <w:right w:val="single" w:sz="8" w:color="auto"/>
            </w:tcBorders>
            <w:shd w:val="clear" w:color="auto" w:fill="9E318D"/>
          </w:tcPr>
          <w:p>
            <w:pPr>
              <w:ind w:left="360"/>
              <w:spacing w:after="0"/>
              <w:rPr>
                <w:sz w:val="20"/>
                <w:szCs w:val="20"/>
                <w:color w:val="auto"/>
              </w:rPr>
            </w:pPr>
            <w:r>
              <w:rPr>
                <w:rFonts w:ascii="Arial" w:cs="Arial" w:eastAsia="Arial" w:hAnsi="Arial"/>
                <w:sz w:val="15"/>
                <w:szCs w:val="15"/>
                <w:b w:val="1"/>
                <w:bCs w:val="1"/>
                <w:color w:val="FFFFFF"/>
              </w:rPr>
              <w:t>How your vote may be cast</w:t>
            </w:r>
          </w:p>
        </w:tc>
        <w:tc>
          <w:tcPr>
            <w:tcW w:w="2020" w:type="dxa"/>
            <w:vAlign w:val="bottom"/>
            <w:tcBorders>
              <w:bottom w:val="single" w:sz="8" w:color="auto"/>
              <w:right w:val="single" w:sz="8" w:color="9E318D"/>
            </w:tcBorders>
            <w:shd w:val="clear" w:color="auto" w:fill="9E318D"/>
          </w:tcPr>
          <w:p>
            <w:pPr>
              <w:jc w:val="center"/>
              <w:spacing w:after="0"/>
              <w:rPr>
                <w:sz w:val="20"/>
                <w:szCs w:val="20"/>
                <w:color w:val="auto"/>
              </w:rPr>
            </w:pPr>
            <w:r>
              <w:rPr>
                <w:rFonts w:ascii="Arial" w:cs="Arial" w:eastAsia="Arial" w:hAnsi="Arial"/>
                <w:sz w:val="15"/>
                <w:szCs w:val="15"/>
                <w:b w:val="1"/>
                <w:bCs w:val="1"/>
                <w:color w:val="FFFFFF"/>
                <w:w w:val="98"/>
              </w:rPr>
              <w:t>voting allowed?</w:t>
            </w:r>
          </w:p>
        </w:tc>
      </w:tr>
      <w:tr>
        <w:trPr>
          <w:trHeight w:val="183"/>
        </w:trPr>
        <w:tc>
          <w:tcPr>
            <w:tcW w:w="1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9E318D"/>
              </w:rPr>
              <w:t>Proposal 1</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Election of two Class I Directors</w:t>
            </w: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“FOR” each of the nominees or</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No</w:t>
            </w:r>
          </w:p>
        </w:tc>
      </w:tr>
      <w:tr>
        <w:trPr>
          <w:trHeight w:val="178"/>
        </w:trPr>
        <w:tc>
          <w:tcPr>
            <w:tcW w:w="1260" w:type="dxa"/>
            <w:vAlign w:val="bottom"/>
            <w:tcBorders>
              <w:left w:val="single" w:sz="8" w:color="auto"/>
              <w:right w:val="single" w:sz="8" w:color="auto"/>
            </w:tcBorders>
          </w:tcPr>
          <w:p>
            <w:pPr>
              <w:spacing w:after="0"/>
              <w:rPr>
                <w:sz w:val="15"/>
                <w:szCs w:val="15"/>
                <w:color w:val="auto"/>
              </w:rPr>
            </w:pPr>
          </w:p>
        </w:tc>
        <w:tc>
          <w:tcPr>
            <w:tcW w:w="27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“WITHHELD”* with respect to one or</w:t>
            </w:r>
          </w:p>
        </w:tc>
        <w:tc>
          <w:tcPr>
            <w:tcW w:w="2020" w:type="dxa"/>
            <w:vAlign w:val="bottom"/>
            <w:tcBorders>
              <w:right w:val="single" w:sz="8" w:color="auto"/>
            </w:tcBorders>
          </w:tcPr>
          <w:p>
            <w:pPr>
              <w:spacing w:after="0"/>
              <w:rPr>
                <w:sz w:val="15"/>
                <w:szCs w:val="15"/>
                <w:color w:val="auto"/>
              </w:rPr>
            </w:pPr>
          </w:p>
        </w:tc>
      </w:tr>
      <w:tr>
        <w:trPr>
          <w:trHeight w:val="206"/>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more of the nominees**</w:t>
            </w:r>
          </w:p>
        </w:tc>
        <w:tc>
          <w:tcPr>
            <w:tcW w:w="2020" w:type="dxa"/>
            <w:vAlign w:val="bottom"/>
            <w:tcBorders>
              <w:bottom w:val="single" w:sz="8" w:color="auto"/>
              <w:right w:val="single" w:sz="8" w:color="auto"/>
            </w:tcBorders>
          </w:tcPr>
          <w:p>
            <w:pPr>
              <w:spacing w:after="0"/>
              <w:rPr>
                <w:sz w:val="17"/>
                <w:szCs w:val="17"/>
                <w:color w:val="auto"/>
              </w:rPr>
            </w:pPr>
          </w:p>
        </w:tc>
      </w:tr>
      <w:tr>
        <w:trPr>
          <w:trHeight w:val="186"/>
        </w:trPr>
        <w:tc>
          <w:tcPr>
            <w:tcW w:w="1260" w:type="dxa"/>
            <w:vAlign w:val="bottom"/>
            <w:tcBorders>
              <w:left w:val="single" w:sz="8" w:color="auto"/>
              <w:right w:val="single" w:sz="8" w:color="auto"/>
            </w:tcBorders>
            <w:shd w:val="clear" w:color="auto" w:fill="F5EAF3"/>
          </w:tcPr>
          <w:p>
            <w:pPr>
              <w:ind w:left="80"/>
              <w:spacing w:after="0"/>
              <w:rPr>
                <w:sz w:val="20"/>
                <w:szCs w:val="20"/>
                <w:color w:val="auto"/>
              </w:rPr>
            </w:pPr>
            <w:r>
              <w:rPr>
                <w:rFonts w:ascii="Arial" w:cs="Arial" w:eastAsia="Arial" w:hAnsi="Arial"/>
                <w:sz w:val="15"/>
                <w:szCs w:val="15"/>
                <w:b w:val="1"/>
                <w:bCs w:val="1"/>
                <w:color w:val="9E318D"/>
              </w:rPr>
              <w:t>Proposal 2</w:t>
            </w:r>
          </w:p>
        </w:tc>
        <w:tc>
          <w:tcPr>
            <w:tcW w:w="2780" w:type="dxa"/>
            <w:vAlign w:val="bottom"/>
            <w:tcBorders>
              <w:right w:val="single" w:sz="8" w:color="auto"/>
            </w:tcBorders>
            <w:shd w:val="clear" w:color="auto" w:fill="F5EAF3"/>
          </w:tcPr>
          <w:p>
            <w:pPr>
              <w:ind w:left="40"/>
              <w:spacing w:after="0"/>
              <w:rPr>
                <w:sz w:val="20"/>
                <w:szCs w:val="20"/>
                <w:color w:val="auto"/>
              </w:rPr>
            </w:pPr>
            <w:r>
              <w:rPr>
                <w:rFonts w:ascii="Arial" w:cs="Arial" w:eastAsia="Arial" w:hAnsi="Arial"/>
                <w:sz w:val="15"/>
                <w:szCs w:val="15"/>
                <w:color w:val="auto"/>
              </w:rPr>
              <w:t>Advisory approval of the Company’s</w:t>
            </w:r>
          </w:p>
        </w:tc>
        <w:tc>
          <w:tcPr>
            <w:tcW w:w="2660" w:type="dxa"/>
            <w:vAlign w:val="bottom"/>
            <w:tcBorders>
              <w:right w:val="single" w:sz="8" w:color="auto"/>
            </w:tcBorders>
            <w:shd w:val="clear" w:color="auto" w:fill="F5EAF3"/>
          </w:tcPr>
          <w:p>
            <w:pPr>
              <w:ind w:left="40"/>
              <w:spacing w:after="0"/>
              <w:rPr>
                <w:sz w:val="20"/>
                <w:szCs w:val="20"/>
                <w:color w:val="auto"/>
              </w:rPr>
            </w:pPr>
            <w:r>
              <w:rPr>
                <w:rFonts w:ascii="Arial" w:cs="Arial" w:eastAsia="Arial" w:hAnsi="Arial"/>
                <w:sz w:val="15"/>
                <w:szCs w:val="15"/>
                <w:color w:val="auto"/>
              </w:rPr>
              <w:t>“FOR”, “AGAINST” or “ABSTAIN”</w:t>
            </w:r>
          </w:p>
        </w:tc>
        <w:tc>
          <w:tcPr>
            <w:tcW w:w="2020" w:type="dxa"/>
            <w:vAlign w:val="bottom"/>
            <w:tcBorders>
              <w:right w:val="single" w:sz="8" w:color="auto"/>
            </w:tcBorders>
            <w:shd w:val="clear" w:color="auto" w:fill="F5EAF3"/>
          </w:tcPr>
          <w:p>
            <w:pPr>
              <w:ind w:left="60"/>
              <w:spacing w:after="0"/>
              <w:rPr>
                <w:sz w:val="20"/>
                <w:szCs w:val="20"/>
                <w:color w:val="auto"/>
              </w:rPr>
            </w:pPr>
            <w:r>
              <w:rPr>
                <w:rFonts w:ascii="Arial" w:cs="Arial" w:eastAsia="Arial" w:hAnsi="Arial"/>
                <w:sz w:val="15"/>
                <w:szCs w:val="15"/>
                <w:color w:val="auto"/>
              </w:rPr>
              <w:t>No</w:t>
            </w:r>
          </w:p>
        </w:tc>
      </w:tr>
      <w:tr>
        <w:trPr>
          <w:trHeight w:val="206"/>
        </w:trPr>
        <w:tc>
          <w:tcPr>
            <w:tcW w:w="1260" w:type="dxa"/>
            <w:vAlign w:val="bottom"/>
            <w:tcBorders>
              <w:left w:val="single" w:sz="8" w:color="auto"/>
              <w:bottom w:val="single" w:sz="8" w:color="auto"/>
              <w:right w:val="single" w:sz="8" w:color="auto"/>
            </w:tcBorders>
            <w:shd w:val="clear" w:color="auto" w:fill="F5EAF3"/>
          </w:tcPr>
          <w:p>
            <w:pPr>
              <w:spacing w:after="0"/>
              <w:rPr>
                <w:sz w:val="17"/>
                <w:szCs w:val="17"/>
                <w:color w:val="auto"/>
              </w:rPr>
            </w:pPr>
          </w:p>
        </w:tc>
        <w:tc>
          <w:tcPr>
            <w:tcW w:w="2780" w:type="dxa"/>
            <w:vAlign w:val="bottom"/>
            <w:tcBorders>
              <w:bottom w:val="single" w:sz="8" w:color="auto"/>
              <w:right w:val="single" w:sz="8" w:color="auto"/>
            </w:tcBorders>
            <w:shd w:val="clear" w:color="auto" w:fill="F5EAF3"/>
          </w:tcPr>
          <w:p>
            <w:pPr>
              <w:ind w:left="40"/>
              <w:spacing w:after="0"/>
              <w:rPr>
                <w:sz w:val="20"/>
                <w:szCs w:val="20"/>
                <w:color w:val="auto"/>
              </w:rPr>
            </w:pPr>
            <w:r>
              <w:rPr>
                <w:rFonts w:ascii="Arial" w:cs="Arial" w:eastAsia="Arial" w:hAnsi="Arial"/>
                <w:sz w:val="15"/>
                <w:szCs w:val="15"/>
                <w:color w:val="auto"/>
              </w:rPr>
              <w:t>executive compensation</w:t>
            </w:r>
          </w:p>
        </w:tc>
        <w:tc>
          <w:tcPr>
            <w:tcW w:w="2660" w:type="dxa"/>
            <w:vAlign w:val="bottom"/>
            <w:tcBorders>
              <w:bottom w:val="single" w:sz="8" w:color="auto"/>
              <w:right w:val="single" w:sz="8" w:color="auto"/>
            </w:tcBorders>
            <w:shd w:val="clear" w:color="auto" w:fill="F5EAF3"/>
          </w:tcPr>
          <w:p>
            <w:pPr>
              <w:spacing w:after="0"/>
              <w:rPr>
                <w:sz w:val="17"/>
                <w:szCs w:val="17"/>
                <w:color w:val="auto"/>
              </w:rPr>
            </w:pPr>
          </w:p>
        </w:tc>
        <w:tc>
          <w:tcPr>
            <w:tcW w:w="2020" w:type="dxa"/>
            <w:vAlign w:val="bottom"/>
            <w:tcBorders>
              <w:bottom w:val="single" w:sz="8" w:color="auto"/>
              <w:right w:val="single" w:sz="8" w:color="auto"/>
            </w:tcBorders>
            <w:shd w:val="clear" w:color="auto" w:fill="F5EAF3"/>
          </w:tcPr>
          <w:p>
            <w:pPr>
              <w:spacing w:after="0"/>
              <w:rPr>
                <w:sz w:val="17"/>
                <w:szCs w:val="17"/>
                <w:color w:val="auto"/>
              </w:rPr>
            </w:pPr>
          </w:p>
        </w:tc>
      </w:tr>
      <w:tr>
        <w:trPr>
          <w:trHeight w:val="186"/>
        </w:trPr>
        <w:tc>
          <w:tcPr>
            <w:tcW w:w="1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b w:val="1"/>
                <w:bCs w:val="1"/>
                <w:color w:val="9E318D"/>
              </w:rPr>
              <w:t>Proposal 3</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Ratification of appointment of the</w:t>
            </w:r>
          </w:p>
        </w:tc>
        <w:tc>
          <w:tcPr>
            <w:tcW w:w="266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“FOR”, “AGAINST” or “ABSTAIN”</w:t>
            </w:r>
          </w:p>
        </w:tc>
        <w:tc>
          <w:tcPr>
            <w:tcW w:w="20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Yes</w:t>
            </w:r>
          </w:p>
        </w:tc>
      </w:tr>
      <w:tr>
        <w:trPr>
          <w:trHeight w:val="178"/>
        </w:trPr>
        <w:tc>
          <w:tcPr>
            <w:tcW w:w="1260" w:type="dxa"/>
            <w:vAlign w:val="bottom"/>
            <w:tcBorders>
              <w:left w:val="single" w:sz="8" w:color="auto"/>
              <w:right w:val="single" w:sz="8" w:color="auto"/>
            </w:tcBorders>
          </w:tcPr>
          <w:p>
            <w:pPr>
              <w:spacing w:after="0"/>
              <w:rPr>
                <w:sz w:val="15"/>
                <w:szCs w:val="15"/>
                <w:color w:val="auto"/>
              </w:rPr>
            </w:pP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Company’s independent registered</w:t>
            </w:r>
          </w:p>
        </w:tc>
        <w:tc>
          <w:tcPr>
            <w:tcW w:w="266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r>
      <w:tr>
        <w:trPr>
          <w:trHeight w:val="206"/>
        </w:trPr>
        <w:tc>
          <w:tcPr>
            <w:tcW w:w="1260" w:type="dxa"/>
            <w:vAlign w:val="bottom"/>
            <w:tcBorders>
              <w:left w:val="single" w:sz="8" w:color="auto"/>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public accounting firm</w:t>
            </w:r>
          </w:p>
        </w:tc>
        <w:tc>
          <w:tcPr>
            <w:tcW w:w="266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r>
    </w:tbl>
    <w:p>
      <w:pPr>
        <w:spacing w:after="0" w:line="16" w:lineRule="exact"/>
        <w:rPr>
          <w:sz w:val="20"/>
          <w:szCs w:val="20"/>
          <w:color w:val="auto"/>
        </w:rPr>
      </w:pPr>
    </w:p>
    <w:p>
      <w:pPr>
        <w:ind w:left="200" w:right="299" w:firstLine="5"/>
        <w:spacing w:after="0" w:line="379" w:lineRule="auto"/>
        <w:tabs>
          <w:tab w:leader="none" w:pos="534" w:val="left"/>
        </w:tabs>
        <w:numPr>
          <w:ilvl w:val="0"/>
          <w:numId w:val="10"/>
        </w:numPr>
        <w:rPr>
          <w:rFonts w:ascii="Arial" w:cs="Arial" w:eastAsia="Arial" w:hAnsi="Arial"/>
          <w:sz w:val="12"/>
          <w:szCs w:val="12"/>
          <w:color w:val="auto"/>
        </w:rPr>
      </w:pPr>
      <w:r>
        <w:rPr>
          <w:rFonts w:ascii="Arial" w:cs="Arial" w:eastAsia="Arial" w:hAnsi="Arial"/>
          <w:sz w:val="12"/>
          <w:szCs w:val="12"/>
          <w:color w:val="auto"/>
        </w:rPr>
        <w:t>If you “withhold” authority to vote with respect to one or more nominees for Innospec Director, your vote will have no effect on the election of such nominees. ** While directors are elected by a plurality vote, we have a “majority vote” director resignation policy in place, as described on page 32.</w:t>
      </w:r>
    </w:p>
    <w:p>
      <w:pPr>
        <w:spacing w:after="0" w:line="1"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If you sign (including electronic confirmations in the case of internet or telephone voting) your proxy card with no instructions on how to vote, your stock will be voted in accordance with the recommendations of the Board. If you sign (including electronic confirmation in the case of internet or telephone voting) your broker voting instruction card with no instructions on how to vote, your stock will be voted in the broker’s discretion only with respect to “routine” matters, but will not be voted with respect to “non-routine” matters. As described in “Information about the 2026 Annual Meeting of Stockholders and Voting at the Meeting—How do I give voting instructions if I am a beneficial owner?”, election of directors and executive compensation are considered “non-routine” matters. We will appoint one or more inspectors of election to count votes cast by proxy.</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is the effect of broker non-votes and abstentions?</w:t>
      </w:r>
    </w:p>
    <w:p>
      <w:pPr>
        <w:spacing w:after="0" w:line="106"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A broker “non-vote” occurs when a broker holding stock for a beneficial owner does not or cannot vote on a particular proposal because the broker does not have discretionary voting power for that particular proposal and has not received instructions from the beneficial owner.</w:t>
      </w:r>
    </w:p>
    <w:p>
      <w:pPr>
        <w:spacing w:after="0" w:line="66"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Common Stock owned by stockholders electing to abstain from voting with respect to any proposal will be counted towards the presence of a quorum. Common Stock beneficially owned and voted by the beneficiary through a broker will be counted towards the presence of a quorum, even if there are broker non-votes with respect to some proposals, as long as the broker votes on at least one “non-routine” proposal.</w:t>
      </w:r>
    </w:p>
    <w:p>
      <w:pPr>
        <w:spacing w:after="0" w:line="82" w:lineRule="exact"/>
        <w:rPr>
          <w:sz w:val="20"/>
          <w:szCs w:val="20"/>
          <w:color w:val="auto"/>
        </w:rPr>
      </w:pPr>
    </w:p>
    <w:p>
      <w:pPr>
        <w:jc w:val="both"/>
        <w:ind w:left="200" w:right="139"/>
        <w:spacing w:after="0" w:line="254" w:lineRule="auto"/>
        <w:rPr>
          <w:sz w:val="20"/>
          <w:szCs w:val="20"/>
          <w:color w:val="auto"/>
        </w:rPr>
      </w:pPr>
      <w:r>
        <w:rPr>
          <w:rFonts w:ascii="Arial" w:cs="Arial" w:eastAsia="Arial" w:hAnsi="Arial"/>
          <w:sz w:val="15"/>
          <w:szCs w:val="15"/>
          <w:color w:val="auto"/>
        </w:rPr>
        <w:t>Abstentions and instructions to withhold votes with respect to any nominee for director election (which uses a plurality standard) will result in those nominees receiving fewer votes but will not count as votes “against” the nominee. Broker non-votes will not be considered present and entitled to vote with respect to elections of directors and therefore will have no direct effect on the outcome of the election of directors. Abstentions will be treated as present and entitled to vote with respect to Proposals 2 and 3 and, therefore, will have the effect of votes “against” these proposals. Broker non-votes will have no direct effect on the outcome of these proposals.</w:t>
      </w:r>
    </w:p>
    <w:p>
      <w:pPr>
        <w:spacing w:after="0" w:line="7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What happens if the Annual Meeting is adjourned or postponed?</w:t>
      </w:r>
    </w:p>
    <w:p>
      <w:pPr>
        <w:spacing w:after="0" w:line="106"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Your proxy will still be effective and will be voted at the rescheduled Annual Meeting. You will still be able to change or revoke your proxy until it is voted.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Where can I find the voting results?</w:t>
      </w:r>
    </w:p>
    <w:p>
      <w:pPr>
        <w:spacing w:after="0" w:line="106" w:lineRule="exact"/>
        <w:rPr>
          <w:sz w:val="20"/>
          <w:szCs w:val="20"/>
          <w:color w:val="auto"/>
        </w:rPr>
      </w:pPr>
    </w:p>
    <w:p>
      <w:pPr>
        <w:jc w:val="both"/>
        <w:ind w:left="200" w:right="139"/>
        <w:spacing w:after="0" w:line="261" w:lineRule="auto"/>
        <w:rPr>
          <w:sz w:val="20"/>
          <w:szCs w:val="20"/>
          <w:color w:val="auto"/>
        </w:rPr>
      </w:pPr>
      <w:r>
        <w:rPr>
          <w:rFonts w:ascii="Arial" w:cs="Arial" w:eastAsia="Arial" w:hAnsi="Arial"/>
          <w:sz w:val="15"/>
          <w:szCs w:val="15"/>
          <w:color w:val="auto"/>
        </w:rPr>
        <w:t xml:space="preserve">Final voting results will be disclosed in a Form 8-K to be filed with the U.S. Securities and Exchange Commission (“SEC”) within four business days after the 2026 Annual Meeting of Stockholders. If official results are not available at that time, we will provide preliminary voting results in the Form 8-K and will provide the final results in an amendment to the Form 8-K as soon as they become available. You can find the Form 8-K on our website at </w:t>
      </w:r>
      <w:r>
        <w:rPr>
          <w:rFonts w:ascii="Arial" w:cs="Arial" w:eastAsia="Arial" w:hAnsi="Arial"/>
          <w:sz w:val="15"/>
          <w:szCs w:val="15"/>
          <w:b w:val="1"/>
          <w:bCs w:val="1"/>
          <w:i w:val="1"/>
          <w:iCs w:val="1"/>
          <w:color w:val="9E318D"/>
        </w:rPr>
        <w:t>www.innospec.com</w:t>
      </w:r>
      <w:r>
        <w:rPr>
          <w:rFonts w:ascii="Arial" w:cs="Arial" w:eastAsia="Arial" w:hAnsi="Arial"/>
          <w:sz w:val="15"/>
          <w:szCs w:val="15"/>
          <w:color w:val="9E318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1795780</wp:posOffset>
            </wp:positionV>
            <wp:extent cx="297180" cy="290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0" w:name="page11"/>
    <w:bookmarkEnd w:id="10"/>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Will Innospec’s independent accountants attend the Annual Meeting?</w:t>
      </w:r>
    </w:p>
    <w:p>
      <w:pPr>
        <w:spacing w:after="0" w:line="12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A representative of PricewaterhouseCoopers LLP (“PwC”), our current independent registered public accounting firm, will be available by telephone at the Annual Meeting to answer questions and will have an opportunity to make a statement if such representative wishes.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Do Directors attend the Annual Meeting?</w:t>
      </w:r>
    </w:p>
    <w:p>
      <w:pPr>
        <w:spacing w:after="0" w:line="128"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Our Corporate Governance Guidelines provide that Directors are expected to attend our annual meetings of stockholders and any special meetings of stockholders called by Innospec to consider extraordinary business transactions. Unless they are unable to do so as a result of special circumstances, Directors are encouraged to attend all other special meetings of stockholders called by Innospec. All our Directors then in office attended the 2025 Annual Meeting of Stockholders that was held on May 9, 2025.</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Whom should I call if I have any questions?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If you have any questions about the Annual Meeting, voting or directions to attend the Annual Meeting, please contact Mr. David B.</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Jones, Innospec’s Senior Vice President, General Counsel, Chief Compliance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5654040</wp:posOffset>
            </wp:positionV>
            <wp:extent cx="297180" cy="290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1" w:name="page12"/>
    <w:bookmarkEnd w:id="11"/>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4F81BD"/>
        </w:rPr>
        <w:t>CORPORATE GOVERNANCE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Corporate Governance Highlights</w:t>
      </w:r>
    </w:p>
    <w:p>
      <w:pPr>
        <w:spacing w:after="0" w:line="195"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We are committed to good corporate governance, which promotes the long-term interests of our stakeholders, strengthens Board and management accountability, and helps build public trust in the Company. The Corporate Governance section below describes our governance framework, which includes the following highlights:</w:t>
      </w:r>
    </w:p>
    <w:p>
      <w:pPr>
        <w:spacing w:after="0" w:line="9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82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9"/>
              </w:rPr>
              <w:t>Independent Chairman</w:t>
            </w:r>
          </w:p>
        </w:tc>
        <w:tc>
          <w:tcPr>
            <w:tcW w:w="140" w:type="dxa"/>
            <w:vAlign w:val="bottom"/>
          </w:tcPr>
          <w:p>
            <w:pPr>
              <w:spacing w:after="0"/>
              <w:rPr>
                <w:sz w:val="21"/>
                <w:szCs w:val="21"/>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9"/>
              </w:rPr>
              <w:t>Regular stockholder</w:t>
            </w:r>
          </w:p>
        </w:tc>
        <w:tc>
          <w:tcPr>
            <w:tcW w:w="140" w:type="dxa"/>
            <w:vAlign w:val="bottom"/>
          </w:tcPr>
          <w:p>
            <w:pPr>
              <w:spacing w:after="0"/>
              <w:rPr>
                <w:sz w:val="21"/>
                <w:szCs w:val="21"/>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Anti-hedging and</w:t>
            </w:r>
          </w:p>
        </w:tc>
        <w:tc>
          <w:tcPr>
            <w:tcW w:w="0" w:type="dxa"/>
            <w:vAlign w:val="bottom"/>
          </w:tcPr>
          <w:p>
            <w:pPr>
              <w:spacing w:after="0"/>
              <w:rPr>
                <w:sz w:val="1"/>
                <w:szCs w:val="1"/>
                <w:color w:val="auto"/>
              </w:rPr>
            </w:pPr>
          </w:p>
        </w:tc>
      </w:tr>
      <w:tr>
        <w:trPr>
          <w:trHeight w:val="202"/>
        </w:trPr>
        <w:tc>
          <w:tcPr>
            <w:tcW w:w="282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7"/>
              </w:rPr>
              <w:t>of the Board</w:t>
            </w:r>
          </w:p>
        </w:tc>
        <w:tc>
          <w:tcPr>
            <w:tcW w:w="140" w:type="dxa"/>
            <w:vAlign w:val="bottom"/>
          </w:tcPr>
          <w:p>
            <w:pPr>
              <w:spacing w:after="0"/>
              <w:rPr>
                <w:sz w:val="17"/>
                <w:szCs w:val="17"/>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9"/>
              </w:rPr>
              <w:t>engagement</w:t>
            </w:r>
          </w:p>
        </w:tc>
        <w:tc>
          <w:tcPr>
            <w:tcW w:w="140" w:type="dxa"/>
            <w:vAlign w:val="bottom"/>
          </w:tcPr>
          <w:p>
            <w:pPr>
              <w:spacing w:after="0"/>
              <w:rPr>
                <w:sz w:val="17"/>
                <w:szCs w:val="17"/>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Anti-pledging policies</w:t>
            </w:r>
          </w:p>
        </w:tc>
        <w:tc>
          <w:tcPr>
            <w:tcW w:w="0" w:type="dxa"/>
            <w:vAlign w:val="bottom"/>
          </w:tcPr>
          <w:p>
            <w:pPr>
              <w:spacing w:after="0"/>
              <w:rPr>
                <w:sz w:val="1"/>
                <w:szCs w:val="1"/>
                <w:color w:val="auto"/>
              </w:rPr>
            </w:pPr>
          </w:p>
        </w:tc>
      </w:tr>
      <w:tr>
        <w:trPr>
          <w:trHeight w:val="80"/>
        </w:trPr>
        <w:tc>
          <w:tcPr>
            <w:tcW w:w="2820" w:type="dxa"/>
            <w:vAlign w:val="bottom"/>
            <w:shd w:val="clear" w:color="auto" w:fill="EDF2F8"/>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shd w:val="clear" w:color="auto" w:fill="EDF2F8"/>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shd w:val="clear" w:color="auto" w:fill="EDF2F8"/>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82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100% independent</w:t>
            </w:r>
          </w:p>
        </w:tc>
        <w:tc>
          <w:tcPr>
            <w:tcW w:w="140" w:type="dxa"/>
            <w:vAlign w:val="bottom"/>
          </w:tcPr>
          <w:p>
            <w:pPr>
              <w:spacing w:after="0"/>
              <w:rPr>
                <w:sz w:val="21"/>
                <w:szCs w:val="21"/>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100% independent Board</w:t>
            </w:r>
          </w:p>
        </w:tc>
        <w:tc>
          <w:tcPr>
            <w:tcW w:w="140" w:type="dxa"/>
            <w:vAlign w:val="bottom"/>
          </w:tcPr>
          <w:p>
            <w:pPr>
              <w:spacing w:after="0"/>
              <w:rPr>
                <w:sz w:val="21"/>
                <w:szCs w:val="21"/>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9"/>
              </w:rPr>
              <w:t>Separate Chairman of the</w:t>
            </w:r>
          </w:p>
        </w:tc>
        <w:tc>
          <w:tcPr>
            <w:tcW w:w="0" w:type="dxa"/>
            <w:vAlign w:val="bottom"/>
          </w:tcPr>
          <w:p>
            <w:pPr>
              <w:spacing w:after="0"/>
              <w:rPr>
                <w:sz w:val="1"/>
                <w:szCs w:val="1"/>
                <w:color w:val="auto"/>
              </w:rPr>
            </w:pPr>
          </w:p>
        </w:tc>
      </w:tr>
      <w:tr>
        <w:trPr>
          <w:trHeight w:val="202"/>
        </w:trPr>
        <w:tc>
          <w:tcPr>
            <w:tcW w:w="282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Director Nominees</w:t>
            </w:r>
          </w:p>
        </w:tc>
        <w:tc>
          <w:tcPr>
            <w:tcW w:w="140" w:type="dxa"/>
            <w:vAlign w:val="bottom"/>
          </w:tcPr>
          <w:p>
            <w:pPr>
              <w:spacing w:after="0"/>
              <w:rPr>
                <w:sz w:val="17"/>
                <w:szCs w:val="17"/>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Committee Members</w:t>
            </w:r>
          </w:p>
        </w:tc>
        <w:tc>
          <w:tcPr>
            <w:tcW w:w="140" w:type="dxa"/>
            <w:vAlign w:val="bottom"/>
          </w:tcPr>
          <w:p>
            <w:pPr>
              <w:spacing w:after="0"/>
              <w:rPr>
                <w:sz w:val="17"/>
                <w:szCs w:val="17"/>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9"/>
              </w:rPr>
              <w:t>Board and CEO</w:t>
            </w:r>
          </w:p>
        </w:tc>
        <w:tc>
          <w:tcPr>
            <w:tcW w:w="0" w:type="dxa"/>
            <w:vAlign w:val="bottom"/>
          </w:tcPr>
          <w:p>
            <w:pPr>
              <w:spacing w:after="0"/>
              <w:rPr>
                <w:sz w:val="1"/>
                <w:szCs w:val="1"/>
                <w:color w:val="auto"/>
              </w:rPr>
            </w:pPr>
          </w:p>
        </w:tc>
      </w:tr>
      <w:tr>
        <w:trPr>
          <w:trHeight w:val="80"/>
        </w:trPr>
        <w:tc>
          <w:tcPr>
            <w:tcW w:w="2820" w:type="dxa"/>
            <w:vAlign w:val="bottom"/>
            <w:shd w:val="clear" w:color="auto" w:fill="EDF2F8"/>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shd w:val="clear" w:color="auto" w:fill="EDF2F8"/>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shd w:val="clear" w:color="auto" w:fill="EDF2F8"/>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82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9"/>
              </w:rPr>
              <w:t>Annual Board and Committee</w:t>
            </w:r>
          </w:p>
        </w:tc>
        <w:tc>
          <w:tcPr>
            <w:tcW w:w="140" w:type="dxa"/>
            <w:vAlign w:val="bottom"/>
          </w:tcPr>
          <w:p>
            <w:pPr>
              <w:spacing w:after="0"/>
              <w:rPr>
                <w:sz w:val="21"/>
                <w:szCs w:val="21"/>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Regular sessions of independent,</w:t>
            </w:r>
          </w:p>
        </w:tc>
        <w:tc>
          <w:tcPr>
            <w:tcW w:w="140" w:type="dxa"/>
            <w:vAlign w:val="bottom"/>
          </w:tcPr>
          <w:p>
            <w:pPr>
              <w:spacing w:after="0"/>
              <w:rPr>
                <w:sz w:val="21"/>
                <w:szCs w:val="21"/>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9"/>
              </w:rPr>
              <w:t>Long-standing commitment</w:t>
            </w:r>
          </w:p>
        </w:tc>
        <w:tc>
          <w:tcPr>
            <w:tcW w:w="0" w:type="dxa"/>
            <w:vAlign w:val="bottom"/>
          </w:tcPr>
          <w:p>
            <w:pPr>
              <w:spacing w:after="0"/>
              <w:rPr>
                <w:sz w:val="1"/>
                <w:szCs w:val="1"/>
                <w:color w:val="auto"/>
              </w:rPr>
            </w:pPr>
          </w:p>
        </w:tc>
      </w:tr>
      <w:tr>
        <w:trPr>
          <w:trHeight w:val="202"/>
        </w:trPr>
        <w:tc>
          <w:tcPr>
            <w:tcW w:w="282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9"/>
              </w:rPr>
              <w:t>self-evaluation process</w:t>
            </w:r>
          </w:p>
        </w:tc>
        <w:tc>
          <w:tcPr>
            <w:tcW w:w="140" w:type="dxa"/>
            <w:vAlign w:val="bottom"/>
          </w:tcPr>
          <w:p>
            <w:pPr>
              <w:spacing w:after="0"/>
              <w:rPr>
                <w:sz w:val="17"/>
                <w:szCs w:val="17"/>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7"/>
              </w:rPr>
              <w:t>non-employee Directors</w:t>
            </w:r>
          </w:p>
        </w:tc>
        <w:tc>
          <w:tcPr>
            <w:tcW w:w="140" w:type="dxa"/>
            <w:vAlign w:val="bottom"/>
          </w:tcPr>
          <w:p>
            <w:pPr>
              <w:spacing w:after="0"/>
              <w:rPr>
                <w:sz w:val="17"/>
                <w:szCs w:val="17"/>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9"/>
              </w:rPr>
              <w:t>to sustainability</w:t>
            </w:r>
          </w:p>
        </w:tc>
        <w:tc>
          <w:tcPr>
            <w:tcW w:w="0" w:type="dxa"/>
            <w:vAlign w:val="bottom"/>
          </w:tcPr>
          <w:p>
            <w:pPr>
              <w:spacing w:after="0"/>
              <w:rPr>
                <w:sz w:val="1"/>
                <w:szCs w:val="1"/>
                <w:color w:val="auto"/>
              </w:rPr>
            </w:pPr>
          </w:p>
        </w:tc>
      </w:tr>
      <w:tr>
        <w:trPr>
          <w:trHeight w:val="80"/>
        </w:trPr>
        <w:tc>
          <w:tcPr>
            <w:tcW w:w="2820" w:type="dxa"/>
            <w:vAlign w:val="bottom"/>
            <w:shd w:val="clear" w:color="auto" w:fill="EDF2F8"/>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shd w:val="clear" w:color="auto" w:fill="EDF2F8"/>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shd w:val="clear" w:color="auto" w:fill="EDF2F8"/>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820" w:type="dxa"/>
            <w:vAlign w:val="bottom"/>
            <w:vMerge w:val="restart"/>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No over-boarding of Directors</w:t>
            </w:r>
          </w:p>
        </w:tc>
        <w:tc>
          <w:tcPr>
            <w:tcW w:w="140" w:type="dxa"/>
            <w:vAlign w:val="bottom"/>
          </w:tcPr>
          <w:p>
            <w:pPr>
              <w:spacing w:after="0"/>
              <w:rPr>
                <w:sz w:val="21"/>
                <w:szCs w:val="21"/>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No stockholder rights plan</w:t>
            </w:r>
          </w:p>
        </w:tc>
        <w:tc>
          <w:tcPr>
            <w:tcW w:w="140" w:type="dxa"/>
            <w:vAlign w:val="bottom"/>
          </w:tcPr>
          <w:p>
            <w:pPr>
              <w:spacing w:after="0"/>
              <w:rPr>
                <w:sz w:val="21"/>
                <w:szCs w:val="21"/>
                <w:color w:val="auto"/>
              </w:rPr>
            </w:pPr>
          </w:p>
        </w:tc>
        <w:tc>
          <w:tcPr>
            <w:tcW w:w="2800" w:type="dxa"/>
            <w:vAlign w:val="bottom"/>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Majority vote Director</w:t>
            </w:r>
          </w:p>
        </w:tc>
        <w:tc>
          <w:tcPr>
            <w:tcW w:w="0" w:type="dxa"/>
            <w:vAlign w:val="bottom"/>
          </w:tcPr>
          <w:p>
            <w:pPr>
              <w:spacing w:after="0"/>
              <w:rPr>
                <w:sz w:val="1"/>
                <w:szCs w:val="1"/>
                <w:color w:val="auto"/>
              </w:rPr>
            </w:pPr>
          </w:p>
        </w:tc>
      </w:tr>
      <w:tr>
        <w:trPr>
          <w:trHeight w:val="113"/>
        </w:trPr>
        <w:tc>
          <w:tcPr>
            <w:tcW w:w="2820" w:type="dxa"/>
            <w:vAlign w:val="bottom"/>
            <w:vMerge w:val="continue"/>
            <w:shd w:val="clear" w:color="auto" w:fill="EDF2F8"/>
          </w:tcPr>
          <w:p>
            <w:pPr>
              <w:spacing w:after="0"/>
              <w:rPr>
                <w:sz w:val="9"/>
                <w:szCs w:val="9"/>
                <w:color w:val="auto"/>
              </w:rPr>
            </w:pPr>
          </w:p>
        </w:tc>
        <w:tc>
          <w:tcPr>
            <w:tcW w:w="140" w:type="dxa"/>
            <w:vAlign w:val="bottom"/>
          </w:tcPr>
          <w:p>
            <w:pPr>
              <w:spacing w:after="0"/>
              <w:rPr>
                <w:sz w:val="9"/>
                <w:szCs w:val="9"/>
                <w:color w:val="auto"/>
              </w:rPr>
            </w:pPr>
          </w:p>
        </w:tc>
        <w:tc>
          <w:tcPr>
            <w:tcW w:w="2800" w:type="dxa"/>
            <w:vAlign w:val="bottom"/>
            <w:vMerge w:val="restart"/>
            <w:shd w:val="clear" w:color="auto" w:fill="EDF2F8"/>
          </w:tcPr>
          <w:p>
            <w:pPr>
              <w:jc w:val="center"/>
              <w:spacing w:after="0"/>
              <w:rPr>
                <w:sz w:val="20"/>
                <w:szCs w:val="20"/>
                <w:color w:val="auto"/>
              </w:rPr>
            </w:pPr>
            <w:r>
              <w:rPr>
                <w:rFonts w:ascii="Arial" w:cs="Arial" w:eastAsia="Arial" w:hAnsi="Arial"/>
                <w:sz w:val="15"/>
                <w:szCs w:val="15"/>
                <w:b w:val="1"/>
                <w:bCs w:val="1"/>
                <w:color w:val="auto"/>
                <w:w w:val="97"/>
              </w:rPr>
              <w:t>“poison pill”</w:t>
            </w:r>
          </w:p>
        </w:tc>
        <w:tc>
          <w:tcPr>
            <w:tcW w:w="140" w:type="dxa"/>
            <w:vAlign w:val="bottom"/>
          </w:tcPr>
          <w:p>
            <w:pPr>
              <w:spacing w:after="0"/>
              <w:rPr>
                <w:sz w:val="9"/>
                <w:szCs w:val="9"/>
                <w:color w:val="auto"/>
              </w:rPr>
            </w:pPr>
          </w:p>
        </w:tc>
        <w:tc>
          <w:tcPr>
            <w:tcW w:w="2800" w:type="dxa"/>
            <w:vAlign w:val="bottom"/>
            <w:vMerge w:val="restart"/>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resignation policy</w:t>
            </w:r>
          </w:p>
        </w:tc>
        <w:tc>
          <w:tcPr>
            <w:tcW w:w="0" w:type="dxa"/>
            <w:vAlign w:val="bottom"/>
          </w:tcPr>
          <w:p>
            <w:pPr>
              <w:spacing w:after="0"/>
              <w:rPr>
                <w:sz w:val="1"/>
                <w:szCs w:val="1"/>
                <w:color w:val="auto"/>
              </w:rPr>
            </w:pPr>
          </w:p>
        </w:tc>
      </w:tr>
      <w:tr>
        <w:trPr>
          <w:trHeight w:val="89"/>
        </w:trPr>
        <w:tc>
          <w:tcPr>
            <w:tcW w:w="2820" w:type="dxa"/>
            <w:vAlign w:val="bottom"/>
            <w:shd w:val="clear" w:color="auto" w:fill="EDF2F8"/>
          </w:tcPr>
          <w:p>
            <w:pPr>
              <w:spacing w:after="0"/>
              <w:rPr>
                <w:sz w:val="7"/>
                <w:szCs w:val="7"/>
                <w:color w:val="auto"/>
              </w:rPr>
            </w:pPr>
          </w:p>
        </w:tc>
        <w:tc>
          <w:tcPr>
            <w:tcW w:w="140" w:type="dxa"/>
            <w:vAlign w:val="bottom"/>
          </w:tcPr>
          <w:p>
            <w:pPr>
              <w:spacing w:after="0"/>
              <w:rPr>
                <w:sz w:val="7"/>
                <w:szCs w:val="7"/>
                <w:color w:val="auto"/>
              </w:rPr>
            </w:pPr>
          </w:p>
        </w:tc>
        <w:tc>
          <w:tcPr>
            <w:tcW w:w="2800" w:type="dxa"/>
            <w:vAlign w:val="bottom"/>
            <w:vMerge w:val="continue"/>
            <w:shd w:val="clear" w:color="auto" w:fill="EDF2F8"/>
          </w:tcPr>
          <w:p>
            <w:pPr>
              <w:spacing w:after="0"/>
              <w:rPr>
                <w:sz w:val="7"/>
                <w:szCs w:val="7"/>
                <w:color w:val="auto"/>
              </w:rPr>
            </w:pPr>
          </w:p>
        </w:tc>
        <w:tc>
          <w:tcPr>
            <w:tcW w:w="140" w:type="dxa"/>
            <w:vAlign w:val="bottom"/>
          </w:tcPr>
          <w:p>
            <w:pPr>
              <w:spacing w:after="0"/>
              <w:rPr>
                <w:sz w:val="7"/>
                <w:szCs w:val="7"/>
                <w:color w:val="auto"/>
              </w:rPr>
            </w:pPr>
          </w:p>
        </w:tc>
        <w:tc>
          <w:tcPr>
            <w:tcW w:w="2800" w:type="dxa"/>
            <w:vAlign w:val="bottom"/>
            <w:vMerge w:val="continue"/>
            <w:shd w:val="clear" w:color="auto" w:fill="EDF2F8"/>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820" w:type="dxa"/>
            <w:vAlign w:val="bottom"/>
            <w:shd w:val="clear" w:color="auto" w:fill="EDF2F8"/>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shd w:val="clear" w:color="auto" w:fill="EDF2F8"/>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shd w:val="clear" w:color="auto" w:fill="EDF2F8"/>
          </w:tcPr>
          <w:p>
            <w:pPr>
              <w:spacing w:after="0"/>
              <w:rPr>
                <w:sz w:val="6"/>
                <w:szCs w:val="6"/>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Our Corporate Governance Framework</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Corporate Governance Principles</w:t>
      </w:r>
    </w:p>
    <w:p>
      <w:pPr>
        <w:spacing w:after="0" w:line="128"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Innospec places the strongest emphasis on high standards of Corporate Governance. We have policies to guide all our employees, Directors and third-party representatives and provide extensive training to help ensure that we operate to these standards throughout the Company. Through its Nominating, Corporate Governance and Sustainability Committee, the Board evaluates our corporate governance policies and practices, which form our corporate governance framework, against evolving best practices as benchmarks for assessing that we follow appropriate standards when conducting our business.</w:t>
      </w:r>
    </w:p>
    <w:p>
      <w:pPr>
        <w:spacing w:after="0" w:line="82"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One of the cornerstones of our Corporate Governance is transparency. Accordingly, you will find the following key policies and procedures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57150</wp:posOffset>
            </wp:positionV>
            <wp:extent cx="5515610" cy="1280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5610" cy="1280160"/>
                    </a:xfrm>
                    <a:prstGeom prst="rect">
                      <a:avLst/>
                    </a:prstGeom>
                    <a:noFill/>
                  </pic:spPr>
                </pic:pic>
              </a:graphicData>
            </a:graphic>
          </wp:anchor>
        </w:drawing>
      </w:r>
    </w:p>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180" w:type="dxa"/>
            <w:vAlign w:val="bottom"/>
          </w:tcPr>
          <w:p>
            <w:pPr>
              <w:spacing w:after="0"/>
              <w:rPr>
                <w:sz w:val="20"/>
                <w:szCs w:val="20"/>
                <w:color w:val="auto"/>
              </w:rPr>
            </w:pPr>
            <w:r>
              <w:rPr>
                <w:rFonts w:ascii="Arial" w:cs="Arial" w:eastAsia="Arial" w:hAnsi="Arial"/>
                <w:sz w:val="15"/>
                <w:szCs w:val="15"/>
                <w:b w:val="1"/>
                <w:bCs w:val="1"/>
                <w:color w:val="4F81BD"/>
              </w:rPr>
              <w:t>•</w:t>
            </w:r>
          </w:p>
        </w:tc>
        <w:tc>
          <w:tcPr>
            <w:tcW w:w="3360" w:type="dxa"/>
            <w:vAlign w:val="bottom"/>
          </w:tcPr>
          <w:p>
            <w:pPr>
              <w:ind w:left="140"/>
              <w:spacing w:after="0"/>
              <w:rPr>
                <w:sz w:val="20"/>
                <w:szCs w:val="20"/>
                <w:color w:val="auto"/>
              </w:rPr>
            </w:pPr>
            <w:r>
              <w:rPr>
                <w:rFonts w:ascii="Arial" w:cs="Arial" w:eastAsia="Arial" w:hAnsi="Arial"/>
                <w:sz w:val="15"/>
                <w:szCs w:val="15"/>
                <w:b w:val="1"/>
                <w:bCs w:val="1"/>
                <w:color w:val="4F81BD"/>
              </w:rPr>
              <w:t>Anti-Corruption Policy</w:t>
            </w:r>
          </w:p>
        </w:tc>
        <w:tc>
          <w:tcPr>
            <w:tcW w:w="980" w:type="dxa"/>
            <w:vAlign w:val="bottom"/>
          </w:tcPr>
          <w:p>
            <w:pPr>
              <w:ind w:left="780"/>
              <w:spacing w:after="0"/>
              <w:rPr>
                <w:sz w:val="20"/>
                <w:szCs w:val="20"/>
                <w:color w:val="auto"/>
              </w:rPr>
            </w:pPr>
            <w:r>
              <w:rPr>
                <w:rFonts w:ascii="Arial" w:cs="Arial" w:eastAsia="Arial" w:hAnsi="Arial"/>
                <w:sz w:val="15"/>
                <w:szCs w:val="15"/>
                <w:b w:val="1"/>
                <w:bCs w:val="1"/>
                <w:color w:val="4F81BD"/>
              </w:rPr>
              <w:t>•</w:t>
            </w:r>
          </w:p>
        </w:tc>
        <w:tc>
          <w:tcPr>
            <w:tcW w:w="3220" w:type="dxa"/>
            <w:vAlign w:val="bottom"/>
          </w:tcPr>
          <w:p>
            <w:pPr>
              <w:ind w:left="140"/>
              <w:spacing w:after="0"/>
              <w:rPr>
                <w:sz w:val="20"/>
                <w:szCs w:val="20"/>
                <w:color w:val="auto"/>
              </w:rPr>
            </w:pPr>
            <w:r>
              <w:rPr>
                <w:rFonts w:ascii="Arial" w:cs="Arial" w:eastAsia="Arial" w:hAnsi="Arial"/>
                <w:sz w:val="15"/>
                <w:szCs w:val="15"/>
                <w:b w:val="1"/>
                <w:bCs w:val="1"/>
                <w:color w:val="4F81BD"/>
              </w:rPr>
              <w:t>Nominating, Corporate Governance and</w:t>
            </w:r>
          </w:p>
        </w:tc>
      </w:tr>
      <w:tr>
        <w:trPr>
          <w:trHeight w:val="212"/>
        </w:trPr>
        <w:tc>
          <w:tcPr>
            <w:tcW w:w="180" w:type="dxa"/>
            <w:vAlign w:val="bottom"/>
          </w:tcPr>
          <w:p>
            <w:pPr>
              <w:spacing w:after="0"/>
              <w:rPr>
                <w:sz w:val="20"/>
                <w:szCs w:val="20"/>
                <w:color w:val="auto"/>
              </w:rPr>
            </w:pPr>
            <w:r>
              <w:rPr>
                <w:rFonts w:ascii="Arial" w:cs="Arial" w:eastAsia="Arial" w:hAnsi="Arial"/>
                <w:sz w:val="15"/>
                <w:szCs w:val="15"/>
                <w:b w:val="1"/>
                <w:bCs w:val="1"/>
                <w:color w:val="4F81BD"/>
              </w:rPr>
              <w:t>•</w:t>
            </w:r>
          </w:p>
        </w:tc>
        <w:tc>
          <w:tcPr>
            <w:tcW w:w="3360" w:type="dxa"/>
            <w:vAlign w:val="bottom"/>
          </w:tcPr>
          <w:p>
            <w:pPr>
              <w:ind w:left="140"/>
              <w:spacing w:after="0"/>
              <w:rPr>
                <w:sz w:val="20"/>
                <w:szCs w:val="20"/>
                <w:color w:val="auto"/>
              </w:rPr>
            </w:pPr>
            <w:r>
              <w:rPr>
                <w:rFonts w:ascii="Arial" w:cs="Arial" w:eastAsia="Arial" w:hAnsi="Arial"/>
                <w:sz w:val="15"/>
                <w:szCs w:val="15"/>
                <w:b w:val="1"/>
                <w:bCs w:val="1"/>
                <w:color w:val="4F81BD"/>
              </w:rPr>
              <w:t>Audit Committee Charter</w:t>
            </w:r>
          </w:p>
        </w:tc>
        <w:tc>
          <w:tcPr>
            <w:tcW w:w="98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5"/>
                <w:szCs w:val="15"/>
                <w:b w:val="1"/>
                <w:bCs w:val="1"/>
                <w:color w:val="4F81BD"/>
              </w:rPr>
              <w:t>Sustainability Committee Charter</w:t>
            </w:r>
          </w:p>
        </w:tc>
      </w:tr>
      <w:tr>
        <w:trPr>
          <w:trHeight w:val="200"/>
        </w:trPr>
        <w:tc>
          <w:tcPr>
            <w:tcW w:w="180" w:type="dxa"/>
            <w:vAlign w:val="bottom"/>
          </w:tcPr>
          <w:p>
            <w:pPr>
              <w:spacing w:after="0"/>
              <w:rPr>
                <w:sz w:val="20"/>
                <w:szCs w:val="20"/>
                <w:color w:val="auto"/>
              </w:rPr>
            </w:pPr>
            <w:r>
              <w:rPr>
                <w:rFonts w:ascii="Arial" w:cs="Arial" w:eastAsia="Arial" w:hAnsi="Arial"/>
                <w:sz w:val="15"/>
                <w:szCs w:val="15"/>
                <w:b w:val="1"/>
                <w:bCs w:val="1"/>
                <w:color w:val="4F81BD"/>
              </w:rPr>
              <w:t>•</w:t>
            </w:r>
          </w:p>
        </w:tc>
        <w:tc>
          <w:tcPr>
            <w:tcW w:w="3360" w:type="dxa"/>
            <w:vAlign w:val="bottom"/>
          </w:tcPr>
          <w:p>
            <w:pPr>
              <w:ind w:left="140"/>
              <w:spacing w:after="0"/>
              <w:rPr>
                <w:sz w:val="20"/>
                <w:szCs w:val="20"/>
                <w:color w:val="auto"/>
              </w:rPr>
            </w:pPr>
            <w:r>
              <w:rPr>
                <w:rFonts w:ascii="Arial" w:cs="Arial" w:eastAsia="Arial" w:hAnsi="Arial"/>
                <w:sz w:val="15"/>
                <w:szCs w:val="15"/>
                <w:b w:val="1"/>
                <w:bCs w:val="1"/>
                <w:color w:val="4F81BD"/>
              </w:rPr>
              <w:t>Code of Conduct</w:t>
            </w:r>
          </w:p>
        </w:tc>
        <w:tc>
          <w:tcPr>
            <w:tcW w:w="980" w:type="dxa"/>
            <w:vAlign w:val="bottom"/>
          </w:tcPr>
          <w:p>
            <w:pPr>
              <w:ind w:left="780"/>
              <w:spacing w:after="0"/>
              <w:rPr>
                <w:sz w:val="20"/>
                <w:szCs w:val="20"/>
                <w:color w:val="auto"/>
              </w:rPr>
            </w:pPr>
            <w:r>
              <w:rPr>
                <w:rFonts w:ascii="Arial" w:cs="Arial" w:eastAsia="Arial" w:hAnsi="Arial"/>
                <w:sz w:val="15"/>
                <w:szCs w:val="15"/>
                <w:b w:val="1"/>
                <w:bCs w:val="1"/>
                <w:color w:val="4F81BD"/>
              </w:rPr>
              <w:t>•</w:t>
            </w:r>
          </w:p>
        </w:tc>
        <w:tc>
          <w:tcPr>
            <w:tcW w:w="3220" w:type="dxa"/>
            <w:vAlign w:val="bottom"/>
          </w:tcPr>
          <w:p>
            <w:pPr>
              <w:ind w:left="140"/>
              <w:spacing w:after="0"/>
              <w:rPr>
                <w:sz w:val="20"/>
                <w:szCs w:val="20"/>
                <w:color w:val="auto"/>
              </w:rPr>
            </w:pPr>
            <w:r>
              <w:rPr>
                <w:rFonts w:ascii="Arial" w:cs="Arial" w:eastAsia="Arial" w:hAnsi="Arial"/>
                <w:sz w:val="15"/>
                <w:szCs w:val="15"/>
                <w:b w:val="1"/>
                <w:bCs w:val="1"/>
                <w:color w:val="4F81BD"/>
                <w:w w:val="98"/>
              </w:rPr>
              <w:t>Reporting Corporate Governance Concerns</w:t>
            </w:r>
          </w:p>
        </w:tc>
      </w:tr>
      <w:tr>
        <w:trPr>
          <w:trHeight w:val="212"/>
        </w:trPr>
        <w:tc>
          <w:tcPr>
            <w:tcW w:w="180" w:type="dxa"/>
            <w:vAlign w:val="bottom"/>
          </w:tcPr>
          <w:p>
            <w:pPr>
              <w:spacing w:after="0"/>
              <w:rPr>
                <w:sz w:val="20"/>
                <w:szCs w:val="20"/>
                <w:color w:val="auto"/>
              </w:rPr>
            </w:pPr>
            <w:r>
              <w:rPr>
                <w:rFonts w:ascii="Arial" w:cs="Arial" w:eastAsia="Arial" w:hAnsi="Arial"/>
                <w:sz w:val="15"/>
                <w:szCs w:val="15"/>
                <w:b w:val="1"/>
                <w:bCs w:val="1"/>
                <w:color w:val="4F81BD"/>
              </w:rPr>
              <w:t>•</w:t>
            </w:r>
          </w:p>
        </w:tc>
        <w:tc>
          <w:tcPr>
            <w:tcW w:w="3360" w:type="dxa"/>
            <w:vAlign w:val="bottom"/>
          </w:tcPr>
          <w:p>
            <w:pPr>
              <w:ind w:left="140"/>
              <w:spacing w:after="0"/>
              <w:rPr>
                <w:sz w:val="20"/>
                <w:szCs w:val="20"/>
                <w:color w:val="auto"/>
              </w:rPr>
            </w:pPr>
            <w:r>
              <w:rPr>
                <w:rFonts w:ascii="Arial" w:cs="Arial" w:eastAsia="Arial" w:hAnsi="Arial"/>
                <w:sz w:val="15"/>
                <w:szCs w:val="15"/>
                <w:b w:val="1"/>
                <w:bCs w:val="1"/>
                <w:color w:val="4F81BD"/>
              </w:rPr>
              <w:t>Conflict Minerals Statement</w:t>
            </w:r>
          </w:p>
        </w:tc>
        <w:tc>
          <w:tcPr>
            <w:tcW w:w="980" w:type="dxa"/>
            <w:vAlign w:val="bottom"/>
          </w:tcPr>
          <w:p>
            <w:pPr>
              <w:ind w:left="780"/>
              <w:spacing w:after="0"/>
              <w:rPr>
                <w:sz w:val="20"/>
                <w:szCs w:val="20"/>
                <w:color w:val="auto"/>
              </w:rPr>
            </w:pPr>
            <w:r>
              <w:rPr>
                <w:rFonts w:ascii="Arial" w:cs="Arial" w:eastAsia="Arial" w:hAnsi="Arial"/>
                <w:sz w:val="15"/>
                <w:szCs w:val="15"/>
                <w:b w:val="1"/>
                <w:bCs w:val="1"/>
                <w:color w:val="4F81BD"/>
              </w:rPr>
              <w:t>•</w:t>
            </w:r>
          </w:p>
        </w:tc>
        <w:tc>
          <w:tcPr>
            <w:tcW w:w="3220" w:type="dxa"/>
            <w:vAlign w:val="bottom"/>
          </w:tcPr>
          <w:p>
            <w:pPr>
              <w:ind w:left="140"/>
              <w:spacing w:after="0"/>
              <w:rPr>
                <w:sz w:val="20"/>
                <w:szCs w:val="20"/>
                <w:color w:val="auto"/>
              </w:rPr>
            </w:pPr>
            <w:r>
              <w:rPr>
                <w:rFonts w:ascii="Arial" w:cs="Arial" w:eastAsia="Arial" w:hAnsi="Arial"/>
                <w:sz w:val="15"/>
                <w:szCs w:val="15"/>
                <w:b w:val="1"/>
                <w:bCs w:val="1"/>
                <w:color w:val="4F81BD"/>
              </w:rPr>
              <w:t>Supplier Code of Conduct</w:t>
            </w:r>
          </w:p>
        </w:tc>
      </w:tr>
      <w:tr>
        <w:trPr>
          <w:trHeight w:val="212"/>
        </w:trPr>
        <w:tc>
          <w:tcPr>
            <w:tcW w:w="180" w:type="dxa"/>
            <w:vAlign w:val="bottom"/>
          </w:tcPr>
          <w:p>
            <w:pPr>
              <w:spacing w:after="0"/>
              <w:rPr>
                <w:sz w:val="20"/>
                <w:szCs w:val="20"/>
                <w:color w:val="auto"/>
              </w:rPr>
            </w:pPr>
            <w:r>
              <w:rPr>
                <w:rFonts w:ascii="Arial" w:cs="Arial" w:eastAsia="Arial" w:hAnsi="Arial"/>
                <w:sz w:val="15"/>
                <w:szCs w:val="15"/>
                <w:b w:val="1"/>
                <w:bCs w:val="1"/>
                <w:color w:val="4F81BD"/>
              </w:rPr>
              <w:t>•</w:t>
            </w:r>
          </w:p>
        </w:tc>
        <w:tc>
          <w:tcPr>
            <w:tcW w:w="3360" w:type="dxa"/>
            <w:vAlign w:val="bottom"/>
          </w:tcPr>
          <w:p>
            <w:pPr>
              <w:ind w:left="140"/>
              <w:spacing w:after="0"/>
              <w:rPr>
                <w:sz w:val="20"/>
                <w:szCs w:val="20"/>
                <w:color w:val="auto"/>
              </w:rPr>
            </w:pPr>
            <w:r>
              <w:rPr>
                <w:rFonts w:ascii="Arial" w:cs="Arial" w:eastAsia="Arial" w:hAnsi="Arial"/>
                <w:sz w:val="15"/>
                <w:szCs w:val="15"/>
                <w:b w:val="1"/>
                <w:bCs w:val="1"/>
                <w:color w:val="4F81BD"/>
              </w:rPr>
              <w:t>Compensation Committee Charter</w:t>
            </w:r>
          </w:p>
        </w:tc>
        <w:tc>
          <w:tcPr>
            <w:tcW w:w="980" w:type="dxa"/>
            <w:vAlign w:val="bottom"/>
          </w:tcPr>
          <w:p>
            <w:pPr>
              <w:ind w:left="780"/>
              <w:spacing w:after="0"/>
              <w:rPr>
                <w:sz w:val="20"/>
                <w:szCs w:val="20"/>
                <w:color w:val="auto"/>
              </w:rPr>
            </w:pPr>
            <w:r>
              <w:rPr>
                <w:rFonts w:ascii="Arial" w:cs="Arial" w:eastAsia="Arial" w:hAnsi="Arial"/>
                <w:sz w:val="15"/>
                <w:szCs w:val="15"/>
                <w:b w:val="1"/>
                <w:bCs w:val="1"/>
                <w:color w:val="4F81BD"/>
              </w:rPr>
              <w:t>•</w:t>
            </w:r>
          </w:p>
        </w:tc>
        <w:tc>
          <w:tcPr>
            <w:tcW w:w="3220" w:type="dxa"/>
            <w:vAlign w:val="bottom"/>
          </w:tcPr>
          <w:p>
            <w:pPr>
              <w:ind w:left="140"/>
              <w:spacing w:after="0"/>
              <w:rPr>
                <w:sz w:val="20"/>
                <w:szCs w:val="20"/>
                <w:color w:val="auto"/>
              </w:rPr>
            </w:pPr>
            <w:r>
              <w:rPr>
                <w:rFonts w:ascii="Arial" w:cs="Arial" w:eastAsia="Arial" w:hAnsi="Arial"/>
                <w:sz w:val="15"/>
                <w:szCs w:val="15"/>
                <w:b w:val="1"/>
                <w:bCs w:val="1"/>
                <w:color w:val="4F81BD"/>
              </w:rPr>
              <w:t>Human Rights Policy Statement</w:t>
            </w:r>
          </w:p>
        </w:tc>
      </w:tr>
      <w:tr>
        <w:trPr>
          <w:trHeight w:val="225"/>
        </w:trPr>
        <w:tc>
          <w:tcPr>
            <w:tcW w:w="180" w:type="dxa"/>
            <w:vAlign w:val="bottom"/>
          </w:tcPr>
          <w:p>
            <w:pPr>
              <w:spacing w:after="0"/>
              <w:rPr>
                <w:sz w:val="20"/>
                <w:szCs w:val="20"/>
                <w:color w:val="auto"/>
              </w:rPr>
            </w:pPr>
            <w:r>
              <w:rPr>
                <w:rFonts w:ascii="Arial" w:cs="Arial" w:eastAsia="Arial" w:hAnsi="Arial"/>
                <w:sz w:val="15"/>
                <w:szCs w:val="15"/>
                <w:b w:val="1"/>
                <w:bCs w:val="1"/>
                <w:color w:val="4F81BD"/>
              </w:rPr>
              <w:t>•</w:t>
            </w:r>
          </w:p>
        </w:tc>
        <w:tc>
          <w:tcPr>
            <w:tcW w:w="3360" w:type="dxa"/>
            <w:vAlign w:val="bottom"/>
          </w:tcPr>
          <w:p>
            <w:pPr>
              <w:ind w:left="140"/>
              <w:spacing w:after="0"/>
              <w:rPr>
                <w:sz w:val="20"/>
                <w:szCs w:val="20"/>
                <w:color w:val="auto"/>
              </w:rPr>
            </w:pPr>
            <w:r>
              <w:rPr>
                <w:rFonts w:ascii="Arial" w:cs="Arial" w:eastAsia="Arial" w:hAnsi="Arial"/>
                <w:sz w:val="15"/>
                <w:szCs w:val="15"/>
                <w:b w:val="1"/>
                <w:bCs w:val="1"/>
                <w:color w:val="4F81BD"/>
              </w:rPr>
              <w:t>Corporate Governance Guidelines</w:t>
            </w:r>
          </w:p>
        </w:tc>
        <w:tc>
          <w:tcPr>
            <w:tcW w:w="980" w:type="dxa"/>
            <w:vAlign w:val="bottom"/>
          </w:tcPr>
          <w:p>
            <w:pPr>
              <w:ind w:left="780"/>
              <w:spacing w:after="0"/>
              <w:rPr>
                <w:sz w:val="20"/>
                <w:szCs w:val="20"/>
                <w:color w:val="auto"/>
              </w:rPr>
            </w:pPr>
            <w:r>
              <w:rPr>
                <w:rFonts w:ascii="Arial" w:cs="Arial" w:eastAsia="Arial" w:hAnsi="Arial"/>
                <w:sz w:val="15"/>
                <w:szCs w:val="15"/>
                <w:b w:val="1"/>
                <w:bCs w:val="1"/>
                <w:color w:val="4F81BD"/>
              </w:rPr>
              <w:t>•</w:t>
            </w:r>
          </w:p>
        </w:tc>
        <w:tc>
          <w:tcPr>
            <w:tcW w:w="3220" w:type="dxa"/>
            <w:vAlign w:val="bottom"/>
          </w:tcPr>
          <w:p>
            <w:pPr>
              <w:ind w:left="140"/>
              <w:spacing w:after="0"/>
              <w:rPr>
                <w:sz w:val="20"/>
                <w:szCs w:val="20"/>
                <w:color w:val="auto"/>
              </w:rPr>
            </w:pPr>
            <w:r>
              <w:rPr>
                <w:rFonts w:ascii="Arial" w:cs="Arial" w:eastAsia="Arial" w:hAnsi="Arial"/>
                <w:sz w:val="15"/>
                <w:szCs w:val="15"/>
                <w:b w:val="1"/>
                <w:bCs w:val="1"/>
                <w:color w:val="4F81BD"/>
              </w:rPr>
              <w:t>Modern Slavery Statement</w:t>
            </w:r>
          </w:p>
        </w:tc>
      </w:tr>
      <w:tr>
        <w:trPr>
          <w:trHeight w:val="212"/>
        </w:trPr>
        <w:tc>
          <w:tcPr>
            <w:tcW w:w="180" w:type="dxa"/>
            <w:vAlign w:val="bottom"/>
          </w:tcPr>
          <w:p>
            <w:pPr>
              <w:spacing w:after="0"/>
              <w:rPr>
                <w:sz w:val="20"/>
                <w:szCs w:val="20"/>
                <w:color w:val="auto"/>
              </w:rPr>
            </w:pPr>
            <w:r>
              <w:rPr>
                <w:rFonts w:ascii="Arial" w:cs="Arial" w:eastAsia="Arial" w:hAnsi="Arial"/>
                <w:sz w:val="15"/>
                <w:szCs w:val="15"/>
                <w:b w:val="1"/>
                <w:bCs w:val="1"/>
                <w:color w:val="4F81BD"/>
              </w:rPr>
              <w:t>•</w:t>
            </w:r>
          </w:p>
        </w:tc>
        <w:tc>
          <w:tcPr>
            <w:tcW w:w="3360" w:type="dxa"/>
            <w:vAlign w:val="bottom"/>
          </w:tcPr>
          <w:p>
            <w:pPr>
              <w:ind w:left="140"/>
              <w:spacing w:after="0"/>
              <w:rPr>
                <w:sz w:val="20"/>
                <w:szCs w:val="20"/>
                <w:color w:val="auto"/>
              </w:rPr>
            </w:pPr>
            <w:r>
              <w:rPr>
                <w:rFonts w:ascii="Arial" w:cs="Arial" w:eastAsia="Arial" w:hAnsi="Arial"/>
                <w:sz w:val="15"/>
                <w:szCs w:val="15"/>
                <w:b w:val="1"/>
                <w:bCs w:val="1"/>
                <w:color w:val="4F81BD"/>
              </w:rPr>
              <w:t>Director Independence Policy</w:t>
            </w:r>
          </w:p>
        </w:tc>
        <w:tc>
          <w:tcPr>
            <w:tcW w:w="980" w:type="dxa"/>
            <w:vAlign w:val="bottom"/>
          </w:tcPr>
          <w:p>
            <w:pPr>
              <w:spacing w:after="0"/>
              <w:rPr>
                <w:sz w:val="18"/>
                <w:szCs w:val="18"/>
                <w:color w:val="auto"/>
              </w:rPr>
            </w:pPr>
          </w:p>
        </w:tc>
        <w:tc>
          <w:tcPr>
            <w:tcW w:w="3220" w:type="dxa"/>
            <w:vAlign w:val="bottom"/>
          </w:tcPr>
          <w:p>
            <w:pPr>
              <w:spacing w:after="0"/>
              <w:rPr>
                <w:sz w:val="18"/>
                <w:szCs w:val="18"/>
                <w:color w:val="auto"/>
              </w:rPr>
            </w:pPr>
          </w:p>
        </w:tc>
      </w:tr>
    </w:tbl>
    <w:p>
      <w:pPr>
        <w:spacing w:after="0" w:line="65" w:lineRule="exact"/>
        <w:rPr>
          <w:sz w:val="20"/>
          <w:szCs w:val="20"/>
          <w:color w:val="auto"/>
        </w:rPr>
      </w:pPr>
    </w:p>
    <w:p>
      <w:pPr>
        <w:ind w:left="360" w:right="279"/>
        <w:spacing w:after="0" w:line="289" w:lineRule="auto"/>
        <w:rPr>
          <w:sz w:val="20"/>
          <w:szCs w:val="20"/>
          <w:color w:val="auto"/>
        </w:rPr>
      </w:pPr>
      <w:r>
        <w:rPr>
          <w:rFonts w:ascii="Arial" w:cs="Arial" w:eastAsia="Arial" w:hAnsi="Arial"/>
          <w:sz w:val="15"/>
          <w:szCs w:val="15"/>
          <w:b w:val="1"/>
          <w:bCs w:val="1"/>
          <w:color w:val="4F81BD"/>
        </w:rPr>
        <w:t>Also available on our website are this Proxy Statement, our 2025 Annual Report on Form 10-K and our latest Sustainability Report, being our 2024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1895475</wp:posOffset>
            </wp:positionV>
            <wp:extent cx="297180" cy="290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2" w:name="page13"/>
    <w:bookmarkEnd w:id="12"/>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Corporate Governance Guidelines</w:t>
      </w:r>
    </w:p>
    <w:p>
      <w:pPr>
        <w:spacing w:after="0" w:line="195"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Our Board believes that adherence to sound corporate governance policies and practices is important so that the Company is governed and managed with the highest standards of responsibility, ethics and integrity and by taking into account the interests of all stakeholders. We have adopted a set of Corporate Governance Guidelines intended to reflect a set of core values that provide the foundation for our governance and management systems and our interactions with others.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Our Corporate Governance Guidelines address key governance matters, including, but not limited to:</w:t>
      </w:r>
    </w:p>
    <w:p>
      <w:pPr>
        <w:spacing w:after="0" w:line="117" w:lineRule="exact"/>
        <w:rPr>
          <w:sz w:val="20"/>
          <w:szCs w:val="20"/>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Selection and composition of the Board;</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orientation and continuing education;</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Board membership criteria and selection process;</w:t>
      </w:r>
    </w:p>
    <w:p>
      <w:pPr>
        <w:spacing w:after="0" w:line="117"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Board operations, including the size of the Board, Board independence and Board committee structure;</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responsibilities;</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Executive sessions of non-employee Directors;</w:t>
      </w:r>
    </w:p>
    <w:p>
      <w:pPr>
        <w:spacing w:after="0" w:line="117"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Performance evaluations of the Board, Committees of the Board and individual Directors;</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compensation;</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Director access to management and outside advisors;</w:t>
      </w:r>
    </w:p>
    <w:p>
      <w:pPr>
        <w:spacing w:after="0" w:line="117"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Management succession;</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Resignation policy in uncontested Director elections; and</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Limits on Board members serving on other public company boards.</w:t>
      </w:r>
    </w:p>
    <w:p>
      <w:pPr>
        <w:spacing w:after="0" w:line="117"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 xml:space="preserve">The Board believes that corporate governance is an evolving process and generally reviews the Corporate Governance Guidelines every two years and updates them when appropriate. A current copy of the Corporate Governance Guidelines can be found on our website under the heading Corporate Governance at </w:t>
      </w:r>
      <w:r>
        <w:rPr>
          <w:rFonts w:ascii="Arial" w:cs="Arial" w:eastAsia="Arial" w:hAnsi="Arial"/>
          <w:sz w:val="15"/>
          <w:szCs w:val="15"/>
          <w:b w:val="1"/>
          <w:bCs w:val="1"/>
          <w:i w:val="1"/>
          <w:iCs w:val="1"/>
          <w:color w:val="4F81BD"/>
        </w:rPr>
        <w:t>www.innospec.com/about-us/corporate-governance</w:t>
      </w:r>
      <w:r>
        <w:rPr>
          <w:rFonts w:ascii="Arial" w:cs="Arial" w:eastAsia="Arial" w:hAnsi="Arial"/>
          <w:sz w:val="15"/>
          <w:szCs w:val="15"/>
          <w:color w:val="auto"/>
        </w:rPr>
        <w:t>, or by writing to Mr. David B. Jones, Senior Vice President, General Counsel, Chief Compliance Officer and Corporate Secretary at Innospec Inc., 8310 South Valley Highway, Suite 350, Englewood, CO 80112.</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Innospec’s Leadership Structure</w:t>
      </w:r>
    </w:p>
    <w:p>
      <w:pPr>
        <w:spacing w:after="0" w:line="195"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The Board believes that the roles of Chairman of the Board (a non-executive position) and Chief Executive Officer should remain separate to enable the Board to provide effective guidance to management and promote oversight and accountability of management. This separation preserves the distinction between the management and oversight functions, maintaining the responsibility of management to help develop corporate strategy and the responsibility of the Board to review and provide input on corporate strategy.</w:t>
      </w:r>
    </w:p>
    <w:p>
      <w:pPr>
        <w:spacing w:after="0" w:line="93"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To fulfill the role, the Chairman of the Board, among other things, creates and maintains an effective working relationship between the Board and the Company’s management; provides the CEO with on-going direction as to current Board needs, interests, views and expectations; and directs the Board agenda to the matters of greatest importance to Innospec.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2242820</wp:posOffset>
            </wp:positionV>
            <wp:extent cx="297180" cy="290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1042035</wp:posOffset>
            </wp:positionH>
            <wp:positionV relativeFrom="page">
              <wp:posOffset>984250</wp:posOffset>
            </wp:positionV>
            <wp:extent cx="5542280" cy="2303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42280" cy="230378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5"/>
          <w:szCs w:val="15"/>
          <w:color w:val="auto"/>
        </w:rPr>
        <w:t>The duties of the non-executive Chairman of the Board include:</w:t>
      </w:r>
    </w:p>
    <w:p>
      <w:pPr>
        <w:spacing w:after="0" w:line="128" w:lineRule="exact"/>
        <w:rPr>
          <w:sz w:val="20"/>
          <w:szCs w:val="20"/>
          <w:color w:val="auto"/>
        </w:rPr>
      </w:pPr>
    </w:p>
    <w:p>
      <w:pPr>
        <w:ind w:left="980" w:hanging="337"/>
        <w:spacing w:after="0"/>
        <w:tabs>
          <w:tab w:leader="none" w:pos="980" w:val="left"/>
        </w:tabs>
        <w:numPr>
          <w:ilvl w:val="0"/>
          <w:numId w:val="12"/>
        </w:numPr>
        <w:rPr>
          <w:rFonts w:ascii="MS PGothic" w:cs="MS PGothic" w:eastAsia="MS PGothic" w:hAnsi="MS PGothic"/>
          <w:sz w:val="15"/>
          <w:szCs w:val="15"/>
          <w:color w:val="4F81BD"/>
        </w:rPr>
      </w:pPr>
      <w:r>
        <w:rPr>
          <w:rFonts w:ascii="Arial" w:cs="Arial" w:eastAsia="Arial" w:hAnsi="Arial"/>
          <w:sz w:val="15"/>
          <w:szCs w:val="15"/>
          <w:color w:val="auto"/>
        </w:rPr>
        <w:t>presiding over meetings of the Board;</w:t>
      </w:r>
    </w:p>
    <w:p>
      <w:pPr>
        <w:spacing w:after="0" w:line="128" w:lineRule="exact"/>
        <w:rPr>
          <w:rFonts w:ascii="MS PGothic" w:cs="MS PGothic" w:eastAsia="MS PGothic" w:hAnsi="MS PGothic"/>
          <w:sz w:val="15"/>
          <w:szCs w:val="15"/>
          <w:color w:val="4F81BD"/>
        </w:rPr>
      </w:pPr>
    </w:p>
    <w:p>
      <w:pPr>
        <w:ind w:left="980" w:hanging="337"/>
        <w:spacing w:after="0"/>
        <w:tabs>
          <w:tab w:leader="none" w:pos="980" w:val="left"/>
        </w:tabs>
        <w:numPr>
          <w:ilvl w:val="0"/>
          <w:numId w:val="12"/>
        </w:numPr>
        <w:rPr>
          <w:rFonts w:ascii="MS PGothic" w:cs="MS PGothic" w:eastAsia="MS PGothic" w:hAnsi="MS PGothic"/>
          <w:sz w:val="15"/>
          <w:szCs w:val="15"/>
          <w:color w:val="4F81BD"/>
        </w:rPr>
      </w:pPr>
      <w:r>
        <w:rPr>
          <w:rFonts w:ascii="Arial" w:cs="Arial" w:eastAsia="Arial" w:hAnsi="Arial"/>
          <w:sz w:val="15"/>
          <w:szCs w:val="15"/>
          <w:color w:val="auto"/>
        </w:rPr>
        <w:t>preparing the agenda for Board meetings in consultation with the CEO, CFO and other members of the Board;</w:t>
      </w:r>
    </w:p>
    <w:p>
      <w:pPr>
        <w:spacing w:after="0" w:line="117" w:lineRule="exact"/>
        <w:rPr>
          <w:rFonts w:ascii="MS PGothic" w:cs="MS PGothic" w:eastAsia="MS PGothic" w:hAnsi="MS PGothic"/>
          <w:sz w:val="15"/>
          <w:szCs w:val="15"/>
          <w:color w:val="4F81BD"/>
        </w:rPr>
      </w:pPr>
    </w:p>
    <w:p>
      <w:pPr>
        <w:ind w:left="980" w:hanging="337"/>
        <w:spacing w:after="0"/>
        <w:tabs>
          <w:tab w:leader="none" w:pos="980" w:val="left"/>
        </w:tabs>
        <w:numPr>
          <w:ilvl w:val="0"/>
          <w:numId w:val="12"/>
        </w:numPr>
        <w:rPr>
          <w:rFonts w:ascii="MS PGothic" w:cs="MS PGothic" w:eastAsia="MS PGothic" w:hAnsi="MS PGothic"/>
          <w:sz w:val="15"/>
          <w:szCs w:val="15"/>
          <w:color w:val="4F81BD"/>
        </w:rPr>
      </w:pPr>
      <w:r>
        <w:rPr>
          <w:rFonts w:ascii="Arial" w:cs="Arial" w:eastAsia="Arial" w:hAnsi="Arial"/>
          <w:sz w:val="15"/>
          <w:szCs w:val="15"/>
          <w:color w:val="auto"/>
        </w:rPr>
        <w:t>calling and presiding over meetings of the independent Directors;</w:t>
      </w:r>
    </w:p>
    <w:p>
      <w:pPr>
        <w:spacing w:after="0" w:line="128" w:lineRule="exact"/>
        <w:rPr>
          <w:rFonts w:ascii="MS PGothic" w:cs="MS PGothic" w:eastAsia="MS PGothic" w:hAnsi="MS PGothic"/>
          <w:sz w:val="15"/>
          <w:szCs w:val="15"/>
          <w:color w:val="4F81BD"/>
        </w:rPr>
      </w:pPr>
    </w:p>
    <w:p>
      <w:pPr>
        <w:ind w:left="980" w:hanging="337"/>
        <w:spacing w:after="0"/>
        <w:tabs>
          <w:tab w:leader="none" w:pos="980" w:val="left"/>
        </w:tabs>
        <w:numPr>
          <w:ilvl w:val="0"/>
          <w:numId w:val="12"/>
        </w:numPr>
        <w:rPr>
          <w:rFonts w:ascii="MS PGothic" w:cs="MS PGothic" w:eastAsia="MS PGothic" w:hAnsi="MS PGothic"/>
          <w:sz w:val="15"/>
          <w:szCs w:val="15"/>
          <w:color w:val="4F81BD"/>
        </w:rPr>
      </w:pPr>
      <w:r>
        <w:rPr>
          <w:rFonts w:ascii="Arial" w:cs="Arial" w:eastAsia="Arial" w:hAnsi="Arial"/>
          <w:sz w:val="15"/>
          <w:szCs w:val="15"/>
          <w:color w:val="auto"/>
        </w:rPr>
        <w:t>co-ordinating periodic review of management’s strategic plan for the Company;</w:t>
      </w:r>
    </w:p>
    <w:p>
      <w:pPr>
        <w:spacing w:after="0" w:line="128" w:lineRule="exact"/>
        <w:rPr>
          <w:rFonts w:ascii="MS PGothic" w:cs="MS PGothic" w:eastAsia="MS PGothic" w:hAnsi="MS PGothic"/>
          <w:sz w:val="15"/>
          <w:szCs w:val="15"/>
          <w:color w:val="4F81BD"/>
        </w:rPr>
      </w:pPr>
    </w:p>
    <w:p>
      <w:pPr>
        <w:ind w:left="980" w:right="199" w:hanging="337"/>
        <w:spacing w:after="0" w:line="281" w:lineRule="auto"/>
        <w:tabs>
          <w:tab w:leader="none" w:pos="980" w:val="left"/>
        </w:tabs>
        <w:numPr>
          <w:ilvl w:val="0"/>
          <w:numId w:val="12"/>
        </w:numPr>
        <w:rPr>
          <w:rFonts w:ascii="MS PGothic" w:cs="MS PGothic" w:eastAsia="MS PGothic" w:hAnsi="MS PGothic"/>
          <w:sz w:val="15"/>
          <w:szCs w:val="15"/>
          <w:color w:val="4F81BD"/>
        </w:rPr>
      </w:pPr>
      <w:r>
        <w:rPr>
          <w:rFonts w:ascii="Arial" w:cs="Arial" w:eastAsia="Arial" w:hAnsi="Arial"/>
          <w:sz w:val="15"/>
          <w:szCs w:val="15"/>
          <w:color w:val="auto"/>
        </w:rPr>
        <w:t>after consulting with other Board members and the CEO, making recommendations to the Nominating, Corporate Governance and Sustainability Committee as to the membership of various Board committees and Committee Chairs;</w:t>
      </w:r>
    </w:p>
    <w:p>
      <w:pPr>
        <w:spacing w:after="0" w:line="63" w:lineRule="exact"/>
        <w:rPr>
          <w:rFonts w:ascii="MS PGothic" w:cs="MS PGothic" w:eastAsia="MS PGothic" w:hAnsi="MS PGothic"/>
          <w:sz w:val="15"/>
          <w:szCs w:val="15"/>
          <w:color w:val="4F81BD"/>
        </w:rPr>
      </w:pPr>
    </w:p>
    <w:p>
      <w:pPr>
        <w:ind w:left="980" w:hanging="337"/>
        <w:spacing w:after="0"/>
        <w:tabs>
          <w:tab w:leader="none" w:pos="980" w:val="left"/>
        </w:tabs>
        <w:numPr>
          <w:ilvl w:val="0"/>
          <w:numId w:val="12"/>
        </w:numPr>
        <w:rPr>
          <w:rFonts w:ascii="MS PGothic" w:cs="MS PGothic" w:eastAsia="MS PGothic" w:hAnsi="MS PGothic"/>
          <w:sz w:val="15"/>
          <w:szCs w:val="15"/>
          <w:color w:val="4F81BD"/>
        </w:rPr>
      </w:pPr>
      <w:r>
        <w:rPr>
          <w:rFonts w:ascii="Arial" w:cs="Arial" w:eastAsia="Arial" w:hAnsi="Arial"/>
          <w:sz w:val="15"/>
          <w:szCs w:val="15"/>
          <w:color w:val="auto"/>
        </w:rPr>
        <w:t>managing the Board’s process for Director self-assessment and evaluation of the Board;</w:t>
      </w:r>
    </w:p>
    <w:p>
      <w:pPr>
        <w:spacing w:after="0" w:line="128" w:lineRule="exact"/>
        <w:rPr>
          <w:rFonts w:ascii="MS PGothic" w:cs="MS PGothic" w:eastAsia="MS PGothic" w:hAnsi="MS PGothic"/>
          <w:sz w:val="15"/>
          <w:szCs w:val="15"/>
          <w:color w:val="4F81BD"/>
        </w:rPr>
      </w:pPr>
    </w:p>
    <w:p>
      <w:pPr>
        <w:ind w:left="980" w:hanging="337"/>
        <w:spacing w:after="0"/>
        <w:tabs>
          <w:tab w:leader="none" w:pos="980" w:val="left"/>
        </w:tabs>
        <w:numPr>
          <w:ilvl w:val="0"/>
          <w:numId w:val="12"/>
        </w:numPr>
        <w:rPr>
          <w:rFonts w:ascii="MS PGothic" w:cs="MS PGothic" w:eastAsia="MS PGothic" w:hAnsi="MS PGothic"/>
          <w:sz w:val="15"/>
          <w:szCs w:val="15"/>
          <w:color w:val="4F81BD"/>
        </w:rPr>
      </w:pPr>
      <w:r>
        <w:rPr>
          <w:rFonts w:ascii="Arial" w:cs="Arial" w:eastAsia="Arial" w:hAnsi="Arial"/>
          <w:sz w:val="15"/>
          <w:szCs w:val="15"/>
          <w:color w:val="auto"/>
        </w:rPr>
        <w:t>presiding over meetings of stockholders;</w:t>
      </w:r>
    </w:p>
    <w:p>
      <w:pPr>
        <w:spacing w:after="0" w:line="128" w:lineRule="exact"/>
        <w:rPr>
          <w:rFonts w:ascii="MS PGothic" w:cs="MS PGothic" w:eastAsia="MS PGothic" w:hAnsi="MS PGothic"/>
          <w:sz w:val="15"/>
          <w:szCs w:val="15"/>
          <w:color w:val="4F81BD"/>
        </w:rPr>
      </w:pPr>
    </w:p>
    <w:p>
      <w:pPr>
        <w:ind w:left="980" w:hanging="337"/>
        <w:spacing w:after="0"/>
        <w:tabs>
          <w:tab w:leader="none" w:pos="980" w:val="left"/>
        </w:tabs>
        <w:numPr>
          <w:ilvl w:val="0"/>
          <w:numId w:val="12"/>
        </w:numPr>
        <w:rPr>
          <w:rFonts w:ascii="MS PGothic" w:cs="MS PGothic" w:eastAsia="MS PGothic" w:hAnsi="MS PGothic"/>
          <w:sz w:val="15"/>
          <w:szCs w:val="15"/>
          <w:color w:val="4F81BD"/>
        </w:rPr>
      </w:pPr>
      <w:r>
        <w:rPr>
          <w:rFonts w:ascii="Arial" w:cs="Arial" w:eastAsia="Arial" w:hAnsi="Arial"/>
          <w:sz w:val="15"/>
          <w:szCs w:val="15"/>
          <w:color w:val="auto"/>
        </w:rPr>
        <w:t>encouraging active participation by each member of the Board; and</w:t>
      </w:r>
    </w:p>
    <w:p>
      <w:pPr>
        <w:spacing w:after="0" w:line="117" w:lineRule="exact"/>
        <w:rPr>
          <w:rFonts w:ascii="MS PGothic" w:cs="MS PGothic" w:eastAsia="MS PGothic" w:hAnsi="MS PGothic"/>
          <w:sz w:val="15"/>
          <w:szCs w:val="15"/>
          <w:color w:val="4F81BD"/>
        </w:rPr>
      </w:pPr>
    </w:p>
    <w:p>
      <w:pPr>
        <w:ind w:left="980" w:hanging="337"/>
        <w:spacing w:after="0"/>
        <w:tabs>
          <w:tab w:leader="none" w:pos="980" w:val="left"/>
        </w:tabs>
        <w:numPr>
          <w:ilvl w:val="0"/>
          <w:numId w:val="12"/>
        </w:numPr>
        <w:rPr>
          <w:rFonts w:ascii="MS PGothic" w:cs="MS PGothic" w:eastAsia="MS PGothic" w:hAnsi="MS PGothic"/>
          <w:sz w:val="15"/>
          <w:szCs w:val="15"/>
          <w:color w:val="4F81BD"/>
        </w:rPr>
      </w:pPr>
      <w:r>
        <w:rPr>
          <w:rFonts w:ascii="Arial" w:cs="Arial" w:eastAsia="Arial" w:hAnsi="Arial"/>
          <w:sz w:val="15"/>
          <w:szCs w:val="15"/>
          <w:color w:val="auto"/>
        </w:rPr>
        <w:t>performing such other duties and services as the Board may require.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The Board’s Role in Risk Management</w:t>
      </w:r>
    </w:p>
    <w:p>
      <w:pPr>
        <w:spacing w:after="0" w:line="195"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The Board’s role in risk oversight and management is consistent with our leadership structure, with the CEO and other members of senior management having responsibility for assessing and managing the Company’s risk exposure, and the Board and its committees providing oversight in connection with these efforts. Risk management is an integral part of Board and committee deliberations throughout the year. During 2025, the Senior Vice President, Corporate Development and Investor Relations, presented a summary of key risks facing the Company so the Board could discuss and assess such risks and the management of them on a timely and on-going basis.</w:t>
      </w:r>
    </w:p>
    <w:p>
      <w:pPr>
        <w:spacing w:after="0" w:line="96" w:lineRule="exact"/>
        <w:rPr>
          <w:sz w:val="20"/>
          <w:szCs w:val="20"/>
          <w:color w:val="auto"/>
        </w:rPr>
      </w:pPr>
    </w:p>
    <w:p>
      <w:pPr>
        <w:ind w:left="200" w:right="1579"/>
        <w:spacing w:after="0" w:line="281" w:lineRule="auto"/>
        <w:rPr>
          <w:sz w:val="20"/>
          <w:szCs w:val="20"/>
          <w:color w:val="auto"/>
        </w:rPr>
      </w:pPr>
      <w:r>
        <w:rPr>
          <w:rFonts w:ascii="Arial" w:cs="Arial" w:eastAsia="Arial" w:hAnsi="Arial"/>
          <w:sz w:val="15"/>
          <w:szCs w:val="15"/>
          <w:color w:val="auto"/>
        </w:rPr>
        <w:t>The Global IT Director presents his information technology and cyber security update to the Board in person at least annually.</w:t>
      </w:r>
    </w:p>
    <w:p>
      <w:pPr>
        <w:spacing w:after="0" w:line="64"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In fiscal 2025, each of our Directors completed our Code of Business Ethics online compliance training program that we require our employees to complete. In addition, in fiscal 2025, as part of our risk oversight of our information technology systems and risk mitigation efforts, employee training on cyber security risks was required of all Innospec Directors and employees who have access to our information technology resources.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NCC Group (“NCC”) performs periodic cyber security reviews. NCC reports its findings directly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3060700</wp:posOffset>
            </wp:positionV>
            <wp:extent cx="297180" cy="290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 w:name="page15"/>
    <w:bookmarkEnd w:id="14"/>
    <w:p>
      <w:pPr>
        <w:spacing w:after="0" w:line="78" w:lineRule="exact"/>
        <w:rPr>
          <w:sz w:val="20"/>
          <w:szCs w:val="20"/>
          <w:color w:val="auto"/>
        </w:rPr>
      </w:pPr>
    </w:p>
    <w:p>
      <w:pPr>
        <w:ind w:left="2180"/>
        <w:spacing w:after="0"/>
        <w:rPr>
          <w:sz w:val="20"/>
          <w:szCs w:val="20"/>
          <w:color w:val="auto"/>
        </w:rPr>
      </w:pPr>
      <w:r>
        <w:rPr>
          <w:rFonts w:ascii="Arial" w:cs="Arial" w:eastAsia="Arial" w:hAnsi="Arial"/>
          <w:sz w:val="27"/>
          <w:szCs w:val="27"/>
          <w:b w:val="1"/>
          <w:bCs w:val="1"/>
          <w:color w:val="4F81BD"/>
        </w:rPr>
        <w:t>Risk oversight – Who is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122555</wp:posOffset>
            </wp:positionV>
            <wp:extent cx="5542280" cy="1947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2280" cy="1947545"/>
                    </a:xfrm>
                    <a:prstGeom prst="rect">
                      <a:avLst/>
                    </a:prstGeom>
                    <a:noFill/>
                  </pic:spPr>
                </pic:pic>
              </a:graphicData>
            </a:graphic>
          </wp:anchor>
        </w:drawing>
      </w:r>
    </w:p>
    <w:p>
      <w:pPr>
        <w:spacing w:after="0" w:line="266" w:lineRule="exact"/>
        <w:rPr>
          <w:sz w:val="20"/>
          <w:szCs w:val="20"/>
          <w:color w:val="auto"/>
        </w:rPr>
      </w:pPr>
    </w:p>
    <w:p>
      <w:pPr>
        <w:ind w:left="740"/>
        <w:spacing w:after="0"/>
        <w:rPr>
          <w:sz w:val="20"/>
          <w:szCs w:val="20"/>
          <w:color w:val="auto"/>
        </w:rPr>
      </w:pPr>
      <w:r>
        <w:rPr>
          <w:rFonts w:ascii="Arial" w:cs="Arial" w:eastAsia="Arial" w:hAnsi="Arial"/>
          <w:sz w:val="32"/>
          <w:szCs w:val="32"/>
          <w:b w:val="1"/>
          <w:bCs w:val="1"/>
          <w:i w:val="1"/>
          <w:iCs w:val="1"/>
          <w:color w:val="FFFFFF"/>
        </w:rPr>
        <w:t>The Board</w:t>
      </w:r>
    </w:p>
    <w:p>
      <w:pPr>
        <w:spacing w:after="0" w:line="306" w:lineRule="exact"/>
        <w:rPr>
          <w:sz w:val="20"/>
          <w:szCs w:val="20"/>
          <w:color w:val="auto"/>
        </w:rPr>
      </w:pPr>
    </w:p>
    <w:p>
      <w:pPr>
        <w:ind w:left="880" w:hanging="170"/>
        <w:spacing w:after="0"/>
        <w:tabs>
          <w:tab w:leader="none" w:pos="8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monitors and evaluates how management operates the Company;</w:t>
      </w:r>
    </w:p>
    <w:p>
      <w:pPr>
        <w:spacing w:after="0" w:line="20" w:lineRule="exact"/>
        <w:rPr>
          <w:rFonts w:ascii="Arial" w:cs="Arial" w:eastAsia="Arial" w:hAnsi="Arial"/>
          <w:sz w:val="13"/>
          <w:szCs w:val="13"/>
          <w:b w:val="1"/>
          <w:bCs w:val="1"/>
          <w:color w:val="auto"/>
        </w:rPr>
      </w:pPr>
    </w:p>
    <w:p>
      <w:pPr>
        <w:ind w:left="880" w:hanging="170"/>
        <w:spacing w:after="0"/>
        <w:tabs>
          <w:tab w:leader="none" w:pos="8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considers updates received from management regarding quarterly performance;</w:t>
      </w:r>
    </w:p>
    <w:p>
      <w:pPr>
        <w:spacing w:after="0" w:line="6" w:lineRule="exact"/>
        <w:rPr>
          <w:rFonts w:ascii="Arial" w:cs="Arial" w:eastAsia="Arial" w:hAnsi="Arial"/>
          <w:sz w:val="13"/>
          <w:szCs w:val="13"/>
          <w:b w:val="1"/>
          <w:bCs w:val="1"/>
          <w:color w:val="auto"/>
        </w:rPr>
      </w:pPr>
    </w:p>
    <w:p>
      <w:pPr>
        <w:ind w:left="880" w:hanging="170"/>
        <w:spacing w:after="0"/>
        <w:tabs>
          <w:tab w:leader="none" w:pos="8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works with management on the corporate strategy;</w:t>
      </w:r>
    </w:p>
    <w:p>
      <w:pPr>
        <w:spacing w:after="0" w:line="6" w:lineRule="exact"/>
        <w:rPr>
          <w:rFonts w:ascii="Arial" w:cs="Arial" w:eastAsia="Arial" w:hAnsi="Arial"/>
          <w:sz w:val="13"/>
          <w:szCs w:val="13"/>
          <w:b w:val="1"/>
          <w:bCs w:val="1"/>
          <w:color w:val="auto"/>
        </w:rPr>
      </w:pPr>
    </w:p>
    <w:p>
      <w:pPr>
        <w:ind w:left="880" w:right="599" w:hanging="170"/>
        <w:spacing w:after="0" w:line="250" w:lineRule="auto"/>
        <w:tabs>
          <w:tab w:leader="none" w:pos="8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discusses risks related to the Company’s business strategy at periodic strategic planning meetings and at other meetings as appropriate;</w:t>
      </w:r>
    </w:p>
    <w:p>
      <w:pPr>
        <w:ind w:left="880" w:hanging="170"/>
        <w:spacing w:after="0"/>
        <w:tabs>
          <w:tab w:leader="none" w:pos="8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oversees risks related to environmental, social and governance matters;</w:t>
      </w:r>
    </w:p>
    <w:p>
      <w:pPr>
        <w:spacing w:after="0" w:line="6" w:lineRule="exact"/>
        <w:rPr>
          <w:rFonts w:ascii="Arial" w:cs="Arial" w:eastAsia="Arial" w:hAnsi="Arial"/>
          <w:sz w:val="13"/>
          <w:szCs w:val="13"/>
          <w:b w:val="1"/>
          <w:bCs w:val="1"/>
          <w:color w:val="auto"/>
        </w:rPr>
      </w:pPr>
    </w:p>
    <w:p>
      <w:pPr>
        <w:jc w:val="both"/>
        <w:ind w:left="880" w:right="619" w:hanging="170"/>
        <w:spacing w:after="0" w:line="250" w:lineRule="auto"/>
        <w:tabs>
          <w:tab w:leader="none" w:pos="8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reviews quarterly assessment of the primary operational and regulatory risks facing the Company, their relative magnitude and management’s plan for mitigating and responding to these risks, including cyber security risk as needed; and</w:t>
      </w:r>
    </w:p>
    <w:p>
      <w:pPr>
        <w:ind w:left="880" w:hanging="170"/>
        <w:spacing w:after="0"/>
        <w:tabs>
          <w:tab w:leader="none" w:pos="8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reviews insurance coverage to assess whether it is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1000125</wp:posOffset>
            </wp:positionV>
            <wp:extent cx="5542280" cy="13887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228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40"/>
        <w:spacing w:after="0"/>
        <w:rPr>
          <w:sz w:val="20"/>
          <w:szCs w:val="20"/>
          <w:color w:val="auto"/>
        </w:rPr>
      </w:pPr>
      <w:r>
        <w:rPr>
          <w:rFonts w:ascii="Arial" w:cs="Arial" w:eastAsia="Arial" w:hAnsi="Arial"/>
          <w:sz w:val="32"/>
          <w:szCs w:val="32"/>
          <w:b w:val="1"/>
          <w:bCs w:val="1"/>
          <w:i w:val="1"/>
          <w:iCs w:val="1"/>
          <w:color w:val="FFFFFF"/>
        </w:rPr>
        <w:t>The Audit Committee</w:t>
      </w:r>
    </w:p>
    <w:p>
      <w:pPr>
        <w:spacing w:after="0" w:line="317" w:lineRule="exact"/>
        <w:rPr>
          <w:sz w:val="20"/>
          <w:szCs w:val="20"/>
          <w:color w:val="auto"/>
        </w:rPr>
      </w:pPr>
    </w:p>
    <w:p>
      <w:pPr>
        <w:ind w:left="880" w:right="619" w:hanging="170"/>
        <w:spacing w:after="0" w:line="261" w:lineRule="auto"/>
        <w:tabs>
          <w:tab w:leader="none" w:pos="8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considers the adequacy of steps taken by management to monitor and control the Company’s major financial risk exposures;</w:t>
      </w:r>
    </w:p>
    <w:p>
      <w:pPr>
        <w:ind w:left="880" w:right="619" w:hanging="170"/>
        <w:spacing w:after="0" w:line="250" w:lineRule="auto"/>
        <w:tabs>
          <w:tab w:leader="none" w:pos="8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is responsible for reviewing the Company’s policies and practices with respect to financial risk assessment and the integrity of the accounting policies, financial reporting and disclosure practices of Innospec; and</w:t>
      </w:r>
    </w:p>
    <w:p>
      <w:pPr>
        <w:ind w:left="880" w:hanging="170"/>
        <w:spacing w:after="0"/>
        <w:tabs>
          <w:tab w:leader="none" w:pos="8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oversees the performance of the Company’s systems of internal accounting and financial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3609340</wp:posOffset>
            </wp:positionV>
            <wp:extent cx="297180" cy="290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5" w:name="page16"/>
    <w:bookmarkEnd w:id="15"/>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1042035</wp:posOffset>
            </wp:positionH>
            <wp:positionV relativeFrom="page">
              <wp:posOffset>986790</wp:posOffset>
            </wp:positionV>
            <wp:extent cx="5542280" cy="1148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42280" cy="1148080"/>
                    </a:xfrm>
                    <a:prstGeom prst="rect">
                      <a:avLst/>
                    </a:prstGeom>
                    <a:noFill/>
                  </pic:spPr>
                </pic:pic>
              </a:graphicData>
            </a:graphic>
          </wp:anchor>
        </w:drawing>
      </w:r>
    </w:p>
    <w:p>
      <w:pPr>
        <w:ind w:left="740"/>
        <w:spacing w:after="0"/>
        <w:rPr>
          <w:sz w:val="20"/>
          <w:szCs w:val="20"/>
          <w:color w:val="auto"/>
        </w:rPr>
      </w:pPr>
      <w:r>
        <w:rPr>
          <w:rFonts w:ascii="Arial" w:cs="Arial" w:eastAsia="Arial" w:hAnsi="Arial"/>
          <w:sz w:val="32"/>
          <w:szCs w:val="32"/>
          <w:b w:val="1"/>
          <w:bCs w:val="1"/>
          <w:i w:val="1"/>
          <w:iCs w:val="1"/>
          <w:color w:val="FFFFFF"/>
        </w:rPr>
        <w:t>The Compensation Committee</w:t>
      </w:r>
    </w:p>
    <w:p>
      <w:pPr>
        <w:spacing w:after="0" w:line="306" w:lineRule="exact"/>
        <w:rPr>
          <w:sz w:val="20"/>
          <w:szCs w:val="20"/>
          <w:color w:val="auto"/>
        </w:rPr>
      </w:pPr>
    </w:p>
    <w:p>
      <w:pPr>
        <w:jc w:val="both"/>
        <w:ind w:left="880" w:right="599" w:hanging="170"/>
        <w:spacing w:after="0" w:line="278" w:lineRule="auto"/>
        <w:tabs>
          <w:tab w:leader="none" w:pos="8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provides oversight to review compensation risk and to assess that all of the Company’s executive compensation and incentive programs are competitive, closely related to the achievement of corporate objectives and aligned with long-term interests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1042670</wp:posOffset>
            </wp:positionV>
            <wp:extent cx="5542280" cy="21456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42280" cy="2145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20" w:right="2059"/>
        <w:spacing w:after="0" w:line="301" w:lineRule="auto"/>
        <w:rPr>
          <w:sz w:val="20"/>
          <w:szCs w:val="20"/>
          <w:color w:val="auto"/>
        </w:rPr>
      </w:pPr>
      <w:r>
        <w:rPr>
          <w:rFonts w:ascii="Arial" w:cs="Arial" w:eastAsia="Arial" w:hAnsi="Arial"/>
          <w:sz w:val="31"/>
          <w:szCs w:val="31"/>
          <w:b w:val="1"/>
          <w:bCs w:val="1"/>
          <w:i w:val="1"/>
          <w:iCs w:val="1"/>
          <w:color w:val="FFFFFF"/>
        </w:rPr>
        <w:t>The Nominating, Corporate Governance and Sustainability Committee</w:t>
      </w:r>
    </w:p>
    <w:p>
      <w:pPr>
        <w:spacing w:after="0" w:line="170" w:lineRule="exact"/>
        <w:rPr>
          <w:sz w:val="20"/>
          <w:szCs w:val="20"/>
          <w:color w:val="auto"/>
        </w:rPr>
      </w:pPr>
    </w:p>
    <w:p>
      <w:pPr>
        <w:ind w:left="880" w:right="599" w:hanging="170"/>
        <w:spacing w:after="0" w:line="261" w:lineRule="auto"/>
        <w:tabs>
          <w:tab w:leader="none" w:pos="8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oversees the development of and recommends to the Board a framework of corporate governance policies and procedures and a robust compliance program;</w:t>
      </w:r>
    </w:p>
    <w:p>
      <w:pPr>
        <w:ind w:left="880" w:right="619" w:hanging="170"/>
        <w:spacing w:after="0" w:line="250" w:lineRule="auto"/>
        <w:tabs>
          <w:tab w:leader="none" w:pos="8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takes a leadership role in shaping and communicating matters of corporate governance and business ethics to the Board and the Company;</w:t>
      </w:r>
    </w:p>
    <w:p>
      <w:pPr>
        <w:ind w:left="880" w:hanging="170"/>
        <w:spacing w:after="0"/>
        <w:tabs>
          <w:tab w:leader="none" w:pos="8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monitors and periodically reports to the Board on the compliance status across the Innospec Group</w:t>
      </w:r>
    </w:p>
    <w:p>
      <w:pPr>
        <w:spacing w:after="0" w:line="6" w:lineRule="exact"/>
        <w:rPr>
          <w:rFonts w:ascii="Arial" w:cs="Arial" w:eastAsia="Arial" w:hAnsi="Arial"/>
          <w:sz w:val="13"/>
          <w:szCs w:val="13"/>
          <w:b w:val="1"/>
          <w:bCs w:val="1"/>
          <w:color w:val="auto"/>
        </w:rPr>
      </w:pPr>
    </w:p>
    <w:p>
      <w:pPr>
        <w:ind w:left="880" w:right="599" w:hanging="170"/>
        <w:spacing w:after="0" w:line="250" w:lineRule="auto"/>
        <w:tabs>
          <w:tab w:leader="none" w:pos="8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monitors and discusses the work of the Executive Team ESG Steering Group and reports matters to the full Board which has oversight for environmental, social and governance risk; and</w:t>
      </w:r>
    </w:p>
    <w:p>
      <w:pPr>
        <w:ind w:left="880" w:right="599" w:hanging="170"/>
        <w:spacing w:after="0" w:line="284" w:lineRule="auto"/>
        <w:tabs>
          <w:tab w:leader="none" w:pos="8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nominates new directors and considers diversity, skills required for the Board to meet its obligations and various other stakeholder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3819525</wp:posOffset>
            </wp:positionV>
            <wp:extent cx="297180" cy="290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6" w:name="page17"/>
    <w:bookmarkEnd w:id="16"/>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Director Independence</w:t>
      </w:r>
    </w:p>
    <w:p>
      <w:pPr>
        <w:spacing w:after="0" w:line="195" w:lineRule="exact"/>
        <w:rPr>
          <w:sz w:val="20"/>
          <w:szCs w:val="20"/>
          <w:color w:val="auto"/>
        </w:rPr>
      </w:pPr>
    </w:p>
    <w:p>
      <w:pPr>
        <w:jc w:val="both"/>
        <w:ind w:left="200" w:right="139"/>
        <w:spacing w:after="0" w:line="291" w:lineRule="auto"/>
        <w:rPr>
          <w:sz w:val="20"/>
          <w:szCs w:val="20"/>
          <w:color w:val="auto"/>
        </w:rPr>
      </w:pPr>
      <w:r>
        <w:rPr>
          <w:rFonts w:ascii="Arial" w:cs="Arial" w:eastAsia="Arial" w:hAnsi="Arial"/>
          <w:sz w:val="14"/>
          <w:szCs w:val="14"/>
          <w:color w:val="auto"/>
        </w:rPr>
        <w:t>The Board, after considering all relevant facts and circumstances of which it is aware, including those matters set out below under “Family Relationships” and “Related Person Transactions and Relationships”, has determined that all of its non-employee members are independent, within the meaning of the Nasdaq Marketplace Rule 5605(a)(2) applicable on the date of this Proxy Statement.</w:t>
      </w:r>
    </w:p>
    <w:p>
      <w:pPr>
        <w:spacing w:after="0" w:line="71" w:lineRule="exact"/>
        <w:rPr>
          <w:sz w:val="20"/>
          <w:szCs w:val="20"/>
          <w:color w:val="auto"/>
        </w:rPr>
      </w:pPr>
    </w:p>
    <w:p>
      <w:pPr>
        <w:jc w:val="both"/>
        <w:ind w:left="200" w:right="139"/>
        <w:spacing w:after="0" w:line="289" w:lineRule="auto"/>
        <w:rPr>
          <w:sz w:val="20"/>
          <w:szCs w:val="20"/>
          <w:color w:val="auto"/>
        </w:rPr>
      </w:pPr>
      <w:r>
        <w:rPr>
          <w:rFonts w:ascii="Arial" w:cs="Arial" w:eastAsia="Arial" w:hAnsi="Arial"/>
          <w:sz w:val="15"/>
          <w:szCs w:val="15"/>
          <w:color w:val="auto"/>
        </w:rPr>
        <w:t xml:space="preserve">We have also adopted our own standards for director independence that can be found in our Director Independence Policy on our website at </w:t>
      </w:r>
      <w:r>
        <w:rPr>
          <w:rFonts w:ascii="Arial" w:cs="Arial" w:eastAsia="Arial" w:hAnsi="Arial"/>
          <w:sz w:val="15"/>
          <w:szCs w:val="15"/>
          <w:b w:val="1"/>
          <w:bCs w:val="1"/>
          <w:i w:val="1"/>
          <w:iCs w:val="1"/>
          <w:color w:val="4F81BD"/>
        </w:rPr>
        <w:t>www.innospec.com/about-us/corporate-governance</w:t>
      </w:r>
      <w:r>
        <w:rPr>
          <w:rFonts w:ascii="Arial" w:cs="Arial" w:eastAsia="Arial" w:hAnsi="Arial"/>
          <w:sz w:val="15"/>
          <w:szCs w:val="15"/>
          <w:color w:val="auto"/>
        </w:rPr>
        <w:t>.</w:t>
      </w:r>
    </w:p>
    <w:p>
      <w:pPr>
        <w:spacing w:after="0" w:line="47"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5320" w:type="dxa"/>
            <w:vAlign w:val="bottom"/>
          </w:tcPr>
          <w:p>
            <w:pPr>
              <w:spacing w:after="0"/>
              <w:rPr>
                <w:sz w:val="20"/>
                <w:szCs w:val="20"/>
                <w:color w:val="auto"/>
              </w:rPr>
            </w:pPr>
            <w:r>
              <w:rPr>
                <w:rFonts w:ascii="Arial" w:cs="Arial" w:eastAsia="Arial" w:hAnsi="Arial"/>
                <w:sz w:val="15"/>
                <w:szCs w:val="15"/>
                <w:color w:val="auto"/>
              </w:rPr>
              <w:t>The Board has determined that each member of the Board, who served during</w:t>
            </w:r>
          </w:p>
        </w:tc>
        <w:tc>
          <w:tcPr>
            <w:tcW w:w="3340" w:type="dxa"/>
            <w:vAlign w:val="bottom"/>
            <w:tcBorders>
              <w:top w:val="single" w:sz="8" w:color="4F81BD"/>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20"/>
                <w:szCs w:val="20"/>
                <w:color w:val="auto"/>
              </w:rPr>
            </w:pPr>
            <w:r>
              <w:rPr>
                <w:rFonts w:ascii="Arial" w:cs="Arial" w:eastAsia="Arial" w:hAnsi="Arial"/>
                <w:sz w:val="15"/>
                <w:szCs w:val="15"/>
                <w:color w:val="auto"/>
              </w:rPr>
              <w:t>2025  and/or  who  currently  serves,  except  for  Mr.  Williams, meets  the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20"/>
                <w:szCs w:val="20"/>
                <w:color w:val="auto"/>
              </w:rPr>
            </w:pPr>
            <w:r>
              <w:rPr>
                <w:rFonts w:ascii="Arial" w:cs="Arial" w:eastAsia="Arial" w:hAnsi="Arial"/>
                <w:sz w:val="15"/>
                <w:szCs w:val="15"/>
                <w:color w:val="auto"/>
              </w:rPr>
              <w:t>independence standards described above. Mr. Williams is not treated as</w:t>
            </w:r>
          </w:p>
        </w:tc>
        <w:tc>
          <w:tcPr>
            <w:tcW w:w="3340" w:type="dxa"/>
            <w:vAlign w:val="bottom"/>
            <w:vMerge w:val="restart"/>
          </w:tcPr>
          <w:p>
            <w:pPr>
              <w:jc w:val="center"/>
              <w:spacing w:after="0"/>
              <w:rPr>
                <w:sz w:val="20"/>
                <w:szCs w:val="20"/>
                <w:color w:val="auto"/>
              </w:rPr>
            </w:pPr>
            <w:r>
              <w:rPr>
                <w:rFonts w:ascii="Arial" w:cs="Arial" w:eastAsia="Arial" w:hAnsi="Arial"/>
                <w:sz w:val="18"/>
                <w:szCs w:val="18"/>
                <w:b w:val="1"/>
                <w:bCs w:val="1"/>
                <w:i w:val="1"/>
                <w:iCs w:val="1"/>
                <w:color w:val="4F81BD"/>
                <w:w w:val="99"/>
              </w:rPr>
              <w:t>ALL OF OUR NON-EMPLOYEE</w:t>
            </w:r>
          </w:p>
        </w:tc>
        <w:tc>
          <w:tcPr>
            <w:tcW w:w="0" w:type="dxa"/>
            <w:vAlign w:val="bottom"/>
          </w:tcPr>
          <w:p>
            <w:pPr>
              <w:spacing w:after="0"/>
              <w:rPr>
                <w:sz w:val="1"/>
                <w:szCs w:val="1"/>
                <w:color w:val="auto"/>
              </w:rPr>
            </w:pPr>
          </w:p>
        </w:tc>
      </w:tr>
      <w:tr>
        <w:trPr>
          <w:trHeight w:val="160"/>
        </w:trPr>
        <w:tc>
          <w:tcPr>
            <w:tcW w:w="5320" w:type="dxa"/>
            <w:vAlign w:val="bottom"/>
          </w:tcPr>
          <w:p>
            <w:pPr>
              <w:spacing w:after="0" w:line="161" w:lineRule="exact"/>
              <w:rPr>
                <w:sz w:val="20"/>
                <w:szCs w:val="20"/>
                <w:color w:val="auto"/>
              </w:rPr>
            </w:pPr>
            <w:r>
              <w:rPr>
                <w:rFonts w:ascii="Arial" w:cs="Arial" w:eastAsia="Arial" w:hAnsi="Arial"/>
                <w:sz w:val="15"/>
                <w:szCs w:val="15"/>
                <w:color w:val="auto"/>
              </w:rPr>
              <w:t>independent because, as President and CEO, he is an employee of Innospec.</w:t>
            </w:r>
          </w:p>
        </w:tc>
        <w:tc>
          <w:tcPr>
            <w:tcW w:w="3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5"/>
                <w:szCs w:val="15"/>
                <w:color w:val="auto"/>
              </w:rPr>
              <w:t>In addition, as part of the independence determination, the Board monitors the</w:t>
            </w:r>
          </w:p>
        </w:tc>
        <w:tc>
          <w:tcPr>
            <w:tcW w:w="3340" w:type="dxa"/>
            <w:vAlign w:val="bottom"/>
          </w:tcPr>
          <w:p>
            <w:pPr>
              <w:jc w:val="center"/>
              <w:spacing w:after="0" w:line="196" w:lineRule="exact"/>
              <w:rPr>
                <w:sz w:val="20"/>
                <w:szCs w:val="20"/>
                <w:color w:val="auto"/>
              </w:rPr>
            </w:pPr>
            <w:r>
              <w:rPr>
                <w:rFonts w:ascii="Arial" w:cs="Arial" w:eastAsia="Arial" w:hAnsi="Arial"/>
                <w:sz w:val="18"/>
                <w:szCs w:val="18"/>
                <w:b w:val="1"/>
                <w:bCs w:val="1"/>
                <w:i w:val="1"/>
                <w:iCs w:val="1"/>
                <w:color w:val="4F81BD"/>
                <w:w w:val="98"/>
              </w:rPr>
              <w:t>DIRECTORS ARE INDEPENDENT</w:t>
            </w:r>
          </w:p>
        </w:tc>
        <w:tc>
          <w:tcPr>
            <w:tcW w:w="0" w:type="dxa"/>
            <w:vAlign w:val="bottom"/>
          </w:tcPr>
          <w:p>
            <w:pPr>
              <w:spacing w:after="0"/>
              <w:rPr>
                <w:sz w:val="1"/>
                <w:szCs w:val="1"/>
                <w:color w:val="auto"/>
              </w:rPr>
            </w:pPr>
          </w:p>
        </w:tc>
      </w:tr>
      <w:tr>
        <w:trPr>
          <w:trHeight w:val="178"/>
        </w:trPr>
        <w:tc>
          <w:tcPr>
            <w:tcW w:w="5320" w:type="dxa"/>
            <w:vAlign w:val="bottom"/>
          </w:tcPr>
          <w:p>
            <w:pPr>
              <w:spacing w:after="0"/>
              <w:rPr>
                <w:sz w:val="20"/>
                <w:szCs w:val="20"/>
                <w:color w:val="auto"/>
              </w:rPr>
            </w:pPr>
            <w:r>
              <w:rPr>
                <w:rFonts w:ascii="Arial" w:cs="Arial" w:eastAsia="Arial" w:hAnsi="Arial"/>
                <w:sz w:val="15"/>
                <w:szCs w:val="15"/>
                <w:color w:val="auto"/>
              </w:rPr>
              <w:t>independence of Audit and Compensation Committee members under rules of</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20"/>
                <w:szCs w:val="20"/>
                <w:color w:val="auto"/>
              </w:rPr>
            </w:pPr>
            <w:r>
              <w:rPr>
                <w:rFonts w:ascii="Arial" w:cs="Arial" w:eastAsia="Arial" w:hAnsi="Arial"/>
                <w:sz w:val="15"/>
                <w:szCs w:val="15"/>
                <w:color w:val="auto"/>
              </w:rPr>
              <w:t>the SEC and Nasdaq listing standards that are applicable to members of the</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line="171" w:lineRule="exact"/>
              <w:rPr>
                <w:sz w:val="20"/>
                <w:szCs w:val="20"/>
                <w:color w:val="auto"/>
              </w:rPr>
            </w:pPr>
            <w:r>
              <w:rPr>
                <w:rFonts w:ascii="Arial" w:cs="Arial" w:eastAsia="Arial" w:hAnsi="Arial"/>
                <w:sz w:val="15"/>
                <w:szCs w:val="15"/>
                <w:color w:val="auto"/>
              </w:rPr>
              <w:t>Audit Committee and the Compensation Committee.</w:t>
            </w:r>
          </w:p>
        </w:tc>
        <w:tc>
          <w:tcPr>
            <w:tcW w:w="3340" w:type="dxa"/>
            <w:vAlign w:val="bottom"/>
            <w:tcBorders>
              <w:bottom w:val="single" w:sz="8" w:color="4F81BD"/>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77470</wp:posOffset>
            </wp:positionV>
            <wp:extent cx="5551170" cy="255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51170" cy="2559685"/>
                    </a:xfrm>
                    <a:prstGeom prst="rect">
                      <a:avLst/>
                    </a:prstGeom>
                    <a:noFill/>
                  </pic:spPr>
                </pic:pic>
              </a:graphicData>
            </a:graphic>
          </wp:anchor>
        </w:drawing>
      </w:r>
    </w:p>
    <w:p>
      <w:pPr>
        <w:spacing w:after="0" w:line="306"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Highly Independent Board:</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21"/>
          <w:szCs w:val="21"/>
          <w:b w:val="1"/>
          <w:bCs w:val="1"/>
          <w:color w:val="auto"/>
        </w:rPr>
        <w:t>6 out of 7 Board Members 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Family Relationships</w:t>
      </w:r>
    </w:p>
    <w:p>
      <w:pPr>
        <w:spacing w:after="0" w:line="195"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No immediate family relationship exists between any of our Directors or Executive Officers and any other Directors or Executive Officers.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Transactions and Relationships</w:t>
      </w:r>
    </w:p>
    <w:p>
      <w:pPr>
        <w:spacing w:after="0" w:line="195"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Other than the director and executive compensation arrangements discussed in this Proxy Statement, there have been no transactions since January 1, 2025, to which we have been or will be a participant, in which the amount involved exceeded or will exceed $120,000, and in which any of our directors, executive officers or holders of more than 5% of any class of our voting stock, or any member of the immediate family of, or person sharing the household with, any of these individuals,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1362710</wp:posOffset>
            </wp:positionV>
            <wp:extent cx="297180" cy="290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7" w:name="page18"/>
    <w:bookmarkEnd w:id="17"/>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Related Person Transactions Approval Policy</w:t>
      </w:r>
    </w:p>
    <w:p>
      <w:pPr>
        <w:spacing w:after="0" w:line="195"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Pursuant to our Code of Conduct, all senior officers must disclose to the Board any material transaction or relationship that could reasonably be expected to give rise to a conflict of interest. The Code of Conduct also states that no employee may seek to obtain special treatment from Innospec for family members, friends or for businesses in which family members or friends have an interest. During the year ended December 31, 2025, the Company did not make any charitable contributions to any charity on which any Director serves as an executive officer.</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Executive Sessions of Independent Non-Employee Directors</w:t>
      </w:r>
    </w:p>
    <w:p>
      <w:pPr>
        <w:spacing w:after="0" w:line="195"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Executive sessions of independent non-employee Directors are led by the Chairman. An executive session is held in conjunction with each regularly scheduled Board meeting and other sessions may be called by the Chairman at his discretion or at the request of the Board. There were four executive sessions of independent non-employee Directors during fiscal year 2025.</w:t>
      </w:r>
    </w:p>
    <w:p>
      <w:pPr>
        <w:spacing w:after="0" w:line="77"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Board will continue to monitor the standards for director independence established under applicable law or Nasdaq listing requirements and will maintain the Company’s Corporate Governance Guidelines to be consistent with those standards.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Identifying and Evaluating Nominees for Director</w:t>
      </w:r>
    </w:p>
    <w:p>
      <w:pPr>
        <w:spacing w:after="0" w:line="195" w:lineRule="exact"/>
        <w:rPr>
          <w:sz w:val="20"/>
          <w:szCs w:val="20"/>
          <w:color w:val="auto"/>
        </w:rPr>
      </w:pPr>
    </w:p>
    <w:p>
      <w:pPr>
        <w:jc w:val="both"/>
        <w:ind w:left="200" w:right="119"/>
        <w:spacing w:after="0" w:line="276" w:lineRule="auto"/>
        <w:rPr>
          <w:sz w:val="20"/>
          <w:szCs w:val="20"/>
          <w:color w:val="auto"/>
        </w:rPr>
      </w:pPr>
      <w:r>
        <w:rPr>
          <w:rFonts w:ascii="Arial" w:cs="Arial" w:eastAsia="Arial" w:hAnsi="Arial"/>
          <w:sz w:val="14"/>
          <w:szCs w:val="14"/>
          <w:color w:val="auto"/>
        </w:rPr>
        <w:t>The Nominating, Corporate Governance and Sustainability Committee uses a variety of methods for identifying and evaluating nominees for Director. The Nominating, Corporate Governance and Sustainability Committee considers each person’s judgment, experience, independence, understanding of our business or other related industries and such factors as the committee determines relevant in light of the needs of the Board and the Company. The Nominating, Corporate Governance and Sustainability Committee reviews the skills and attributes of Board members within the context of the current make-up of the full Board and regularly assesses the appropriate size of the Board and whether vacancies on the Board are expected due to retirement or otherwise.</w:t>
      </w:r>
    </w:p>
    <w:p>
      <w:pPr>
        <w:spacing w:after="0" w:line="81" w:lineRule="exact"/>
        <w:rPr>
          <w:sz w:val="20"/>
          <w:szCs w:val="20"/>
          <w:color w:val="auto"/>
        </w:rPr>
      </w:pPr>
    </w:p>
    <w:p>
      <w:pPr>
        <w:jc w:val="both"/>
        <w:ind w:left="200" w:right="139"/>
        <w:spacing w:after="0" w:line="276" w:lineRule="auto"/>
        <w:rPr>
          <w:sz w:val="20"/>
          <w:szCs w:val="20"/>
          <w:color w:val="auto"/>
        </w:rPr>
      </w:pPr>
      <w:r>
        <w:rPr>
          <w:rFonts w:ascii="Arial" w:cs="Arial" w:eastAsia="Arial" w:hAnsi="Arial"/>
          <w:sz w:val="14"/>
          <w:szCs w:val="14"/>
          <w:color w:val="auto"/>
        </w:rPr>
        <w:t>In the event that vacancies are anticipated, or otherwise arise, the Nominating, Corporate Governance and Sustainability Committee considers potential candidates for Director. Candidates may come to the attention of the Nominating, Corporate Governance and Sustainability Committee through current Board members, stockholders or other persons. The Board considers diversity in the nominating process, along with other criteria, for potential Director candidates and specifically requests that females and minority candidates are included in every Director search pool. The recruitment specification for new Directors concentrates on candidates who are seasoned executive officers, with significant relevant experience, both at board level and within relevant industries.</w:t>
      </w:r>
    </w:p>
    <w:p>
      <w:pPr>
        <w:spacing w:after="0" w:line="70"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The Director candidates are evaluated at regular or special meetings of the Nominating, Corporate Governance and Sustainability Committee and may be considered at any time during the year. The nominees for election at this year’s Annual Meeting of Stockholders were approved for nomination by the Board upon the recommendation of the Nominating, Corporate Governance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3272155</wp:posOffset>
            </wp:positionV>
            <wp:extent cx="297180" cy="290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8" w:name="page19"/>
    <w:bookmarkEnd w:id="18"/>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9E318D"/>
        </w:rPr>
        <w:t>Our Director recruitment process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97790</wp:posOffset>
            </wp:positionV>
            <wp:extent cx="4872355" cy="4381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72355" cy="438150"/>
                    </a:xfrm>
                    <a:prstGeom prst="rect">
                      <a:avLst/>
                    </a:prstGeom>
                    <a:noFill/>
                  </pic:spPr>
                </pic:pic>
              </a:graphicData>
            </a:graphic>
          </wp:anchor>
        </w:drawing>
      </w:r>
    </w:p>
    <w:p>
      <w:pPr>
        <w:spacing w:after="0" w:line="253" w:lineRule="exact"/>
        <w:rPr>
          <w:sz w:val="20"/>
          <w:szCs w:val="20"/>
          <w:color w:val="auto"/>
        </w:rPr>
      </w:pPr>
    </w:p>
    <w:p>
      <w:pPr>
        <w:jc w:val="center"/>
        <w:ind w:left="200" w:right="119"/>
        <w:spacing w:after="0" w:line="289" w:lineRule="auto"/>
        <w:rPr>
          <w:sz w:val="20"/>
          <w:szCs w:val="20"/>
          <w:color w:val="auto"/>
        </w:rPr>
      </w:pPr>
      <w:r>
        <w:rPr>
          <w:rFonts w:ascii="Arial" w:cs="Arial" w:eastAsia="Arial" w:hAnsi="Arial"/>
          <w:sz w:val="15"/>
          <w:szCs w:val="15"/>
          <w:b w:val="1"/>
          <w:bCs w:val="1"/>
          <w:color w:val="FFFFFF"/>
        </w:rPr>
        <w:t>Board and Nominating, Corporate Governance and Sustainability Committee determine desired criteria and experience of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191135</wp:posOffset>
            </wp:positionV>
            <wp:extent cx="212090" cy="176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2090" cy="176530"/>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466725</wp:posOffset>
            </wp:positionV>
            <wp:extent cx="4872355" cy="4381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7235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FFFFFF"/>
        </w:rPr>
        <w:t>Director candidates identified by independent search firm, Board members, officers, employees or</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FFFFFF"/>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223520</wp:posOffset>
            </wp:positionV>
            <wp:extent cx="212090" cy="176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2090" cy="176530"/>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499110</wp:posOffset>
            </wp:positionV>
            <wp:extent cx="4872355" cy="579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72355" cy="57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200" w:right="119"/>
        <w:spacing w:after="0" w:line="268" w:lineRule="auto"/>
        <w:rPr>
          <w:sz w:val="20"/>
          <w:szCs w:val="20"/>
          <w:color w:val="auto"/>
        </w:rPr>
      </w:pPr>
      <w:r>
        <w:rPr>
          <w:rFonts w:ascii="Arial" w:cs="Arial" w:eastAsia="Arial" w:hAnsi="Arial"/>
          <w:sz w:val="15"/>
          <w:szCs w:val="15"/>
          <w:b w:val="1"/>
          <w:bCs w:val="1"/>
          <w:color w:val="FFFFFF"/>
        </w:rPr>
        <w:t>Nominating, Corporate Governance and Sustainability Committee evaluates Director candidates against selection criteria, individual characteristics, skills, diversity and qualifications and checks for possible conflicts and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229235</wp:posOffset>
            </wp:positionV>
            <wp:extent cx="212090" cy="176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2090" cy="176530"/>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505460</wp:posOffset>
            </wp:positionV>
            <wp:extent cx="4872355" cy="4381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7235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FFFFFF"/>
        </w:rPr>
        <w:t>Director candidates are interviewed by members of the Nominating, Corporate Governance and</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FFFFFF"/>
        </w:rPr>
        <w:t>Sustainability Committee, Chairman of the Board and may also meet with the CEO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223520</wp:posOffset>
            </wp:positionV>
            <wp:extent cx="212090" cy="176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2090" cy="176530"/>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499110</wp:posOffset>
            </wp:positionV>
            <wp:extent cx="4872355" cy="4381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7235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FFFFFF"/>
        </w:rPr>
        <w:t>Nominating, Corporate Governance and Sustainability Committee recommends suitable Director</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FFFFFF"/>
        </w:rPr>
        <w:t>candidates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223520</wp:posOffset>
            </wp:positionV>
            <wp:extent cx="212090" cy="176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2090" cy="176530"/>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499110</wp:posOffset>
            </wp:positionV>
            <wp:extent cx="4872355" cy="4381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7235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200" w:right="119"/>
        <w:spacing w:after="0" w:line="289" w:lineRule="auto"/>
        <w:rPr>
          <w:sz w:val="20"/>
          <w:szCs w:val="20"/>
          <w:color w:val="auto"/>
        </w:rPr>
      </w:pPr>
      <w:r>
        <w:rPr>
          <w:rFonts w:ascii="Arial" w:cs="Arial" w:eastAsia="Arial" w:hAnsi="Arial"/>
          <w:sz w:val="15"/>
          <w:szCs w:val="15"/>
          <w:b w:val="1"/>
          <w:bCs w:val="1"/>
          <w:color w:val="FFFFFF"/>
        </w:rPr>
        <w:t>Board votes to appoint Director candidates based on an assessment of their qualifications and potential contributions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191135</wp:posOffset>
            </wp:positionV>
            <wp:extent cx="212090" cy="176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2090" cy="176530"/>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466725</wp:posOffset>
            </wp:positionV>
            <wp:extent cx="4872355" cy="4381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7235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FFFFFF"/>
        </w:rPr>
        <w:t>Stockholders vote on the election of the Director nominees at the</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FFFFFF"/>
        </w:rPr>
        <w:t>Annual Meeting of Stockholders.</w:t>
      </w:r>
    </w:p>
    <w:p>
      <w:pPr>
        <w:spacing w:after="0" w:line="200" w:lineRule="exact"/>
        <w:rPr>
          <w:sz w:val="20"/>
          <w:szCs w:val="20"/>
          <w:color w:val="auto"/>
        </w:rPr>
      </w:pPr>
    </w:p>
    <w:p>
      <w:pPr>
        <w:spacing w:after="0" w:line="237" w:lineRule="exact"/>
        <w:rPr>
          <w:sz w:val="20"/>
          <w:szCs w:val="20"/>
          <w:color w:val="auto"/>
        </w:rPr>
      </w:pPr>
    </w:p>
    <w:p>
      <w:pPr>
        <w:jc w:val="both"/>
        <w:ind w:left="200" w:right="119"/>
        <w:spacing w:after="0" w:line="250" w:lineRule="auto"/>
        <w:rPr>
          <w:sz w:val="20"/>
          <w:szCs w:val="20"/>
          <w:color w:val="auto"/>
        </w:rPr>
      </w:pPr>
      <w:r>
        <w:rPr>
          <w:rFonts w:ascii="Arial" w:cs="Arial" w:eastAsia="Arial" w:hAnsi="Arial"/>
          <w:sz w:val="15"/>
          <w:szCs w:val="15"/>
          <w:color w:val="auto"/>
        </w:rPr>
        <w:t>The policy of the Nominating, Corporate Governance and Sustainability Committee is to consider properly submitted stockholder nominations for election to the Board. For any candidate to be considered by the Nominating, Corporate Governance and Sustainability Committee, and if nominated, included in the Proxy Statement, such recommendation should be received no later than the deadline for submission of stockholder proposals. See “Stockholders’ Proposals for the 2027 Annual Meeting of Stockholders”. Recommendations should be sent to the Corporate Secretary and should specify the nominee’s name, qualification for Board membership and any other information required by the Company’s Bylaws. All properly submitted stockholder nominations for Director candidates received by the Corporate Secretary will be submitted to the Nominating, Corporate Governance and Sustainability Committee for review and consideration. The Nominating, Corporate Governance and Sustainability Committee will consider stockholder recommendations for Director candidates, but the Nominating, Corporate Governance and Sustainability Committee has no obligation to recommend such candidates. Assuming appropriate biographical and background information (including qualifications) is provided for Director candidates recommended by stockholders, the Nominating, Corporate Governance and Sustainability Committee will use the same process to evaluate Director nominees recommended by stockholders as it does to evaluate nominees identified by other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138430</wp:posOffset>
            </wp:positionV>
            <wp:extent cx="297180" cy="290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9" w:name="page20"/>
    <w:bookmarkEnd w:id="19"/>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Director On-Boarding and Continuing Education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Overview:</w:t>
      </w:r>
    </w:p>
    <w:p>
      <w:pPr>
        <w:spacing w:after="0" w:line="128"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The Board and management conduct orientation for new Directors to become familiar with, amongst other things, Innospec’s business operations, strategies, financial matters, ethics, fiduciary duties, corporate governance and all other Company policies. It is the responsibility of management and the Nominating, Corporate Governance and Sustainability Committee to advise Directors about continuing education opportunities, which they are encouraged to pursue. The Legal and Compliance Department provides training to the Board at least annually and the Chief Compliance Officer regularly updates the Nominating, Corporate Governance and Sustainability Committee and full Board on evolving law and practices and stockholder expectations.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Orientation:</w:t>
      </w:r>
    </w:p>
    <w:p>
      <w:pPr>
        <w:spacing w:after="0" w:line="128"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When new Directors join the Board, they participate in a comprehensive on-boarding program to learn about our industry, business, strategies, and policies. Our on-boarding program includes provision of reading material regarding director duties and responsibilities, meetings with division heads and senior executives to discuss our businesses, strategy, operations and our corporate functions such as finance, information technology, research and development, and legal and compliance. New Directors also meet with the executives and staff supporting the Committees on which they sit and are provided with information and training specific to the Board Committee(s) they are appointed to. In addition, every Director must complete induction training on compliance within two weeks of being appointed and a more in-depth training once they have been in office for six months.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Continuing education:</w:t>
      </w:r>
    </w:p>
    <w:p>
      <w:pPr>
        <w:spacing w:after="0" w:line="117"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For continued education regarding our business and industry, at least annually, we provide presentations by internal and external experts during our regular Board meetings on topics such as, industry trends, risks facing the industry and the Company, corporate governance trends and key topics, and stakeholder expectations with particular focus on the implications and impact on the Company. In 2025, the Board received training, or updates, on D&amp;O, Property and Casualty insurance and Environmental, Social and Governance (ESG) issues.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Meetings and Attendance</w:t>
      </w:r>
    </w:p>
    <w:p>
      <w:pPr>
        <w:spacing w:after="0" w:line="195"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In 2025, the full Board met four times, the Audit Committee met four times, the Compensation Committee met four times, and the Nominating, Corporate Governance and Sustainability Committee met four times. There were four Non-Employee Director meetings at which no members of management were present. Directors are expected to attend all Board Meetings and meetings of Committees on which they serve. During the year ended December 31, 2025, each of the Directors attended, in person, by telephone or video call, all the meetings of the Board and meetings of Committees of the Board on which he or she served that were held while he or she was a member. Directors are also expected to attend all meetings of stockholders. All of the Directors attended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3232150</wp:posOffset>
            </wp:positionV>
            <wp:extent cx="297180" cy="290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0" w:name="page21"/>
    <w:bookmarkEnd w:id="20"/>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Limitation on Other Board and Audit Committee Positions</w:t>
      </w:r>
    </w:p>
    <w:p>
      <w:pPr>
        <w:spacing w:after="0" w:line="162"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The Board has adopted restrictions on the number of outside boards on which Directors may serve that are consistent with market standards and regulatory requirements, including limits on executive officers of publicly-traded companies. So that Directors are able to dedicate sufficient time to Innospec’s Board, the Board established the following limits on our Directors serving on publicly-traded company boards and audit committees:</w:t>
      </w:r>
    </w:p>
    <w:p>
      <w:pPr>
        <w:spacing w:after="0" w:line="97" w:lineRule="exact"/>
        <w:rPr>
          <w:sz w:val="20"/>
          <w:szCs w:val="20"/>
          <w:color w:val="auto"/>
        </w:rPr>
      </w:pPr>
    </w:p>
    <w:tbl>
      <w:tblPr>
        <w:tblLayout w:type="fixed"/>
        <w:tblInd w:w="210" w:type="dxa"/>
        <w:tblCellMar>
          <w:top w:w="0" w:type="dxa"/>
          <w:left w:w="0" w:type="dxa"/>
          <w:bottom w:w="0" w:type="dxa"/>
          <w:right w:w="0" w:type="dxa"/>
        </w:tblCellMar>
      </w:tblPr>
      <w:tr>
        <w:trPr>
          <w:trHeight w:val="197"/>
        </w:trPr>
        <w:tc>
          <w:tcPr>
            <w:tcW w:w="4360" w:type="dxa"/>
            <w:vAlign w:val="bottom"/>
            <w:tcBorders>
              <w:left w:val="single" w:sz="8" w:color="4F81BD"/>
              <w:right w:val="single" w:sz="8" w:color="4F81BD"/>
            </w:tcBorders>
            <w:shd w:val="clear" w:color="auto" w:fill="4F81BD"/>
          </w:tcPr>
          <w:p>
            <w:pPr>
              <w:ind w:left="80"/>
              <w:spacing w:after="0"/>
              <w:rPr>
                <w:sz w:val="20"/>
                <w:szCs w:val="20"/>
                <w:color w:val="auto"/>
              </w:rPr>
            </w:pPr>
            <w:r>
              <w:rPr>
                <w:rFonts w:ascii="Arial" w:cs="Arial" w:eastAsia="Arial" w:hAnsi="Arial"/>
                <w:sz w:val="15"/>
                <w:szCs w:val="15"/>
                <w:b w:val="1"/>
                <w:bCs w:val="1"/>
                <w:color w:val="FFFFFF"/>
              </w:rPr>
              <w:t>Director Category</w:t>
            </w:r>
          </w:p>
        </w:tc>
        <w:tc>
          <w:tcPr>
            <w:tcW w:w="4320" w:type="dxa"/>
            <w:vAlign w:val="bottom"/>
            <w:tcBorders>
              <w:right w:val="single" w:sz="8" w:color="4F81BD"/>
            </w:tcBorders>
            <w:shd w:val="clear" w:color="auto" w:fill="4F81BD"/>
          </w:tcPr>
          <w:p>
            <w:pPr>
              <w:ind w:left="40"/>
              <w:spacing w:after="0"/>
              <w:rPr>
                <w:sz w:val="20"/>
                <w:szCs w:val="20"/>
                <w:color w:val="auto"/>
              </w:rPr>
            </w:pPr>
            <w:r>
              <w:rPr>
                <w:rFonts w:ascii="Arial" w:cs="Arial" w:eastAsia="Arial" w:hAnsi="Arial"/>
                <w:sz w:val="15"/>
                <w:szCs w:val="15"/>
                <w:b w:val="1"/>
                <w:bCs w:val="1"/>
                <w:color w:val="FFFFFF"/>
              </w:rPr>
              <w:t>Limit on publicly-traded company board and audit</w:t>
            </w:r>
          </w:p>
        </w:tc>
        <w:tc>
          <w:tcPr>
            <w:tcW w:w="0" w:type="dxa"/>
            <w:vAlign w:val="bottom"/>
          </w:tcPr>
          <w:p>
            <w:pPr>
              <w:spacing w:after="0"/>
              <w:rPr>
                <w:sz w:val="1"/>
                <w:szCs w:val="1"/>
                <w:color w:val="auto"/>
              </w:rPr>
            </w:pPr>
          </w:p>
        </w:tc>
      </w:tr>
      <w:tr>
        <w:trPr>
          <w:trHeight w:val="206"/>
        </w:trPr>
        <w:tc>
          <w:tcPr>
            <w:tcW w:w="4360" w:type="dxa"/>
            <w:vAlign w:val="bottom"/>
            <w:tcBorders>
              <w:left w:val="single" w:sz="8" w:color="4F81BD"/>
              <w:bottom w:val="single" w:sz="8" w:color="4F81BD"/>
              <w:right w:val="single" w:sz="8" w:color="4F81BD"/>
            </w:tcBorders>
            <w:shd w:val="clear" w:color="auto" w:fill="4F81BD"/>
          </w:tcPr>
          <w:p>
            <w:pPr>
              <w:spacing w:after="0"/>
              <w:rPr>
                <w:sz w:val="17"/>
                <w:szCs w:val="17"/>
                <w:color w:val="auto"/>
              </w:rPr>
            </w:pPr>
          </w:p>
        </w:tc>
        <w:tc>
          <w:tcPr>
            <w:tcW w:w="4320" w:type="dxa"/>
            <w:vAlign w:val="bottom"/>
            <w:tcBorders>
              <w:bottom w:val="single" w:sz="8" w:color="4F81BD"/>
              <w:right w:val="single" w:sz="8" w:color="4F81BD"/>
            </w:tcBorders>
            <w:shd w:val="clear" w:color="auto" w:fill="4F81BD"/>
          </w:tcPr>
          <w:p>
            <w:pPr>
              <w:ind w:left="40"/>
              <w:spacing w:after="0"/>
              <w:rPr>
                <w:sz w:val="20"/>
                <w:szCs w:val="20"/>
                <w:color w:val="auto"/>
              </w:rPr>
            </w:pPr>
            <w:r>
              <w:rPr>
                <w:rFonts w:ascii="Arial" w:cs="Arial" w:eastAsia="Arial" w:hAnsi="Arial"/>
                <w:sz w:val="15"/>
                <w:szCs w:val="15"/>
                <w:b w:val="1"/>
                <w:bCs w:val="1"/>
                <w:color w:val="FFFFFF"/>
              </w:rPr>
              <w:t>committee service, including Innospec</w:t>
            </w:r>
          </w:p>
        </w:tc>
        <w:tc>
          <w:tcPr>
            <w:tcW w:w="0" w:type="dxa"/>
            <w:vAlign w:val="bottom"/>
          </w:tcPr>
          <w:p>
            <w:pPr>
              <w:spacing w:after="0"/>
              <w:rPr>
                <w:sz w:val="1"/>
                <w:szCs w:val="1"/>
                <w:color w:val="auto"/>
              </w:rPr>
            </w:pPr>
          </w:p>
        </w:tc>
      </w:tr>
      <w:tr>
        <w:trPr>
          <w:trHeight w:val="245"/>
        </w:trPr>
        <w:tc>
          <w:tcPr>
            <w:tcW w:w="4360" w:type="dxa"/>
            <w:vAlign w:val="bottom"/>
            <w:tcBorders>
              <w:left w:val="single" w:sz="8" w:color="4F81BD"/>
              <w:right w:val="single" w:sz="8" w:color="4F81BD"/>
            </w:tcBorders>
            <w:shd w:val="clear" w:color="auto" w:fill="EDF2F8"/>
          </w:tcPr>
          <w:p>
            <w:pPr>
              <w:ind w:left="80"/>
              <w:spacing w:after="0"/>
              <w:rPr>
                <w:sz w:val="20"/>
                <w:szCs w:val="20"/>
                <w:color w:val="auto"/>
              </w:rPr>
            </w:pPr>
            <w:r>
              <w:rPr>
                <w:rFonts w:ascii="Arial" w:cs="Arial" w:eastAsia="Arial" w:hAnsi="Arial"/>
                <w:sz w:val="15"/>
                <w:szCs w:val="15"/>
                <w:b w:val="1"/>
                <w:bCs w:val="1"/>
                <w:color w:val="auto"/>
              </w:rPr>
              <w:t>Non-employee directors who are not full-time employees of</w:t>
            </w:r>
          </w:p>
        </w:tc>
        <w:tc>
          <w:tcPr>
            <w:tcW w:w="4320" w:type="dxa"/>
            <w:vAlign w:val="bottom"/>
            <w:tcBorders>
              <w:right w:val="single" w:sz="8" w:color="4F81BD"/>
            </w:tcBorders>
            <w:shd w:val="clear" w:color="auto" w:fill="EDF2F8"/>
          </w:tcPr>
          <w:p>
            <w:pPr>
              <w:ind w:left="40"/>
              <w:spacing w:after="0"/>
              <w:rPr>
                <w:sz w:val="20"/>
                <w:szCs w:val="20"/>
                <w:color w:val="auto"/>
              </w:rPr>
            </w:pPr>
            <w:r>
              <w:rPr>
                <w:rFonts w:ascii="Arial" w:cs="Arial" w:eastAsia="Arial" w:hAnsi="Arial"/>
                <w:sz w:val="15"/>
                <w:szCs w:val="15"/>
                <w:b w:val="1"/>
                <w:bCs w:val="1"/>
                <w:color w:val="auto"/>
              </w:rPr>
              <w:t>4 public company boards maximum</w:t>
            </w:r>
          </w:p>
        </w:tc>
        <w:tc>
          <w:tcPr>
            <w:tcW w:w="0" w:type="dxa"/>
            <w:vAlign w:val="bottom"/>
          </w:tcPr>
          <w:p>
            <w:pPr>
              <w:spacing w:after="0"/>
              <w:rPr>
                <w:sz w:val="1"/>
                <w:szCs w:val="1"/>
                <w:color w:val="auto"/>
              </w:rPr>
            </w:pPr>
          </w:p>
        </w:tc>
      </w:tr>
      <w:tr>
        <w:trPr>
          <w:trHeight w:val="156"/>
        </w:trPr>
        <w:tc>
          <w:tcPr>
            <w:tcW w:w="4360" w:type="dxa"/>
            <w:vAlign w:val="bottom"/>
            <w:tcBorders>
              <w:left w:val="single" w:sz="8" w:color="4F81BD"/>
              <w:bottom w:val="single" w:sz="8" w:color="4F81BD"/>
              <w:right w:val="single" w:sz="8" w:color="4F81BD"/>
            </w:tcBorders>
            <w:shd w:val="clear" w:color="auto" w:fill="EDF2F8"/>
          </w:tcPr>
          <w:p>
            <w:pPr>
              <w:ind w:left="80"/>
              <w:spacing w:after="0" w:line="156" w:lineRule="exact"/>
              <w:rPr>
                <w:sz w:val="20"/>
                <w:szCs w:val="20"/>
                <w:color w:val="auto"/>
              </w:rPr>
            </w:pPr>
            <w:r>
              <w:rPr>
                <w:rFonts w:ascii="Arial" w:cs="Arial" w:eastAsia="Arial" w:hAnsi="Arial"/>
                <w:sz w:val="15"/>
                <w:szCs w:val="15"/>
                <w:b w:val="1"/>
                <w:bCs w:val="1"/>
                <w:color w:val="auto"/>
              </w:rPr>
              <w:t>a publicly-traded company</w:t>
            </w:r>
          </w:p>
        </w:tc>
        <w:tc>
          <w:tcPr>
            <w:tcW w:w="4320" w:type="dxa"/>
            <w:vAlign w:val="bottom"/>
            <w:tcBorders>
              <w:bottom w:val="single" w:sz="8" w:color="4F81BD"/>
              <w:right w:val="single" w:sz="8" w:color="4F81BD"/>
            </w:tcBorders>
            <w:shd w:val="clear" w:color="auto" w:fill="EDF2F8"/>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360" w:type="dxa"/>
            <w:vAlign w:val="bottom"/>
            <w:tcBorders>
              <w:left w:val="single" w:sz="8" w:color="4F81BD"/>
              <w:right w:val="single" w:sz="8" w:color="4F81BD"/>
            </w:tcBorders>
          </w:tcPr>
          <w:p>
            <w:pPr>
              <w:ind w:left="80"/>
              <w:spacing w:after="0"/>
              <w:rPr>
                <w:sz w:val="20"/>
                <w:szCs w:val="20"/>
                <w:color w:val="auto"/>
              </w:rPr>
            </w:pPr>
            <w:r>
              <w:rPr>
                <w:rFonts w:ascii="Arial" w:cs="Arial" w:eastAsia="Arial" w:hAnsi="Arial"/>
                <w:sz w:val="15"/>
                <w:szCs w:val="15"/>
                <w:b w:val="1"/>
                <w:bCs w:val="1"/>
                <w:color w:val="auto"/>
              </w:rPr>
              <w:t>Board members who are full-time employees of a publicly-</w:t>
            </w:r>
          </w:p>
        </w:tc>
        <w:tc>
          <w:tcPr>
            <w:tcW w:w="4320" w:type="dxa"/>
            <w:vAlign w:val="bottom"/>
            <w:tcBorders>
              <w:right w:val="single" w:sz="8" w:color="4F81BD"/>
            </w:tcBorders>
            <w:vMerge w:val="restart"/>
          </w:tcPr>
          <w:p>
            <w:pPr>
              <w:ind w:left="40"/>
              <w:spacing w:after="0"/>
              <w:rPr>
                <w:sz w:val="20"/>
                <w:szCs w:val="20"/>
                <w:color w:val="auto"/>
              </w:rPr>
            </w:pPr>
            <w:r>
              <w:rPr>
                <w:rFonts w:ascii="Arial" w:cs="Arial" w:eastAsia="Arial" w:hAnsi="Arial"/>
                <w:sz w:val="15"/>
                <w:szCs w:val="15"/>
                <w:b w:val="1"/>
                <w:bCs w:val="1"/>
                <w:color w:val="auto"/>
              </w:rPr>
              <w:t>2 public company boards maximum</w:t>
            </w:r>
          </w:p>
        </w:tc>
        <w:tc>
          <w:tcPr>
            <w:tcW w:w="0" w:type="dxa"/>
            <w:vAlign w:val="bottom"/>
          </w:tcPr>
          <w:p>
            <w:pPr>
              <w:spacing w:after="0"/>
              <w:rPr>
                <w:sz w:val="1"/>
                <w:szCs w:val="1"/>
                <w:color w:val="auto"/>
              </w:rPr>
            </w:pPr>
          </w:p>
        </w:tc>
      </w:tr>
      <w:tr>
        <w:trPr>
          <w:trHeight w:val="113"/>
        </w:trPr>
        <w:tc>
          <w:tcPr>
            <w:tcW w:w="4360" w:type="dxa"/>
            <w:vAlign w:val="bottom"/>
            <w:tcBorders>
              <w:left w:val="single" w:sz="8" w:color="4F81BD"/>
              <w:right w:val="single" w:sz="8" w:color="4F81BD"/>
            </w:tcBorders>
            <w:vMerge w:val="restart"/>
          </w:tcPr>
          <w:p>
            <w:pPr>
              <w:ind w:left="80"/>
              <w:spacing w:after="0"/>
              <w:rPr>
                <w:sz w:val="20"/>
                <w:szCs w:val="20"/>
                <w:color w:val="auto"/>
              </w:rPr>
            </w:pPr>
            <w:r>
              <w:rPr>
                <w:rFonts w:ascii="Arial" w:cs="Arial" w:eastAsia="Arial" w:hAnsi="Arial"/>
                <w:sz w:val="15"/>
                <w:szCs w:val="15"/>
                <w:b w:val="1"/>
                <w:bCs w:val="1"/>
                <w:color w:val="auto"/>
              </w:rPr>
              <w:t>traded company</w:t>
            </w:r>
          </w:p>
        </w:tc>
        <w:tc>
          <w:tcPr>
            <w:tcW w:w="4320" w:type="dxa"/>
            <w:vAlign w:val="bottom"/>
            <w:tcBorders>
              <w:right w:val="single" w:sz="8" w:color="4F81B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360" w:type="dxa"/>
            <w:vAlign w:val="bottom"/>
            <w:tcBorders>
              <w:left w:val="single" w:sz="8" w:color="4F81BD"/>
              <w:bottom w:val="single" w:sz="8" w:color="4F81BD"/>
              <w:right w:val="single" w:sz="8" w:color="4F81BD"/>
            </w:tcBorders>
            <w:vMerge w:val="continue"/>
          </w:tcPr>
          <w:p>
            <w:pPr>
              <w:spacing w:after="0"/>
              <w:rPr>
                <w:sz w:val="8"/>
                <w:szCs w:val="8"/>
                <w:color w:val="auto"/>
              </w:rPr>
            </w:pPr>
          </w:p>
        </w:tc>
        <w:tc>
          <w:tcPr>
            <w:tcW w:w="4320" w:type="dxa"/>
            <w:vAlign w:val="bottom"/>
            <w:tcBorders>
              <w:bottom w:val="single" w:sz="8" w:color="4F81BD"/>
              <w:right w:val="single" w:sz="8" w:color="4F81BD"/>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4360" w:type="dxa"/>
            <w:vAlign w:val="bottom"/>
            <w:tcBorders>
              <w:left w:val="single" w:sz="8" w:color="4F81BD"/>
              <w:right w:val="single" w:sz="8" w:color="4F81BD"/>
            </w:tcBorders>
            <w:shd w:val="clear" w:color="auto" w:fill="EDF2F8"/>
          </w:tcPr>
          <w:p>
            <w:pPr>
              <w:ind w:left="80"/>
              <w:spacing w:after="0"/>
              <w:rPr>
                <w:sz w:val="20"/>
                <w:szCs w:val="20"/>
                <w:color w:val="auto"/>
              </w:rPr>
            </w:pPr>
            <w:r>
              <w:rPr>
                <w:rFonts w:ascii="Arial" w:cs="Arial" w:eastAsia="Arial" w:hAnsi="Arial"/>
                <w:sz w:val="15"/>
                <w:szCs w:val="15"/>
                <w:b w:val="1"/>
                <w:bCs w:val="1"/>
                <w:color w:val="auto"/>
              </w:rPr>
              <w:t>Non-employee directors who serve on Innospec’s Audit</w:t>
            </w:r>
          </w:p>
        </w:tc>
        <w:tc>
          <w:tcPr>
            <w:tcW w:w="4320" w:type="dxa"/>
            <w:vAlign w:val="bottom"/>
            <w:tcBorders>
              <w:right w:val="single" w:sz="8" w:color="4F81BD"/>
            </w:tcBorders>
            <w:vMerge w:val="restart"/>
            <w:shd w:val="clear" w:color="auto" w:fill="EDF2F8"/>
          </w:tcPr>
          <w:p>
            <w:pPr>
              <w:ind w:left="40"/>
              <w:spacing w:after="0"/>
              <w:rPr>
                <w:sz w:val="20"/>
                <w:szCs w:val="20"/>
                <w:color w:val="auto"/>
              </w:rPr>
            </w:pPr>
            <w:r>
              <w:rPr>
                <w:rFonts w:ascii="Arial" w:cs="Arial" w:eastAsia="Arial" w:hAnsi="Arial"/>
                <w:sz w:val="15"/>
                <w:szCs w:val="15"/>
                <w:b w:val="1"/>
                <w:bCs w:val="1"/>
                <w:color w:val="auto"/>
              </w:rPr>
              <w:t>3 audit committees’ maximum</w:t>
            </w:r>
          </w:p>
        </w:tc>
        <w:tc>
          <w:tcPr>
            <w:tcW w:w="0" w:type="dxa"/>
            <w:vAlign w:val="bottom"/>
          </w:tcPr>
          <w:p>
            <w:pPr>
              <w:spacing w:after="0"/>
              <w:rPr>
                <w:sz w:val="1"/>
                <w:szCs w:val="1"/>
                <w:color w:val="auto"/>
              </w:rPr>
            </w:pPr>
          </w:p>
        </w:tc>
      </w:tr>
      <w:tr>
        <w:trPr>
          <w:trHeight w:val="113"/>
        </w:trPr>
        <w:tc>
          <w:tcPr>
            <w:tcW w:w="4360" w:type="dxa"/>
            <w:vAlign w:val="bottom"/>
            <w:tcBorders>
              <w:left w:val="single" w:sz="8" w:color="4F81BD"/>
              <w:right w:val="single" w:sz="8" w:color="4F81BD"/>
            </w:tcBorders>
            <w:vMerge w:val="restart"/>
            <w:shd w:val="clear" w:color="auto" w:fill="EDF2F8"/>
          </w:tcPr>
          <w:p>
            <w:pPr>
              <w:ind w:left="80"/>
              <w:spacing w:after="0"/>
              <w:rPr>
                <w:sz w:val="20"/>
                <w:szCs w:val="20"/>
                <w:color w:val="auto"/>
              </w:rPr>
            </w:pPr>
            <w:r>
              <w:rPr>
                <w:rFonts w:ascii="Arial" w:cs="Arial" w:eastAsia="Arial" w:hAnsi="Arial"/>
                <w:sz w:val="15"/>
                <w:szCs w:val="15"/>
                <w:b w:val="1"/>
                <w:bCs w:val="1"/>
                <w:color w:val="auto"/>
              </w:rPr>
              <w:t>Committee</w:t>
            </w:r>
          </w:p>
        </w:tc>
        <w:tc>
          <w:tcPr>
            <w:tcW w:w="4320" w:type="dxa"/>
            <w:vAlign w:val="bottom"/>
            <w:tcBorders>
              <w:right w:val="single" w:sz="8" w:color="4F81BD"/>
            </w:tcBorders>
            <w:vMerge w:val="continue"/>
            <w:shd w:val="clear" w:color="auto" w:fill="EDF2F8"/>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360" w:type="dxa"/>
            <w:vAlign w:val="bottom"/>
            <w:tcBorders>
              <w:left w:val="single" w:sz="8" w:color="4F81BD"/>
              <w:bottom w:val="single" w:sz="8" w:color="4F81BD"/>
              <w:right w:val="single" w:sz="8" w:color="4F81BD"/>
            </w:tcBorders>
            <w:vMerge w:val="continue"/>
            <w:shd w:val="clear" w:color="auto" w:fill="EDF2F8"/>
          </w:tcPr>
          <w:p>
            <w:pPr>
              <w:spacing w:after="0"/>
              <w:rPr>
                <w:sz w:val="8"/>
                <w:szCs w:val="8"/>
                <w:color w:val="auto"/>
              </w:rPr>
            </w:pPr>
          </w:p>
        </w:tc>
        <w:tc>
          <w:tcPr>
            <w:tcW w:w="4320" w:type="dxa"/>
            <w:vAlign w:val="bottom"/>
            <w:tcBorders>
              <w:bottom w:val="single" w:sz="8" w:color="4F81BD"/>
              <w:right w:val="single" w:sz="8" w:color="4F81BD"/>
            </w:tcBorders>
            <w:shd w:val="clear" w:color="auto" w:fill="EDF2F8"/>
          </w:tcPr>
          <w:p>
            <w:pPr>
              <w:spacing w:after="0"/>
              <w:rPr>
                <w:sz w:val="8"/>
                <w:szCs w:val="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Any Board member wishing to join the board of another publicly-traded company is required to first notify the Chair of the Nominating, Corporate Governance and Sustainability Committee, the Chairman of the Board, and Innospec’s General Counsel and Chief Compliance Officer prior to joining such other board or agreeing to be nominated or serve on a director slate at such other board. The Chair of the Nominating, Corporate Governance and Sustainability Committee and General Counsel and Chief Compliance Officer will review the proposed board membership to confirm compliance with applicable laws and policies. Potential conflicts of interest, if any, will be referred to the Chairman of the Board for review.</w:t>
      </w:r>
    </w:p>
    <w:p>
      <w:pPr>
        <w:spacing w:after="0" w:line="74"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Throughout the year, the Nominating, Corporate Governance and Sustainability Committee monitors the service of our Directors on boards and board committees of other companies, to assess the potential impact of holding multiple positions on the individual Director’s ability to devote sufficient time and attention to his or her duties as a Director of Innospec.</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Code of Conduct</w:t>
      </w:r>
    </w:p>
    <w:p>
      <w:pPr>
        <w:spacing w:after="0" w:line="162"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 xml:space="preserve">The Board has adopted a Code of Conduct, violations of which may be reported to the Chair of the Nominating, Corporate Governance and Sustainability Committee or the Corporate Secretary. This Code of Conduct is intended to promote, among other things, honest and ethical conduct, full and accurate reporting and compliance with applicable laws and regulations. A copy of the Code of Conduct is available on our website under “Corporate Governance” at: </w:t>
      </w:r>
      <w:r>
        <w:rPr>
          <w:rFonts w:ascii="Arial" w:cs="Arial" w:eastAsia="Arial" w:hAnsi="Arial"/>
          <w:sz w:val="15"/>
          <w:szCs w:val="15"/>
          <w:b w:val="1"/>
          <w:bCs w:val="1"/>
          <w:i w:val="1"/>
          <w:iCs w:val="1"/>
          <w:color w:val="4F81BD"/>
        </w:rPr>
        <w:t>www.innospec.com/about-us/corporate-governance</w:t>
      </w:r>
      <w:r>
        <w:rPr>
          <w:rFonts w:ascii="Arial" w:cs="Arial" w:eastAsia="Arial" w:hAnsi="Arial"/>
          <w:sz w:val="15"/>
          <w:szCs w:val="15"/>
          <w:color w:val="000000"/>
        </w:rPr>
        <w:t>.</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Supplier Code of Conduct</w:t>
      </w:r>
    </w:p>
    <w:p>
      <w:pPr>
        <w:spacing w:after="0" w:line="173"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Innospec believes that honest and transparent business conduct is vital and is committed to ethical business practices and actively enforcing compliance with all applicable laws, regulations and rules. We have therefore adopted a Supplier Code of Conduct, pursuant to which our suppliers are required to comply with all applicable laws, rules and regulations, including those related to business integrity, human rights and safety, health and the environment. Innospec engages EcoVadis to conduct corporate social responsibility risk assessments of key suppliers and those operating out of high-risk locations. Among other things, EcoVadis assessments allow us to evaluate supplier policies and actions taken by the supplier and to identify further actions required to enforce compliance with internationally recognized human rights standards and fair labor practices.</w:t>
      </w:r>
    </w:p>
    <w:p>
      <w:pPr>
        <w:spacing w:after="0" w:line="75"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We also have an internal protocol to support our review of, and response to, concerns raised regarding our supply chain. Innospec may invoke sanctions against suppliers, up to and including termination of the business relationship, if they violate modern slavery laws.</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 copy of the Supplier Code of Conduct is available on our website under “Supplier Relations” at:</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F81BD"/>
        </w:rPr>
        <w:t>https://innospec.com/about-us/supplier-relations/</w:t>
      </w:r>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1750695</wp:posOffset>
            </wp:positionV>
            <wp:extent cx="297180" cy="290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1" w:name="page22"/>
    <w:bookmarkEnd w:id="21"/>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Raising Issues and Reporting Violations</w:t>
      </w:r>
    </w:p>
    <w:p>
      <w:pPr>
        <w:spacing w:after="0" w:line="195"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 xml:space="preserve">Innospec’s employees, customers, suppliers and other stakeholders play a critical role in establishing, promoting and upholding a culture of compliance. An integral part of that culture is the creation of an environment in which concerns regarding unlawful, fraudulent or unethical matters may be raised without fear of retaliation. Innospec’s employees, customers, suppliers and other stakeholders may report concerns via several mechanisms which are outlined in our Reporting Corporate Governance Concerns Policy (for employees) and Third-Party Notice (for customers, suppliers and other stakeholders) and include a whistleblowing hotline, EthicsPoint. A copy of our Reporting Corporate Governance Concerns Third-Party Notice can be found on our website under “Corporate Governance” at: </w:t>
      </w:r>
      <w:r>
        <w:rPr>
          <w:rFonts w:ascii="Arial" w:cs="Arial" w:eastAsia="Arial" w:hAnsi="Arial"/>
          <w:sz w:val="15"/>
          <w:szCs w:val="15"/>
          <w:b w:val="1"/>
          <w:bCs w:val="1"/>
          <w:i w:val="1"/>
          <w:iCs w:val="1"/>
          <w:color w:val="4F81BD"/>
        </w:rPr>
        <w:t>www.innospec.com/about-us/corporate-governance</w:t>
      </w:r>
      <w:r>
        <w:rPr>
          <w:rFonts w:ascii="Arial" w:cs="Arial" w:eastAsia="Arial" w:hAnsi="Arial"/>
          <w:sz w:val="15"/>
          <w:szCs w:val="15"/>
          <w:color w:val="auto"/>
        </w:rPr>
        <w:t>.</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No Retaliation on Reporting Issues or Violations</w:t>
      </w:r>
    </w:p>
    <w:p>
      <w:pPr>
        <w:spacing w:after="0" w:line="195" w:lineRule="exact"/>
        <w:rPr>
          <w:sz w:val="20"/>
          <w:szCs w:val="20"/>
          <w:color w:val="auto"/>
        </w:rPr>
      </w:pPr>
    </w:p>
    <w:p>
      <w:pPr>
        <w:jc w:val="both"/>
        <w:ind w:left="200" w:right="139"/>
        <w:spacing w:after="0" w:line="254" w:lineRule="auto"/>
        <w:rPr>
          <w:sz w:val="20"/>
          <w:szCs w:val="20"/>
          <w:color w:val="auto"/>
        </w:rPr>
      </w:pPr>
      <w:r>
        <w:rPr>
          <w:rFonts w:ascii="Arial" w:cs="Arial" w:eastAsia="Arial" w:hAnsi="Arial"/>
          <w:sz w:val="15"/>
          <w:szCs w:val="15"/>
          <w:color w:val="auto"/>
        </w:rPr>
        <w:t>Our Reporting Corporate Governance Concerns Policy states that Innospec will not retaliate against any person who acts in good faith to report Concerns or helps to investigate or resolve Concerns, including individuals who make reports, conduct investigations, are interviewed as witnesses or provide evidence. Innospec will not tolerate any form of retaliation against any person who reports or helps to investigate or resolve Concerns. Any employee who displays retaliatory behaviors may be subject to disciplinary action, up to and including termination of employment. Any customer, supplier or other stakeholder who displays these behaviors may have their contract or relationship with Innospec terminated.</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Stock Trading Policy</w:t>
      </w:r>
    </w:p>
    <w:p>
      <w:pPr>
        <w:spacing w:after="0" w:line="195"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We have adopted a Stock Trading Policy that provides restrictions on, and guidelines for, trading Company securities, or the securities of any other company while in possession of material non-public information. The Stock Trading Policy applies to all of our officers, directors, employees, contractors and agents. We believe the Stock Trading Policy is reasonably designed to promote compliance with insider trading laws, rules and regulations, and applicable listing standards. In addition, it is the policy of the Company to comply with all applicable securities laws and regulations. A copy of our Stock Trading Policy is filed with our Annual Report on Form 10-K.</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Anti-Hedging Policy</w:t>
      </w:r>
    </w:p>
    <w:p>
      <w:pPr>
        <w:spacing w:after="0" w:line="195"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Our Stock Trading Policy contains an anti-hedging provision that prohibits directors, officers and employees from hedging any stock, share or other securities issued by Innospec (including through the use of financial instruments, such as prepaid variable forward contracts, equity swaps, collars and exchange funds) or otherwise engage in transactions that hedge or offset, or are designed to hedge or offset, any decrease in the market value of any stock, share or other securities issued by the Company.</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Anti-Pledging Policy</w:t>
      </w:r>
    </w:p>
    <w:p>
      <w:pPr>
        <w:spacing w:after="0" w:line="195" w:lineRule="exact"/>
        <w:rPr>
          <w:sz w:val="20"/>
          <w:szCs w:val="20"/>
          <w:color w:val="auto"/>
        </w:rPr>
      </w:pPr>
    </w:p>
    <w:p>
      <w:pPr>
        <w:jc w:val="both"/>
        <w:ind w:left="200" w:right="139"/>
        <w:spacing w:after="0" w:line="254" w:lineRule="auto"/>
        <w:rPr>
          <w:sz w:val="20"/>
          <w:szCs w:val="20"/>
          <w:color w:val="auto"/>
        </w:rPr>
      </w:pPr>
      <w:r>
        <w:rPr>
          <w:rFonts w:ascii="Arial" w:cs="Arial" w:eastAsia="Arial" w:hAnsi="Arial"/>
          <w:sz w:val="15"/>
          <w:szCs w:val="15"/>
          <w:color w:val="auto"/>
        </w:rPr>
        <w:t>Our Stock Trading Policy contains a provision that prohibits directors, officers and employees from holding any stock, share or other securities issued by the Company in a margin account, or from otherwise pledging such securities as collateral for a loan, unless the person obtains approval in advance from the Nominating, Corporate Governance and Sustainability Committee. No approval will be granted unless that person clearly demonstrates the financial capacity to repay the loan (which must not constitute margin debt) without resorting to the pledged securities (pledges arising from certain types of hedging transactions are governed by the anti-hedging policy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2481580</wp:posOffset>
            </wp:positionV>
            <wp:extent cx="297180" cy="290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2" w:name="page23"/>
    <w:bookmarkEnd w:id="22"/>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Copies of Code of Conduct, Corporate Governance Guidelines and Committee Charters</w:t>
      </w:r>
    </w:p>
    <w:p>
      <w:pPr>
        <w:spacing w:after="0" w:line="195"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 xml:space="preserve">Copies of our Code of Conduct, Corporate Governance Guidelines and each of the Board Committee charters can be accessed via the Company’s website under “Corporate Governance” at: </w:t>
      </w:r>
      <w:r>
        <w:rPr>
          <w:rFonts w:ascii="Arial" w:cs="Arial" w:eastAsia="Arial" w:hAnsi="Arial"/>
          <w:sz w:val="15"/>
          <w:szCs w:val="15"/>
          <w:b w:val="1"/>
          <w:bCs w:val="1"/>
          <w:i w:val="1"/>
          <w:iCs w:val="1"/>
          <w:color w:val="4F81BD"/>
        </w:rPr>
        <w:t>https://innospec.com/about-us/corporate-governance</w:t>
      </w:r>
      <w:r>
        <w:rPr>
          <w:rFonts w:ascii="Arial" w:cs="Arial" w:eastAsia="Arial" w:hAnsi="Arial"/>
          <w:sz w:val="15"/>
          <w:szCs w:val="15"/>
          <w:color w:val="auto"/>
        </w:rPr>
        <w:t>. The Company intends to disclose on this section of its website any amendments to, or waivers from, its Code of Conduct that are required to be publicly disclosed pursuant to the rules of the SEC or Nasdaq.</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Communications with Our Board</w:t>
      </w:r>
    </w:p>
    <w:p>
      <w:pPr>
        <w:spacing w:after="0" w:line="195"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 xml:space="preserve">Any stockholder and other interested person who may desire to contact the Chairman or any of the Directors of Innospec may do so via the following e-mail address: </w:t>
      </w:r>
      <w:r>
        <w:rPr>
          <w:rFonts w:ascii="Arial" w:cs="Arial" w:eastAsia="Arial" w:hAnsi="Arial"/>
          <w:sz w:val="15"/>
          <w:szCs w:val="15"/>
          <w:b w:val="1"/>
          <w:bCs w:val="1"/>
          <w:i w:val="1"/>
          <w:iCs w:val="1"/>
          <w:color w:val="auto"/>
        </w:rPr>
        <w:t>contact.board@innospecinc.com</w:t>
      </w:r>
      <w:r>
        <w:rPr>
          <w:rFonts w:ascii="Arial" w:cs="Arial" w:eastAsia="Arial" w:hAnsi="Arial"/>
          <w:sz w:val="15"/>
          <w:szCs w:val="15"/>
          <w:color w:val="auto"/>
        </w:rPr>
        <w:t>, or by writing to them at Innospec Inc., 8310 South Valley Highway, Suite 350, Englewood, CO 80112. The Corporate Secretary will review communications received electronically and forward them to the addressee of the communication. The Corporate Secretary will review the communications received by mail or courier and forward to the appropriate addressee.</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Board Committees</w:t>
      </w:r>
    </w:p>
    <w:p>
      <w:pPr>
        <w:spacing w:after="0" w:line="195"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Board maintains the following committees to assist it in discharging its oversight responsibilities. The Board has determined that each member of the following committees is an independent director. The current membership of each committee is:</w:t>
      </w:r>
    </w:p>
    <w:p>
      <w:pPr>
        <w:spacing w:after="0" w:line="90" w:lineRule="exact"/>
        <w:rPr>
          <w:sz w:val="20"/>
          <w:szCs w:val="20"/>
          <w:color w:val="auto"/>
        </w:rPr>
      </w:pPr>
    </w:p>
    <w:tbl>
      <w:tblPr>
        <w:tblLayout w:type="fixed"/>
        <w:tblInd w:w="210" w:type="dxa"/>
        <w:tblCellMar>
          <w:top w:w="0" w:type="dxa"/>
          <w:left w:w="0" w:type="dxa"/>
          <w:bottom w:w="0" w:type="dxa"/>
          <w:right w:w="0" w:type="dxa"/>
        </w:tblCellMar>
      </w:tblPr>
      <w:tr>
        <w:trPr>
          <w:trHeight w:val="186"/>
        </w:trPr>
        <w:tc>
          <w:tcPr>
            <w:tcW w:w="2660" w:type="dxa"/>
            <w:vAlign w:val="bottom"/>
            <w:tcBorders>
              <w:left w:val="single" w:sz="8" w:color="4F81BD"/>
              <w:right w:val="single" w:sz="8" w:color="4F81BD"/>
            </w:tcBorders>
            <w:shd w:val="clear" w:color="auto" w:fill="4F81BD"/>
          </w:tcPr>
          <w:p>
            <w:pPr>
              <w:ind w:left="800"/>
              <w:spacing w:after="0"/>
              <w:rPr>
                <w:sz w:val="20"/>
                <w:szCs w:val="20"/>
                <w:color w:val="auto"/>
              </w:rPr>
            </w:pPr>
            <w:r>
              <w:rPr>
                <w:rFonts w:ascii="Arial" w:cs="Arial" w:eastAsia="Arial" w:hAnsi="Arial"/>
                <w:sz w:val="15"/>
                <w:szCs w:val="15"/>
                <w:b w:val="1"/>
                <w:bCs w:val="1"/>
                <w:color w:val="FFFFFF"/>
              </w:rPr>
              <w:t>Board Member</w:t>
            </w:r>
          </w:p>
        </w:tc>
        <w:tc>
          <w:tcPr>
            <w:tcW w:w="200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8"/>
              </w:rPr>
              <w:t>Audit Committee</w:t>
            </w:r>
          </w:p>
        </w:tc>
        <w:tc>
          <w:tcPr>
            <w:tcW w:w="202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8"/>
              </w:rPr>
              <w:t>Compensation Committee</w:t>
            </w:r>
          </w:p>
        </w:tc>
        <w:tc>
          <w:tcPr>
            <w:tcW w:w="2000" w:type="dxa"/>
            <w:vAlign w:val="bottom"/>
            <w:shd w:val="clear" w:color="auto" w:fill="4F81BD"/>
          </w:tcPr>
          <w:p>
            <w:pPr>
              <w:jc w:val="center"/>
              <w:spacing w:after="0"/>
              <w:rPr>
                <w:sz w:val="20"/>
                <w:szCs w:val="20"/>
                <w:color w:val="auto"/>
              </w:rPr>
            </w:pPr>
            <w:r>
              <w:rPr>
                <w:rFonts w:ascii="Arial" w:cs="Arial" w:eastAsia="Arial" w:hAnsi="Arial"/>
                <w:sz w:val="15"/>
                <w:szCs w:val="15"/>
                <w:b w:val="1"/>
                <w:bCs w:val="1"/>
                <w:color w:val="FFFFFF"/>
                <w:w w:val="98"/>
              </w:rPr>
              <w:t>Nominating, Corporate</w:t>
            </w:r>
          </w:p>
        </w:tc>
        <w:tc>
          <w:tcPr>
            <w:tcW w:w="20" w:type="dxa"/>
            <w:vAlign w:val="bottom"/>
          </w:tcPr>
          <w:p>
            <w:pPr>
              <w:spacing w:after="0"/>
              <w:rPr>
                <w:sz w:val="16"/>
                <w:szCs w:val="16"/>
                <w:color w:val="auto"/>
              </w:rPr>
            </w:pPr>
          </w:p>
        </w:tc>
      </w:tr>
      <w:tr>
        <w:trPr>
          <w:trHeight w:val="178"/>
        </w:trPr>
        <w:tc>
          <w:tcPr>
            <w:tcW w:w="2660" w:type="dxa"/>
            <w:vAlign w:val="bottom"/>
            <w:tcBorders>
              <w:left w:val="single" w:sz="8" w:color="4F81BD"/>
              <w:right w:val="single" w:sz="8" w:color="4F81BD"/>
            </w:tcBorders>
            <w:shd w:val="clear" w:color="auto" w:fill="4F81BD"/>
          </w:tcPr>
          <w:p>
            <w:pPr>
              <w:spacing w:after="0"/>
              <w:rPr>
                <w:sz w:val="15"/>
                <w:szCs w:val="15"/>
                <w:color w:val="auto"/>
              </w:rPr>
            </w:pPr>
          </w:p>
        </w:tc>
        <w:tc>
          <w:tcPr>
            <w:tcW w:w="2000" w:type="dxa"/>
            <w:vAlign w:val="bottom"/>
            <w:tcBorders>
              <w:right w:val="single" w:sz="8" w:color="4F81BD"/>
            </w:tcBorders>
            <w:shd w:val="clear" w:color="auto" w:fill="4F81BD"/>
          </w:tcPr>
          <w:p>
            <w:pPr>
              <w:spacing w:after="0"/>
              <w:rPr>
                <w:sz w:val="15"/>
                <w:szCs w:val="15"/>
                <w:color w:val="auto"/>
              </w:rPr>
            </w:pPr>
          </w:p>
        </w:tc>
        <w:tc>
          <w:tcPr>
            <w:tcW w:w="2020" w:type="dxa"/>
            <w:vAlign w:val="bottom"/>
            <w:tcBorders>
              <w:right w:val="single" w:sz="8" w:color="4F81BD"/>
            </w:tcBorders>
            <w:shd w:val="clear" w:color="auto" w:fill="4F81BD"/>
          </w:tcPr>
          <w:p>
            <w:pPr>
              <w:spacing w:after="0"/>
              <w:rPr>
                <w:sz w:val="15"/>
                <w:szCs w:val="15"/>
                <w:color w:val="auto"/>
              </w:rPr>
            </w:pPr>
          </w:p>
        </w:tc>
        <w:tc>
          <w:tcPr>
            <w:tcW w:w="2000" w:type="dxa"/>
            <w:vAlign w:val="bottom"/>
            <w:shd w:val="clear" w:color="auto" w:fill="4F81BD"/>
          </w:tcPr>
          <w:p>
            <w:pPr>
              <w:jc w:val="center"/>
              <w:spacing w:after="0"/>
              <w:rPr>
                <w:sz w:val="20"/>
                <w:szCs w:val="20"/>
                <w:color w:val="auto"/>
              </w:rPr>
            </w:pPr>
            <w:r>
              <w:rPr>
                <w:rFonts w:ascii="Arial" w:cs="Arial" w:eastAsia="Arial" w:hAnsi="Arial"/>
                <w:sz w:val="15"/>
                <w:szCs w:val="15"/>
                <w:b w:val="1"/>
                <w:bCs w:val="1"/>
                <w:color w:val="FFFFFF"/>
                <w:w w:val="98"/>
              </w:rPr>
              <w:t>Governance and</w:t>
            </w:r>
          </w:p>
        </w:tc>
        <w:tc>
          <w:tcPr>
            <w:tcW w:w="20" w:type="dxa"/>
            <w:vAlign w:val="bottom"/>
          </w:tcPr>
          <w:p>
            <w:pPr>
              <w:spacing w:after="0"/>
              <w:rPr>
                <w:sz w:val="15"/>
                <w:szCs w:val="15"/>
                <w:color w:val="auto"/>
              </w:rPr>
            </w:pPr>
          </w:p>
        </w:tc>
      </w:tr>
      <w:tr>
        <w:trPr>
          <w:trHeight w:val="209"/>
        </w:trPr>
        <w:tc>
          <w:tcPr>
            <w:tcW w:w="2660" w:type="dxa"/>
            <w:vAlign w:val="bottom"/>
            <w:tcBorders>
              <w:left w:val="single" w:sz="8" w:color="4F81BD"/>
              <w:bottom w:val="single" w:sz="8" w:color="4F81BD"/>
              <w:right w:val="single" w:sz="8" w:color="4F81BD"/>
            </w:tcBorders>
            <w:shd w:val="clear" w:color="auto" w:fill="4F81BD"/>
          </w:tcPr>
          <w:p>
            <w:pPr>
              <w:spacing w:after="0"/>
              <w:rPr>
                <w:sz w:val="18"/>
                <w:szCs w:val="18"/>
                <w:color w:val="auto"/>
              </w:rPr>
            </w:pPr>
          </w:p>
        </w:tc>
        <w:tc>
          <w:tcPr>
            <w:tcW w:w="2000" w:type="dxa"/>
            <w:vAlign w:val="bottom"/>
            <w:tcBorders>
              <w:bottom w:val="single" w:sz="8" w:color="4F81BD"/>
              <w:right w:val="single" w:sz="8" w:color="4F81BD"/>
            </w:tcBorders>
            <w:shd w:val="clear" w:color="auto" w:fill="4F81BD"/>
          </w:tcPr>
          <w:p>
            <w:pPr>
              <w:spacing w:after="0"/>
              <w:rPr>
                <w:sz w:val="18"/>
                <w:szCs w:val="18"/>
                <w:color w:val="auto"/>
              </w:rPr>
            </w:pPr>
          </w:p>
        </w:tc>
        <w:tc>
          <w:tcPr>
            <w:tcW w:w="2020" w:type="dxa"/>
            <w:vAlign w:val="bottom"/>
            <w:tcBorders>
              <w:bottom w:val="single" w:sz="8" w:color="4F81BD"/>
              <w:right w:val="single" w:sz="8" w:color="4F81BD"/>
            </w:tcBorders>
            <w:shd w:val="clear" w:color="auto" w:fill="4F81BD"/>
          </w:tcPr>
          <w:p>
            <w:pPr>
              <w:spacing w:after="0"/>
              <w:rPr>
                <w:sz w:val="18"/>
                <w:szCs w:val="18"/>
                <w:color w:val="auto"/>
              </w:rPr>
            </w:pPr>
          </w:p>
        </w:tc>
        <w:tc>
          <w:tcPr>
            <w:tcW w:w="2000" w:type="dxa"/>
            <w:vAlign w:val="bottom"/>
            <w:tcBorders>
              <w:bottom w:val="single" w:sz="8" w:color="4F81BD"/>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8"/>
              </w:rPr>
              <w:t>Sustainability Committee</w:t>
            </w:r>
          </w:p>
        </w:tc>
        <w:tc>
          <w:tcPr>
            <w:tcW w:w="20" w:type="dxa"/>
            <w:vAlign w:val="bottom"/>
            <w:tcBorders>
              <w:bottom w:val="single" w:sz="8" w:color="4F81BD"/>
            </w:tcBorders>
          </w:tcPr>
          <w:p>
            <w:pPr>
              <w:spacing w:after="0"/>
              <w:rPr>
                <w:sz w:val="18"/>
                <w:szCs w:val="18"/>
                <w:color w:val="auto"/>
              </w:rPr>
            </w:pPr>
          </w:p>
        </w:tc>
      </w:tr>
      <w:tr>
        <w:trPr>
          <w:trHeight w:val="259"/>
        </w:trPr>
        <w:tc>
          <w:tcPr>
            <w:tcW w:w="2660" w:type="dxa"/>
            <w:vAlign w:val="bottom"/>
            <w:tcBorders>
              <w:left w:val="single" w:sz="8" w:color="4F81BD"/>
              <w:bottom w:val="single" w:sz="8" w:color="EDF2F8"/>
              <w:right w:val="single" w:sz="8" w:color="4F81BD"/>
            </w:tcBorders>
            <w:shd w:val="clear" w:color="auto" w:fill="EDF2F8"/>
          </w:tcPr>
          <w:p>
            <w:pPr>
              <w:ind w:left="80"/>
              <w:spacing w:after="0"/>
              <w:rPr>
                <w:sz w:val="20"/>
                <w:szCs w:val="20"/>
                <w:color w:val="auto"/>
              </w:rPr>
            </w:pPr>
            <w:r>
              <w:rPr>
                <w:rFonts w:ascii="Arial" w:cs="Arial" w:eastAsia="Arial" w:hAnsi="Arial"/>
                <w:sz w:val="15"/>
                <w:szCs w:val="15"/>
                <w:b w:val="1"/>
                <w:bCs w:val="1"/>
                <w:color w:val="auto"/>
              </w:rPr>
              <w:t>Ms. Elizabeth K. Arnold</w:t>
            </w:r>
          </w:p>
        </w:tc>
        <w:tc>
          <w:tcPr>
            <w:tcW w:w="2000" w:type="dxa"/>
            <w:vAlign w:val="bottom"/>
            <w:tcBorders>
              <w:bottom w:val="single" w:sz="8" w:color="EDF2F8"/>
              <w:right w:val="single" w:sz="8" w:color="4F81BD"/>
            </w:tcBorders>
            <w:shd w:val="clear" w:color="auto" w:fill="EDF2F8"/>
          </w:tcPr>
          <w:p>
            <w:pPr>
              <w:jc w:val="center"/>
              <w:spacing w:after="0"/>
              <w:rPr>
                <w:sz w:val="20"/>
                <w:szCs w:val="20"/>
                <w:color w:val="auto"/>
              </w:rPr>
            </w:pPr>
            <w:r>
              <w:rPr>
                <w:rFonts w:ascii="Arial" w:cs="Arial" w:eastAsia="Arial" w:hAnsi="Arial"/>
                <w:sz w:val="15"/>
                <w:szCs w:val="15"/>
                <w:b w:val="1"/>
                <w:bCs w:val="1"/>
                <w:color w:val="auto"/>
              </w:rPr>
              <w:t>Member</w:t>
            </w:r>
          </w:p>
        </w:tc>
        <w:tc>
          <w:tcPr>
            <w:tcW w:w="2020" w:type="dxa"/>
            <w:vAlign w:val="bottom"/>
            <w:tcBorders>
              <w:bottom w:val="single" w:sz="8" w:color="EDF2F8"/>
              <w:right w:val="single" w:sz="8" w:color="4F81BD"/>
            </w:tcBorders>
            <w:shd w:val="clear" w:color="auto" w:fill="EDF2F8"/>
          </w:tcPr>
          <w:p>
            <w:pPr>
              <w:spacing w:after="0"/>
              <w:rPr>
                <w:sz w:val="22"/>
                <w:szCs w:val="22"/>
                <w:color w:val="auto"/>
              </w:rPr>
            </w:pPr>
          </w:p>
        </w:tc>
        <w:tc>
          <w:tcPr>
            <w:tcW w:w="2000" w:type="dxa"/>
            <w:vAlign w:val="bottom"/>
            <w:tcBorders>
              <w:bottom w:val="single" w:sz="8" w:color="EDF2F8"/>
            </w:tcBorders>
            <w:shd w:val="clear" w:color="auto" w:fill="EDF2F8"/>
          </w:tcPr>
          <w:p>
            <w:pPr>
              <w:jc w:val="center"/>
              <w:spacing w:after="0"/>
              <w:rPr>
                <w:sz w:val="20"/>
                <w:szCs w:val="20"/>
                <w:color w:val="auto"/>
              </w:rPr>
            </w:pPr>
            <w:r>
              <w:rPr>
                <w:rFonts w:ascii="Arial" w:cs="Arial" w:eastAsia="Arial" w:hAnsi="Arial"/>
                <w:sz w:val="15"/>
                <w:szCs w:val="15"/>
                <w:b w:val="1"/>
                <w:bCs w:val="1"/>
                <w:color w:val="auto"/>
                <w:w w:val="97"/>
              </w:rPr>
              <w:t>Member</w:t>
            </w:r>
          </w:p>
        </w:tc>
        <w:tc>
          <w:tcPr>
            <w:tcW w:w="20" w:type="dxa"/>
            <w:vAlign w:val="bottom"/>
            <w:tcBorders>
              <w:bottom w:val="single" w:sz="8" w:color="4F81BD"/>
            </w:tcBorders>
            <w:shd w:val="clear" w:color="auto" w:fill="4F81BD"/>
          </w:tcPr>
          <w:p>
            <w:pPr>
              <w:spacing w:after="0"/>
              <w:rPr>
                <w:sz w:val="22"/>
                <w:szCs w:val="22"/>
                <w:color w:val="auto"/>
              </w:rPr>
            </w:pPr>
          </w:p>
        </w:tc>
      </w:tr>
      <w:tr>
        <w:trPr>
          <w:trHeight w:val="234"/>
        </w:trPr>
        <w:tc>
          <w:tcPr>
            <w:tcW w:w="2660" w:type="dxa"/>
            <w:vAlign w:val="bottom"/>
            <w:tcBorders>
              <w:top w:val="single" w:sz="8" w:color="4F81BD"/>
              <w:left w:val="single" w:sz="8" w:color="4F81BD"/>
              <w:right w:val="single" w:sz="8" w:color="4F81BD"/>
            </w:tcBorders>
          </w:tcPr>
          <w:p>
            <w:pPr>
              <w:ind w:left="80"/>
              <w:spacing w:after="0"/>
              <w:rPr>
                <w:sz w:val="20"/>
                <w:szCs w:val="20"/>
                <w:color w:val="auto"/>
              </w:rPr>
            </w:pPr>
            <w:r>
              <w:rPr>
                <w:rFonts w:ascii="Arial" w:cs="Arial" w:eastAsia="Arial" w:hAnsi="Arial"/>
                <w:sz w:val="15"/>
                <w:szCs w:val="15"/>
                <w:b w:val="1"/>
                <w:bCs w:val="1"/>
                <w:color w:val="auto"/>
              </w:rPr>
              <w:t>Mr. Milton C. Blackmore</w:t>
            </w:r>
          </w:p>
        </w:tc>
        <w:tc>
          <w:tcPr>
            <w:tcW w:w="2000" w:type="dxa"/>
            <w:vAlign w:val="bottom"/>
            <w:tcBorders>
              <w:top w:val="single" w:sz="8" w:color="4F81BD"/>
              <w:right w:val="single" w:sz="8" w:color="4F81BD"/>
            </w:tcBorders>
          </w:tcPr>
          <w:p>
            <w:pPr>
              <w:jc w:val="center"/>
              <w:spacing w:after="0"/>
              <w:rPr>
                <w:sz w:val="20"/>
                <w:szCs w:val="20"/>
                <w:color w:val="auto"/>
              </w:rPr>
            </w:pPr>
            <w:r>
              <w:rPr>
                <w:rFonts w:ascii="Arial" w:cs="Arial" w:eastAsia="Arial" w:hAnsi="Arial"/>
                <w:sz w:val="15"/>
                <w:szCs w:val="15"/>
                <w:b w:val="1"/>
                <w:bCs w:val="1"/>
                <w:color w:val="auto"/>
              </w:rPr>
              <w:t>Member</w:t>
            </w:r>
          </w:p>
        </w:tc>
        <w:tc>
          <w:tcPr>
            <w:tcW w:w="2020" w:type="dxa"/>
            <w:vAlign w:val="bottom"/>
            <w:tcBorders>
              <w:top w:val="single" w:sz="8" w:color="4F81BD"/>
              <w:right w:val="single" w:sz="8" w:color="4F81BD"/>
            </w:tcBorders>
          </w:tcPr>
          <w:p>
            <w:pPr>
              <w:jc w:val="center"/>
              <w:spacing w:after="0"/>
              <w:rPr>
                <w:sz w:val="20"/>
                <w:szCs w:val="20"/>
                <w:color w:val="auto"/>
              </w:rPr>
            </w:pPr>
            <w:r>
              <w:rPr>
                <w:rFonts w:ascii="Arial" w:cs="Arial" w:eastAsia="Arial" w:hAnsi="Arial"/>
                <w:sz w:val="15"/>
                <w:szCs w:val="15"/>
                <w:b w:val="1"/>
                <w:bCs w:val="1"/>
                <w:color w:val="auto"/>
                <w:w w:val="97"/>
              </w:rPr>
              <w:t>Member</w:t>
            </w:r>
          </w:p>
        </w:tc>
        <w:tc>
          <w:tcPr>
            <w:tcW w:w="2000" w:type="dxa"/>
            <w:vAlign w:val="bottom"/>
            <w:tcBorders>
              <w:top w:val="single" w:sz="8" w:color="4F81BD"/>
            </w:tcBorders>
          </w:tcPr>
          <w:p>
            <w:pPr>
              <w:spacing w:after="0"/>
              <w:rPr>
                <w:sz w:val="20"/>
                <w:szCs w:val="20"/>
                <w:color w:val="auto"/>
              </w:rPr>
            </w:pPr>
          </w:p>
        </w:tc>
        <w:tc>
          <w:tcPr>
            <w:tcW w:w="20" w:type="dxa"/>
            <w:vAlign w:val="bottom"/>
            <w:tcBorders>
              <w:top w:val="single" w:sz="8" w:color="4F81BD"/>
            </w:tcBorders>
            <w:shd w:val="clear" w:color="auto" w:fill="4F81BD"/>
          </w:tcPr>
          <w:p>
            <w:pPr>
              <w:spacing w:after="0"/>
              <w:rPr>
                <w:sz w:val="20"/>
                <w:szCs w:val="20"/>
                <w:color w:val="auto"/>
              </w:rPr>
            </w:pPr>
          </w:p>
        </w:tc>
      </w:tr>
      <w:tr>
        <w:trPr>
          <w:trHeight w:val="57"/>
        </w:trPr>
        <w:tc>
          <w:tcPr>
            <w:tcW w:w="2660" w:type="dxa"/>
            <w:vAlign w:val="bottom"/>
            <w:tcBorders>
              <w:left w:val="single" w:sz="8" w:color="4F81BD"/>
              <w:bottom w:val="single" w:sz="8" w:color="4F81BD"/>
              <w:right w:val="single" w:sz="8" w:color="4F81BD"/>
            </w:tcBorders>
          </w:tcPr>
          <w:p>
            <w:pPr>
              <w:spacing w:after="0"/>
              <w:rPr>
                <w:sz w:val="4"/>
                <w:szCs w:val="4"/>
                <w:color w:val="auto"/>
              </w:rPr>
            </w:pPr>
          </w:p>
        </w:tc>
        <w:tc>
          <w:tcPr>
            <w:tcW w:w="2000" w:type="dxa"/>
            <w:vAlign w:val="bottom"/>
            <w:tcBorders>
              <w:bottom w:val="single" w:sz="8" w:color="4F81BD"/>
              <w:right w:val="single" w:sz="8" w:color="4F81BD"/>
            </w:tcBorders>
          </w:tcPr>
          <w:p>
            <w:pPr>
              <w:spacing w:after="0"/>
              <w:rPr>
                <w:sz w:val="4"/>
                <w:szCs w:val="4"/>
                <w:color w:val="auto"/>
              </w:rPr>
            </w:pPr>
          </w:p>
        </w:tc>
        <w:tc>
          <w:tcPr>
            <w:tcW w:w="2020" w:type="dxa"/>
            <w:vAlign w:val="bottom"/>
            <w:tcBorders>
              <w:bottom w:val="single" w:sz="8" w:color="4F81BD"/>
              <w:right w:val="single" w:sz="8" w:color="4F81BD"/>
            </w:tcBorders>
          </w:tcPr>
          <w:p>
            <w:pPr>
              <w:spacing w:after="0"/>
              <w:rPr>
                <w:sz w:val="4"/>
                <w:szCs w:val="4"/>
                <w:color w:val="auto"/>
              </w:rPr>
            </w:pPr>
          </w:p>
        </w:tc>
        <w:tc>
          <w:tcPr>
            <w:tcW w:w="2000" w:type="dxa"/>
            <w:vAlign w:val="bottom"/>
            <w:tcBorders>
              <w:bottom w:val="single" w:sz="8" w:color="4F81BD"/>
            </w:tcBorders>
          </w:tcPr>
          <w:p>
            <w:pPr>
              <w:spacing w:after="0"/>
              <w:rPr>
                <w:sz w:val="4"/>
                <w:szCs w:val="4"/>
                <w:color w:val="auto"/>
              </w:rPr>
            </w:pPr>
          </w:p>
        </w:tc>
        <w:tc>
          <w:tcPr>
            <w:tcW w:w="20" w:type="dxa"/>
            <w:vAlign w:val="bottom"/>
            <w:tcBorders>
              <w:bottom w:val="single" w:sz="8" w:color="4F81BD"/>
            </w:tcBorders>
            <w:shd w:val="clear" w:color="auto" w:fill="4F81BD"/>
          </w:tcPr>
          <w:p>
            <w:pPr>
              <w:spacing w:after="0"/>
              <w:rPr>
                <w:sz w:val="4"/>
                <w:szCs w:val="4"/>
                <w:color w:val="auto"/>
              </w:rPr>
            </w:pPr>
          </w:p>
        </w:tc>
      </w:tr>
      <w:tr>
        <w:trPr>
          <w:trHeight w:val="241"/>
        </w:trPr>
        <w:tc>
          <w:tcPr>
            <w:tcW w:w="2660" w:type="dxa"/>
            <w:vAlign w:val="bottom"/>
            <w:tcBorders>
              <w:left w:val="single" w:sz="8" w:color="4F81BD"/>
              <w:bottom w:val="single" w:sz="8" w:color="EDF2F8"/>
              <w:right w:val="single" w:sz="8" w:color="4F81BD"/>
            </w:tcBorders>
            <w:shd w:val="clear" w:color="auto" w:fill="EDF2F8"/>
          </w:tcPr>
          <w:p>
            <w:pPr>
              <w:ind w:left="80"/>
              <w:spacing w:after="0"/>
              <w:rPr>
                <w:sz w:val="20"/>
                <w:szCs w:val="20"/>
                <w:color w:val="auto"/>
              </w:rPr>
            </w:pPr>
            <w:r>
              <w:rPr>
                <w:rFonts w:ascii="Arial" w:cs="Arial" w:eastAsia="Arial" w:hAnsi="Arial"/>
                <w:sz w:val="15"/>
                <w:szCs w:val="15"/>
                <w:b w:val="1"/>
                <w:bCs w:val="1"/>
                <w:color w:val="auto"/>
              </w:rPr>
              <w:t>Mr. David F. Landless</w:t>
            </w:r>
          </w:p>
        </w:tc>
        <w:tc>
          <w:tcPr>
            <w:tcW w:w="2000" w:type="dxa"/>
            <w:vAlign w:val="bottom"/>
            <w:tcBorders>
              <w:bottom w:val="single" w:sz="8" w:color="EDF2F8"/>
              <w:right w:val="single" w:sz="8" w:color="4F81BD"/>
            </w:tcBorders>
            <w:shd w:val="clear" w:color="auto" w:fill="EDF2F8"/>
          </w:tcPr>
          <w:p>
            <w:pPr>
              <w:jc w:val="center"/>
              <w:spacing w:after="0"/>
              <w:rPr>
                <w:sz w:val="20"/>
                <w:szCs w:val="20"/>
                <w:color w:val="auto"/>
              </w:rPr>
            </w:pPr>
            <w:r>
              <w:rPr>
                <w:rFonts w:ascii="Arial" w:cs="Arial" w:eastAsia="Arial" w:hAnsi="Arial"/>
                <w:sz w:val="15"/>
                <w:szCs w:val="15"/>
                <w:b w:val="1"/>
                <w:bCs w:val="1"/>
                <w:color w:val="auto"/>
                <w:w w:val="98"/>
              </w:rPr>
              <w:t>Chair</w:t>
            </w:r>
          </w:p>
        </w:tc>
        <w:tc>
          <w:tcPr>
            <w:tcW w:w="2020" w:type="dxa"/>
            <w:vAlign w:val="bottom"/>
            <w:tcBorders>
              <w:bottom w:val="single" w:sz="8" w:color="EDF2F8"/>
              <w:right w:val="single" w:sz="8" w:color="4F81BD"/>
            </w:tcBorders>
            <w:shd w:val="clear" w:color="auto" w:fill="EDF2F8"/>
          </w:tcPr>
          <w:p>
            <w:pPr>
              <w:spacing w:after="0"/>
              <w:rPr>
                <w:sz w:val="20"/>
                <w:szCs w:val="20"/>
                <w:color w:val="auto"/>
              </w:rPr>
            </w:pPr>
          </w:p>
        </w:tc>
        <w:tc>
          <w:tcPr>
            <w:tcW w:w="2000" w:type="dxa"/>
            <w:vAlign w:val="bottom"/>
            <w:tcBorders>
              <w:bottom w:val="single" w:sz="8" w:color="EDF2F8"/>
            </w:tcBorders>
            <w:shd w:val="clear" w:color="auto" w:fill="EDF2F8"/>
          </w:tcPr>
          <w:p>
            <w:pPr>
              <w:jc w:val="center"/>
              <w:spacing w:after="0"/>
              <w:rPr>
                <w:sz w:val="20"/>
                <w:szCs w:val="20"/>
                <w:color w:val="auto"/>
              </w:rPr>
            </w:pPr>
            <w:r>
              <w:rPr>
                <w:rFonts w:ascii="Arial" w:cs="Arial" w:eastAsia="Arial" w:hAnsi="Arial"/>
                <w:sz w:val="15"/>
                <w:szCs w:val="15"/>
                <w:b w:val="1"/>
                <w:bCs w:val="1"/>
                <w:color w:val="auto"/>
                <w:w w:val="97"/>
              </w:rPr>
              <w:t>Member</w:t>
            </w:r>
          </w:p>
        </w:tc>
        <w:tc>
          <w:tcPr>
            <w:tcW w:w="20" w:type="dxa"/>
            <w:vAlign w:val="bottom"/>
            <w:tcBorders>
              <w:bottom w:val="single" w:sz="8" w:color="4F81BD"/>
            </w:tcBorders>
            <w:shd w:val="clear" w:color="auto" w:fill="4F81BD"/>
          </w:tcPr>
          <w:p>
            <w:pPr>
              <w:spacing w:after="0"/>
              <w:rPr>
                <w:sz w:val="20"/>
                <w:szCs w:val="20"/>
                <w:color w:val="auto"/>
              </w:rPr>
            </w:pPr>
          </w:p>
        </w:tc>
      </w:tr>
      <w:tr>
        <w:trPr>
          <w:trHeight w:val="223"/>
        </w:trPr>
        <w:tc>
          <w:tcPr>
            <w:tcW w:w="2660" w:type="dxa"/>
            <w:vAlign w:val="bottom"/>
            <w:tcBorders>
              <w:top w:val="single" w:sz="8" w:color="4F81BD"/>
              <w:left w:val="single" w:sz="8" w:color="4F81BD"/>
              <w:right w:val="single" w:sz="8" w:color="4F81BD"/>
            </w:tcBorders>
          </w:tcPr>
          <w:p>
            <w:pPr>
              <w:ind w:left="80"/>
              <w:spacing w:after="0"/>
              <w:rPr>
                <w:sz w:val="20"/>
                <w:szCs w:val="20"/>
                <w:color w:val="auto"/>
              </w:rPr>
            </w:pPr>
            <w:r>
              <w:rPr>
                <w:rFonts w:ascii="Arial" w:cs="Arial" w:eastAsia="Arial" w:hAnsi="Arial"/>
                <w:sz w:val="15"/>
                <w:szCs w:val="15"/>
                <w:b w:val="1"/>
                <w:bCs w:val="1"/>
                <w:color w:val="auto"/>
              </w:rPr>
              <w:t>Mr. Lawrence J. Padfield</w:t>
            </w:r>
          </w:p>
        </w:tc>
        <w:tc>
          <w:tcPr>
            <w:tcW w:w="2000" w:type="dxa"/>
            <w:vAlign w:val="bottom"/>
            <w:tcBorders>
              <w:top w:val="single" w:sz="8" w:color="4F81BD"/>
              <w:right w:val="single" w:sz="8" w:color="4F81BD"/>
            </w:tcBorders>
          </w:tcPr>
          <w:p>
            <w:pPr>
              <w:spacing w:after="0"/>
              <w:rPr>
                <w:sz w:val="19"/>
                <w:szCs w:val="19"/>
                <w:color w:val="auto"/>
              </w:rPr>
            </w:pPr>
          </w:p>
        </w:tc>
        <w:tc>
          <w:tcPr>
            <w:tcW w:w="2020" w:type="dxa"/>
            <w:vAlign w:val="bottom"/>
            <w:tcBorders>
              <w:top w:val="single" w:sz="8" w:color="4F81BD"/>
              <w:right w:val="single" w:sz="8" w:color="4F81BD"/>
            </w:tcBorders>
          </w:tcPr>
          <w:p>
            <w:pPr>
              <w:jc w:val="center"/>
              <w:spacing w:after="0"/>
              <w:rPr>
                <w:sz w:val="20"/>
                <w:szCs w:val="20"/>
                <w:color w:val="auto"/>
              </w:rPr>
            </w:pPr>
            <w:r>
              <w:rPr>
                <w:rFonts w:ascii="Arial" w:cs="Arial" w:eastAsia="Arial" w:hAnsi="Arial"/>
                <w:sz w:val="15"/>
                <w:szCs w:val="15"/>
                <w:b w:val="1"/>
                <w:bCs w:val="1"/>
                <w:color w:val="auto"/>
                <w:w w:val="98"/>
              </w:rPr>
              <w:t>Chair</w:t>
            </w:r>
          </w:p>
        </w:tc>
        <w:tc>
          <w:tcPr>
            <w:tcW w:w="2000" w:type="dxa"/>
            <w:vAlign w:val="bottom"/>
            <w:tcBorders>
              <w:top w:val="single" w:sz="8" w:color="4F81BD"/>
            </w:tcBorders>
          </w:tcPr>
          <w:p>
            <w:pPr>
              <w:spacing w:after="0"/>
              <w:rPr>
                <w:sz w:val="19"/>
                <w:szCs w:val="19"/>
                <w:color w:val="auto"/>
              </w:rPr>
            </w:pPr>
          </w:p>
        </w:tc>
        <w:tc>
          <w:tcPr>
            <w:tcW w:w="20" w:type="dxa"/>
            <w:vAlign w:val="bottom"/>
            <w:tcBorders>
              <w:top w:val="single" w:sz="8" w:color="4F81BD"/>
            </w:tcBorders>
            <w:shd w:val="clear" w:color="auto" w:fill="4F81BD"/>
          </w:tcPr>
          <w:p>
            <w:pPr>
              <w:spacing w:after="0"/>
              <w:rPr>
                <w:sz w:val="19"/>
                <w:szCs w:val="19"/>
                <w:color w:val="auto"/>
              </w:rPr>
            </w:pPr>
          </w:p>
        </w:tc>
      </w:tr>
      <w:tr>
        <w:trPr>
          <w:trHeight w:val="46"/>
        </w:trPr>
        <w:tc>
          <w:tcPr>
            <w:tcW w:w="2660" w:type="dxa"/>
            <w:vAlign w:val="bottom"/>
            <w:tcBorders>
              <w:left w:val="single" w:sz="8" w:color="4F81BD"/>
              <w:bottom w:val="single" w:sz="8" w:color="4F81BD"/>
              <w:right w:val="single" w:sz="8" w:color="4F81BD"/>
            </w:tcBorders>
          </w:tcPr>
          <w:p>
            <w:pPr>
              <w:spacing w:after="0"/>
              <w:rPr>
                <w:sz w:val="4"/>
                <w:szCs w:val="4"/>
                <w:color w:val="auto"/>
              </w:rPr>
            </w:pPr>
          </w:p>
        </w:tc>
        <w:tc>
          <w:tcPr>
            <w:tcW w:w="2000" w:type="dxa"/>
            <w:vAlign w:val="bottom"/>
            <w:tcBorders>
              <w:bottom w:val="single" w:sz="8" w:color="4F81BD"/>
              <w:right w:val="single" w:sz="8" w:color="4F81BD"/>
            </w:tcBorders>
          </w:tcPr>
          <w:p>
            <w:pPr>
              <w:spacing w:after="0"/>
              <w:rPr>
                <w:sz w:val="4"/>
                <w:szCs w:val="4"/>
                <w:color w:val="auto"/>
              </w:rPr>
            </w:pPr>
          </w:p>
        </w:tc>
        <w:tc>
          <w:tcPr>
            <w:tcW w:w="2020" w:type="dxa"/>
            <w:vAlign w:val="bottom"/>
            <w:tcBorders>
              <w:bottom w:val="single" w:sz="8" w:color="4F81BD"/>
              <w:right w:val="single" w:sz="8" w:color="4F81BD"/>
            </w:tcBorders>
          </w:tcPr>
          <w:p>
            <w:pPr>
              <w:spacing w:after="0"/>
              <w:rPr>
                <w:sz w:val="4"/>
                <w:szCs w:val="4"/>
                <w:color w:val="auto"/>
              </w:rPr>
            </w:pPr>
          </w:p>
        </w:tc>
        <w:tc>
          <w:tcPr>
            <w:tcW w:w="2000" w:type="dxa"/>
            <w:vAlign w:val="bottom"/>
            <w:tcBorders>
              <w:bottom w:val="single" w:sz="8" w:color="4F81BD"/>
            </w:tcBorders>
          </w:tcPr>
          <w:p>
            <w:pPr>
              <w:spacing w:after="0"/>
              <w:rPr>
                <w:sz w:val="4"/>
                <w:szCs w:val="4"/>
                <w:color w:val="auto"/>
              </w:rPr>
            </w:pPr>
          </w:p>
        </w:tc>
        <w:tc>
          <w:tcPr>
            <w:tcW w:w="20" w:type="dxa"/>
            <w:vAlign w:val="bottom"/>
            <w:tcBorders>
              <w:bottom w:val="single" w:sz="8" w:color="4F81BD"/>
            </w:tcBorders>
            <w:shd w:val="clear" w:color="auto" w:fill="4F81BD"/>
          </w:tcPr>
          <w:p>
            <w:pPr>
              <w:spacing w:after="0"/>
              <w:rPr>
                <w:sz w:val="4"/>
                <w:szCs w:val="4"/>
                <w:color w:val="auto"/>
              </w:rPr>
            </w:pPr>
          </w:p>
        </w:tc>
      </w:tr>
      <w:tr>
        <w:trPr>
          <w:trHeight w:val="230"/>
        </w:trPr>
        <w:tc>
          <w:tcPr>
            <w:tcW w:w="2660" w:type="dxa"/>
            <w:vAlign w:val="bottom"/>
            <w:tcBorders>
              <w:left w:val="single" w:sz="8" w:color="4F81BD"/>
              <w:bottom w:val="single" w:sz="8" w:color="EDF2F8"/>
              <w:right w:val="single" w:sz="8" w:color="4F81BD"/>
            </w:tcBorders>
            <w:shd w:val="clear" w:color="auto" w:fill="EDF2F8"/>
          </w:tcPr>
          <w:p>
            <w:pPr>
              <w:ind w:left="80"/>
              <w:spacing w:after="0"/>
              <w:rPr>
                <w:sz w:val="20"/>
                <w:szCs w:val="20"/>
                <w:color w:val="auto"/>
              </w:rPr>
            </w:pPr>
            <w:r>
              <w:rPr>
                <w:rFonts w:ascii="Arial" w:cs="Arial" w:eastAsia="Arial" w:hAnsi="Arial"/>
                <w:sz w:val="15"/>
                <w:szCs w:val="15"/>
                <w:b w:val="1"/>
                <w:bCs w:val="1"/>
                <w:color w:val="auto"/>
              </w:rPr>
              <w:t>Mr. Leslie J. Parrette</w:t>
            </w:r>
          </w:p>
        </w:tc>
        <w:tc>
          <w:tcPr>
            <w:tcW w:w="2000" w:type="dxa"/>
            <w:vAlign w:val="bottom"/>
            <w:tcBorders>
              <w:bottom w:val="single" w:sz="8" w:color="EDF2F8"/>
              <w:right w:val="single" w:sz="8" w:color="4F81BD"/>
            </w:tcBorders>
            <w:shd w:val="clear" w:color="auto" w:fill="EDF2F8"/>
          </w:tcPr>
          <w:p>
            <w:pPr>
              <w:spacing w:after="0"/>
              <w:rPr>
                <w:sz w:val="19"/>
                <w:szCs w:val="19"/>
                <w:color w:val="auto"/>
              </w:rPr>
            </w:pPr>
          </w:p>
        </w:tc>
        <w:tc>
          <w:tcPr>
            <w:tcW w:w="2020" w:type="dxa"/>
            <w:vAlign w:val="bottom"/>
            <w:tcBorders>
              <w:bottom w:val="single" w:sz="8" w:color="EDF2F8"/>
              <w:right w:val="single" w:sz="8" w:color="4F81BD"/>
            </w:tcBorders>
            <w:shd w:val="clear" w:color="auto" w:fill="EDF2F8"/>
          </w:tcPr>
          <w:p>
            <w:pPr>
              <w:jc w:val="center"/>
              <w:spacing w:after="0"/>
              <w:rPr>
                <w:sz w:val="20"/>
                <w:szCs w:val="20"/>
                <w:color w:val="auto"/>
              </w:rPr>
            </w:pPr>
            <w:r>
              <w:rPr>
                <w:rFonts w:ascii="Arial" w:cs="Arial" w:eastAsia="Arial" w:hAnsi="Arial"/>
                <w:sz w:val="15"/>
                <w:szCs w:val="15"/>
                <w:b w:val="1"/>
                <w:bCs w:val="1"/>
                <w:color w:val="auto"/>
                <w:w w:val="97"/>
              </w:rPr>
              <w:t>Member</w:t>
            </w:r>
          </w:p>
        </w:tc>
        <w:tc>
          <w:tcPr>
            <w:tcW w:w="2000" w:type="dxa"/>
            <w:vAlign w:val="bottom"/>
            <w:tcBorders>
              <w:bottom w:val="single" w:sz="8" w:color="EDF2F8"/>
            </w:tcBorders>
            <w:shd w:val="clear" w:color="auto" w:fill="EDF2F8"/>
          </w:tcPr>
          <w:p>
            <w:pPr>
              <w:jc w:val="center"/>
              <w:spacing w:after="0"/>
              <w:rPr>
                <w:sz w:val="20"/>
                <w:szCs w:val="20"/>
                <w:color w:val="auto"/>
              </w:rPr>
            </w:pPr>
            <w:r>
              <w:rPr>
                <w:rFonts w:ascii="Arial" w:cs="Arial" w:eastAsia="Arial" w:hAnsi="Arial"/>
                <w:sz w:val="15"/>
                <w:szCs w:val="15"/>
                <w:b w:val="1"/>
                <w:bCs w:val="1"/>
                <w:color w:val="auto"/>
                <w:w w:val="97"/>
              </w:rPr>
              <w:t>Member</w:t>
            </w:r>
          </w:p>
        </w:tc>
        <w:tc>
          <w:tcPr>
            <w:tcW w:w="20" w:type="dxa"/>
            <w:vAlign w:val="bottom"/>
            <w:tcBorders>
              <w:bottom w:val="single" w:sz="8" w:color="4F81BD"/>
            </w:tcBorders>
            <w:shd w:val="clear" w:color="auto" w:fill="4F81BD"/>
          </w:tcPr>
          <w:p>
            <w:pPr>
              <w:spacing w:after="0"/>
              <w:rPr>
                <w:sz w:val="19"/>
                <w:szCs w:val="19"/>
                <w:color w:val="auto"/>
              </w:rPr>
            </w:pPr>
          </w:p>
        </w:tc>
      </w:tr>
      <w:tr>
        <w:trPr>
          <w:trHeight w:val="207"/>
        </w:trPr>
        <w:tc>
          <w:tcPr>
            <w:tcW w:w="2660" w:type="dxa"/>
            <w:vAlign w:val="bottom"/>
            <w:tcBorders>
              <w:top w:val="single" w:sz="8" w:color="4F81BD"/>
              <w:left w:val="single" w:sz="8" w:color="4F81BD"/>
              <w:bottom w:val="single" w:sz="8" w:color="4F81BD"/>
              <w:right w:val="single" w:sz="8" w:color="4F81BD"/>
            </w:tcBorders>
          </w:tcPr>
          <w:p>
            <w:pPr>
              <w:ind w:left="80"/>
              <w:spacing w:after="0"/>
              <w:rPr>
                <w:sz w:val="20"/>
                <w:szCs w:val="20"/>
                <w:color w:val="auto"/>
              </w:rPr>
            </w:pPr>
            <w:r>
              <w:rPr>
                <w:rFonts w:ascii="Arial" w:cs="Arial" w:eastAsia="Arial" w:hAnsi="Arial"/>
                <w:sz w:val="15"/>
                <w:szCs w:val="15"/>
                <w:b w:val="1"/>
                <w:bCs w:val="1"/>
                <w:color w:val="auto"/>
              </w:rPr>
              <w:t>Ms. Claudia P. Poccia</w:t>
            </w:r>
          </w:p>
        </w:tc>
        <w:tc>
          <w:tcPr>
            <w:tcW w:w="2000" w:type="dxa"/>
            <w:vAlign w:val="bottom"/>
            <w:tcBorders>
              <w:top w:val="single" w:sz="8" w:color="4F81BD"/>
              <w:bottom w:val="single" w:sz="8" w:color="4F81BD"/>
              <w:right w:val="single" w:sz="8" w:color="4F81BD"/>
            </w:tcBorders>
          </w:tcPr>
          <w:p>
            <w:pPr>
              <w:spacing w:after="0"/>
              <w:rPr>
                <w:sz w:val="18"/>
                <w:szCs w:val="18"/>
                <w:color w:val="auto"/>
              </w:rPr>
            </w:pPr>
          </w:p>
        </w:tc>
        <w:tc>
          <w:tcPr>
            <w:tcW w:w="2020" w:type="dxa"/>
            <w:vAlign w:val="bottom"/>
            <w:tcBorders>
              <w:top w:val="single" w:sz="8" w:color="4F81BD"/>
              <w:bottom w:val="single" w:sz="8" w:color="4F81BD"/>
              <w:right w:val="single" w:sz="8" w:color="4F81BD"/>
            </w:tcBorders>
          </w:tcPr>
          <w:p>
            <w:pPr>
              <w:jc w:val="center"/>
              <w:spacing w:after="0"/>
              <w:rPr>
                <w:sz w:val="20"/>
                <w:szCs w:val="20"/>
                <w:color w:val="auto"/>
              </w:rPr>
            </w:pPr>
            <w:r>
              <w:rPr>
                <w:rFonts w:ascii="Arial" w:cs="Arial" w:eastAsia="Arial" w:hAnsi="Arial"/>
                <w:sz w:val="15"/>
                <w:szCs w:val="15"/>
                <w:b w:val="1"/>
                <w:bCs w:val="1"/>
                <w:color w:val="auto"/>
                <w:w w:val="97"/>
              </w:rPr>
              <w:t>Member</w:t>
            </w:r>
          </w:p>
        </w:tc>
        <w:tc>
          <w:tcPr>
            <w:tcW w:w="2000" w:type="dxa"/>
            <w:vAlign w:val="bottom"/>
            <w:tcBorders>
              <w:top w:val="single" w:sz="8" w:color="4F81BD"/>
              <w:bottom w:val="single" w:sz="8" w:color="4F81BD"/>
            </w:tcBorders>
          </w:tcPr>
          <w:p>
            <w:pPr>
              <w:jc w:val="center"/>
              <w:spacing w:after="0"/>
              <w:rPr>
                <w:sz w:val="20"/>
                <w:szCs w:val="20"/>
                <w:color w:val="auto"/>
              </w:rPr>
            </w:pPr>
            <w:r>
              <w:rPr>
                <w:rFonts w:ascii="Arial" w:cs="Arial" w:eastAsia="Arial" w:hAnsi="Arial"/>
                <w:sz w:val="15"/>
                <w:szCs w:val="15"/>
                <w:b w:val="1"/>
                <w:bCs w:val="1"/>
                <w:color w:val="auto"/>
                <w:w w:val="98"/>
              </w:rPr>
              <w:t>Chair</w:t>
            </w:r>
          </w:p>
        </w:tc>
        <w:tc>
          <w:tcPr>
            <w:tcW w:w="20" w:type="dxa"/>
            <w:vAlign w:val="bottom"/>
            <w:tcBorders>
              <w:top w:val="single" w:sz="8" w:color="4F81BD"/>
              <w:bottom w:val="single" w:sz="8" w:color="4F81BD"/>
            </w:tcBorders>
            <w:shd w:val="clear" w:color="auto" w:fill="4F81BD"/>
          </w:tcPr>
          <w:p>
            <w:pPr>
              <w:spacing w:after="0"/>
              <w:rPr>
                <w:sz w:val="18"/>
                <w:szCs w:val="18"/>
                <w:color w:val="auto"/>
              </w:rPr>
            </w:pPr>
          </w:p>
        </w:tc>
      </w:tr>
      <w:tr>
        <w:trPr>
          <w:trHeight w:val="214"/>
        </w:trPr>
        <w:tc>
          <w:tcPr>
            <w:tcW w:w="2660" w:type="dxa"/>
            <w:vAlign w:val="bottom"/>
            <w:tcBorders>
              <w:left w:val="single" w:sz="8" w:color="4F81BD"/>
              <w:bottom w:val="single" w:sz="8" w:color="4F81BD"/>
              <w:right w:val="single" w:sz="8" w:color="4F81BD"/>
            </w:tcBorders>
            <w:shd w:val="clear" w:color="auto" w:fill="EDF2F8"/>
          </w:tcPr>
          <w:p>
            <w:pPr>
              <w:ind w:left="80"/>
              <w:spacing w:after="0"/>
              <w:rPr>
                <w:sz w:val="20"/>
                <w:szCs w:val="20"/>
                <w:color w:val="auto"/>
              </w:rPr>
            </w:pPr>
            <w:r>
              <w:rPr>
                <w:rFonts w:ascii="Arial" w:cs="Arial" w:eastAsia="Arial" w:hAnsi="Arial"/>
                <w:sz w:val="15"/>
                <w:szCs w:val="15"/>
                <w:b w:val="1"/>
                <w:bCs w:val="1"/>
                <w:color w:val="4F81BD"/>
              </w:rPr>
              <w:t>Number of meetings in 2025:</w:t>
            </w:r>
          </w:p>
        </w:tc>
        <w:tc>
          <w:tcPr>
            <w:tcW w:w="2000" w:type="dxa"/>
            <w:vAlign w:val="bottom"/>
            <w:tcBorders>
              <w:bottom w:val="single" w:sz="8" w:color="4F81BD"/>
              <w:right w:val="single" w:sz="8" w:color="4F81BD"/>
            </w:tcBorders>
            <w:shd w:val="clear" w:color="auto" w:fill="EDF2F8"/>
          </w:tcPr>
          <w:p>
            <w:pPr>
              <w:jc w:val="center"/>
              <w:spacing w:after="0"/>
              <w:rPr>
                <w:sz w:val="20"/>
                <w:szCs w:val="20"/>
                <w:color w:val="auto"/>
              </w:rPr>
            </w:pPr>
            <w:r>
              <w:rPr>
                <w:rFonts w:ascii="Arial" w:cs="Arial" w:eastAsia="Arial" w:hAnsi="Arial"/>
                <w:sz w:val="15"/>
                <w:szCs w:val="15"/>
                <w:b w:val="1"/>
                <w:bCs w:val="1"/>
                <w:color w:val="4F81BD"/>
                <w:w w:val="95"/>
              </w:rPr>
              <w:t>4</w:t>
            </w:r>
          </w:p>
        </w:tc>
        <w:tc>
          <w:tcPr>
            <w:tcW w:w="2020" w:type="dxa"/>
            <w:vAlign w:val="bottom"/>
            <w:tcBorders>
              <w:bottom w:val="single" w:sz="8" w:color="4F81BD"/>
              <w:right w:val="single" w:sz="8" w:color="4F81BD"/>
            </w:tcBorders>
            <w:shd w:val="clear" w:color="auto" w:fill="EDF2F8"/>
          </w:tcPr>
          <w:p>
            <w:pPr>
              <w:jc w:val="center"/>
              <w:spacing w:after="0"/>
              <w:rPr>
                <w:sz w:val="20"/>
                <w:szCs w:val="20"/>
                <w:color w:val="auto"/>
              </w:rPr>
            </w:pPr>
            <w:r>
              <w:rPr>
                <w:rFonts w:ascii="Arial" w:cs="Arial" w:eastAsia="Arial" w:hAnsi="Arial"/>
                <w:sz w:val="15"/>
                <w:szCs w:val="15"/>
                <w:b w:val="1"/>
                <w:bCs w:val="1"/>
                <w:color w:val="4F81BD"/>
                <w:w w:val="95"/>
              </w:rPr>
              <w:t>4</w:t>
            </w:r>
          </w:p>
        </w:tc>
        <w:tc>
          <w:tcPr>
            <w:tcW w:w="2000" w:type="dxa"/>
            <w:vAlign w:val="bottom"/>
            <w:tcBorders>
              <w:bottom w:val="single" w:sz="8" w:color="4F81BD"/>
            </w:tcBorders>
            <w:shd w:val="clear" w:color="auto" w:fill="EDF2F8"/>
          </w:tcPr>
          <w:p>
            <w:pPr>
              <w:jc w:val="center"/>
              <w:spacing w:after="0"/>
              <w:rPr>
                <w:sz w:val="20"/>
                <w:szCs w:val="20"/>
                <w:color w:val="auto"/>
              </w:rPr>
            </w:pPr>
            <w:r>
              <w:rPr>
                <w:rFonts w:ascii="Arial" w:cs="Arial" w:eastAsia="Arial" w:hAnsi="Arial"/>
                <w:sz w:val="15"/>
                <w:szCs w:val="15"/>
                <w:b w:val="1"/>
                <w:bCs w:val="1"/>
                <w:color w:val="4F81BD"/>
                <w:w w:val="95"/>
              </w:rPr>
              <w:t>4</w:t>
            </w:r>
          </w:p>
        </w:tc>
        <w:tc>
          <w:tcPr>
            <w:tcW w:w="20" w:type="dxa"/>
            <w:vAlign w:val="bottom"/>
            <w:tcBorders>
              <w:bottom w:val="single" w:sz="8" w:color="4F81BD"/>
            </w:tcBorders>
            <w:shd w:val="clear" w:color="auto" w:fill="4F81BD"/>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1389380</wp:posOffset>
            </wp:positionH>
            <wp:positionV relativeFrom="paragraph">
              <wp:posOffset>-1144905</wp:posOffset>
            </wp:positionV>
            <wp:extent cx="8509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090" cy="120015"/>
                    </a:xfrm>
                    <a:prstGeom prst="rect">
                      <a:avLst/>
                    </a:prstGeom>
                    <a:noFill/>
                  </pic:spPr>
                </pic:pic>
              </a:graphicData>
            </a:graphic>
          </wp:anchor>
        </w:drawing>
        <w:drawing>
          <wp:anchor simplePos="0" relativeHeight="251657728" behindDoc="1" locked="0" layoutInCell="0" allowOverlap="1">
            <wp:simplePos x="0" y="0"/>
            <wp:positionH relativeFrom="column">
              <wp:posOffset>1240790</wp:posOffset>
            </wp:positionH>
            <wp:positionV relativeFrom="paragraph">
              <wp:posOffset>-784225</wp:posOffset>
            </wp:positionV>
            <wp:extent cx="8509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090" cy="12001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77470</wp:posOffset>
            </wp:positionV>
            <wp:extent cx="85090" cy="113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090" cy="113030"/>
                    </a:xfrm>
                    <a:prstGeom prst="rect">
                      <a:avLst/>
                    </a:prstGeom>
                    <a:noFill/>
                  </pic:spPr>
                </pic:pic>
              </a:graphicData>
            </a:graphic>
          </wp:anchor>
        </w:drawing>
      </w:r>
    </w:p>
    <w:p>
      <w:pPr>
        <w:spacing w:after="0" w:line="152" w:lineRule="exact"/>
        <w:rPr>
          <w:sz w:val="20"/>
          <w:szCs w:val="20"/>
          <w:color w:val="auto"/>
        </w:rPr>
      </w:pPr>
    </w:p>
    <w:p>
      <w:pPr>
        <w:ind w:left="480"/>
        <w:spacing w:after="0"/>
        <w:rPr>
          <w:sz w:val="20"/>
          <w:szCs w:val="20"/>
          <w:color w:val="auto"/>
        </w:rPr>
      </w:pPr>
      <w:r>
        <w:rPr>
          <w:rFonts w:ascii="Arial" w:cs="Arial" w:eastAsia="Arial" w:hAnsi="Arial"/>
          <w:sz w:val="12"/>
          <w:szCs w:val="12"/>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3388360</wp:posOffset>
            </wp:positionV>
            <wp:extent cx="297180" cy="290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3" w:name="page24"/>
    <w:bookmarkEnd w:id="23"/>
    <w:p>
      <w:pPr>
        <w:spacing w:after="0" w:line="94" w:lineRule="exact"/>
        <w:rPr>
          <w:sz w:val="20"/>
          <w:szCs w:val="20"/>
          <w:color w:val="auto"/>
        </w:rPr>
      </w:pPr>
    </w:p>
    <w:tbl>
      <w:tblPr>
        <w:tblLayout w:type="fixed"/>
        <w:tblInd w:w="210" w:type="dxa"/>
        <w:tblCellMar>
          <w:top w:w="0" w:type="dxa"/>
          <w:left w:w="0" w:type="dxa"/>
          <w:bottom w:w="0" w:type="dxa"/>
          <w:right w:w="0" w:type="dxa"/>
        </w:tblCellMar>
      </w:tblPr>
      <w:tr>
        <w:trPr>
          <w:trHeight w:val="309"/>
        </w:trPr>
        <w:tc>
          <w:tcPr>
            <w:tcW w:w="2700" w:type="dxa"/>
            <w:vAlign w:val="bottom"/>
            <w:tcBorders>
              <w:top w:val="single" w:sz="8" w:color="auto"/>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33"/>
                <w:szCs w:val="33"/>
                <w:b w:val="1"/>
                <w:bCs w:val="1"/>
                <w:color w:val="FFFFFF"/>
                <w:w w:val="97"/>
              </w:rPr>
              <w:t>Audit</w:t>
            </w:r>
          </w:p>
        </w:tc>
        <w:tc>
          <w:tcPr>
            <w:tcW w:w="6000" w:type="dxa"/>
            <w:vAlign w:val="bottom"/>
            <w:tcBorders>
              <w:top w:val="single" w:sz="8" w:color="auto"/>
              <w:right w:val="single" w:sz="8" w:color="auto"/>
            </w:tcBorders>
            <w:gridSpan w:val="2"/>
            <w:shd w:val="clear" w:color="auto" w:fill="EDF2F8"/>
          </w:tcPr>
          <w:p>
            <w:pPr>
              <w:ind w:left="80"/>
              <w:spacing w:after="0"/>
              <w:rPr>
                <w:sz w:val="20"/>
                <w:szCs w:val="20"/>
                <w:color w:val="auto"/>
              </w:rPr>
            </w:pPr>
            <w:r>
              <w:rPr>
                <w:rFonts w:ascii="Arial" w:cs="Arial" w:eastAsia="Arial" w:hAnsi="Arial"/>
                <w:sz w:val="17"/>
                <w:szCs w:val="17"/>
                <w:b w:val="1"/>
                <w:bCs w:val="1"/>
                <w:color w:val="auto"/>
              </w:rPr>
              <w:t>Key Responsibilities:</w:t>
            </w:r>
          </w:p>
        </w:tc>
        <w:tc>
          <w:tcPr>
            <w:tcW w:w="0" w:type="dxa"/>
            <w:vAlign w:val="bottom"/>
          </w:tcPr>
          <w:p>
            <w:pPr>
              <w:spacing w:after="0"/>
              <w:rPr>
                <w:sz w:val="1"/>
                <w:szCs w:val="1"/>
                <w:color w:val="auto"/>
              </w:rPr>
            </w:pPr>
          </w:p>
        </w:tc>
      </w:tr>
      <w:tr>
        <w:trPr>
          <w:trHeight w:val="141"/>
        </w:trPr>
        <w:tc>
          <w:tcPr>
            <w:tcW w:w="2700" w:type="dxa"/>
            <w:vAlign w:val="bottom"/>
            <w:tcBorders>
              <w:left w:val="single" w:sz="8" w:color="auto"/>
              <w:right w:val="single" w:sz="8" w:color="auto"/>
            </w:tcBorders>
            <w:vMerge w:val="continue"/>
            <w:shd w:val="clear" w:color="auto" w:fill="4F81BD"/>
          </w:tcPr>
          <w:p>
            <w:pPr>
              <w:spacing w:after="0"/>
              <w:rPr>
                <w:sz w:val="12"/>
                <w:szCs w:val="12"/>
                <w:color w:val="auto"/>
              </w:rPr>
            </w:pPr>
          </w:p>
        </w:tc>
        <w:tc>
          <w:tcPr>
            <w:tcW w:w="180" w:type="dxa"/>
            <w:vAlign w:val="bottom"/>
            <w:shd w:val="clear" w:color="auto" w:fill="EDF2F8"/>
          </w:tcPr>
          <w:p>
            <w:pPr>
              <w:ind w:left="80"/>
              <w:spacing w:after="0"/>
              <w:rPr>
                <w:sz w:val="20"/>
                <w:szCs w:val="20"/>
                <w:color w:val="auto"/>
              </w:rPr>
            </w:pPr>
            <w:r>
              <w:rPr>
                <w:rFonts w:ascii="Arial" w:cs="Arial" w:eastAsia="Arial" w:hAnsi="Arial"/>
                <w:sz w:val="11"/>
                <w:szCs w:val="11"/>
                <w:color w:val="auto"/>
              </w:rPr>
              <w:t>•</w:t>
            </w: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monitoring and overseeing the Company’s internal controls and financial reporting process</w:t>
            </w:r>
          </w:p>
        </w:tc>
        <w:tc>
          <w:tcPr>
            <w:tcW w:w="0" w:type="dxa"/>
            <w:vAlign w:val="bottom"/>
          </w:tcPr>
          <w:p>
            <w:pPr>
              <w:spacing w:after="0"/>
              <w:rPr>
                <w:sz w:val="1"/>
                <w:szCs w:val="1"/>
                <w:color w:val="auto"/>
              </w:rPr>
            </w:pPr>
          </w:p>
        </w:tc>
      </w:tr>
      <w:tr>
        <w:trPr>
          <w:trHeight w:val="141"/>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33"/>
                <w:szCs w:val="33"/>
                <w:b w:val="1"/>
                <w:bCs w:val="1"/>
                <w:color w:val="FFFFFF"/>
                <w:w w:val="99"/>
              </w:rPr>
              <w:t>Committee</w:t>
            </w:r>
          </w:p>
        </w:tc>
        <w:tc>
          <w:tcPr>
            <w:tcW w:w="180" w:type="dxa"/>
            <w:vAlign w:val="bottom"/>
            <w:shd w:val="clear" w:color="auto" w:fill="EDF2F8"/>
          </w:tcPr>
          <w:p>
            <w:pPr>
              <w:ind w:left="80"/>
              <w:spacing w:after="0"/>
              <w:rPr>
                <w:sz w:val="20"/>
                <w:szCs w:val="20"/>
                <w:color w:val="auto"/>
              </w:rPr>
            </w:pPr>
            <w:r>
              <w:rPr>
                <w:rFonts w:ascii="Arial" w:cs="Arial" w:eastAsia="Arial" w:hAnsi="Arial"/>
                <w:sz w:val="11"/>
                <w:szCs w:val="11"/>
                <w:color w:val="auto"/>
              </w:rPr>
              <w:t>•</w:t>
            </w: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overseeing the independent audit of the Company’s consolidated financial statements by the Company’s</w:t>
            </w:r>
          </w:p>
        </w:tc>
        <w:tc>
          <w:tcPr>
            <w:tcW w:w="0" w:type="dxa"/>
            <w:vAlign w:val="bottom"/>
          </w:tcPr>
          <w:p>
            <w:pPr>
              <w:spacing w:after="0"/>
              <w:rPr>
                <w:sz w:val="1"/>
                <w:szCs w:val="1"/>
                <w:color w:val="auto"/>
              </w:rPr>
            </w:pPr>
          </w:p>
        </w:tc>
      </w:tr>
      <w:tr>
        <w:trPr>
          <w:trHeight w:val="134"/>
        </w:trPr>
        <w:tc>
          <w:tcPr>
            <w:tcW w:w="2700" w:type="dxa"/>
            <w:vAlign w:val="bottom"/>
            <w:tcBorders>
              <w:left w:val="single" w:sz="8" w:color="auto"/>
              <w:right w:val="single" w:sz="8" w:color="auto"/>
            </w:tcBorders>
            <w:vMerge w:val="continue"/>
            <w:shd w:val="clear" w:color="auto" w:fill="4F81BD"/>
          </w:tcPr>
          <w:p>
            <w:pPr>
              <w:spacing w:after="0"/>
              <w:rPr>
                <w:sz w:val="11"/>
                <w:szCs w:val="11"/>
                <w:color w:val="auto"/>
              </w:rPr>
            </w:pPr>
          </w:p>
        </w:tc>
        <w:tc>
          <w:tcPr>
            <w:tcW w:w="180" w:type="dxa"/>
            <w:vAlign w:val="bottom"/>
            <w:shd w:val="clear" w:color="auto" w:fill="EDF2F8"/>
          </w:tcPr>
          <w:p>
            <w:pPr>
              <w:spacing w:after="0"/>
              <w:rPr>
                <w:sz w:val="11"/>
                <w:szCs w:val="11"/>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independent registered public accounting firm</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vMerge w:val="continue"/>
            <w:shd w:val="clear" w:color="auto" w:fill="4F81BD"/>
          </w:tcPr>
          <w:p>
            <w:pPr>
              <w:spacing w:after="0"/>
              <w:rPr>
                <w:sz w:val="10"/>
                <w:szCs w:val="10"/>
                <w:color w:val="auto"/>
              </w:rPr>
            </w:pPr>
          </w:p>
        </w:tc>
        <w:tc>
          <w:tcPr>
            <w:tcW w:w="180" w:type="dxa"/>
            <w:vAlign w:val="bottom"/>
            <w:shd w:val="clear" w:color="auto" w:fill="EDF2F8"/>
          </w:tcPr>
          <w:p>
            <w:pPr>
              <w:ind w:left="80"/>
              <w:spacing w:after="0" w:line="123" w:lineRule="exact"/>
              <w:rPr>
                <w:sz w:val="20"/>
                <w:szCs w:val="20"/>
                <w:color w:val="auto"/>
              </w:rPr>
            </w:pPr>
            <w:r>
              <w:rPr>
                <w:rFonts w:ascii="Arial" w:cs="Arial" w:eastAsia="Arial" w:hAnsi="Arial"/>
                <w:sz w:val="11"/>
                <w:szCs w:val="11"/>
                <w:color w:val="auto"/>
              </w:rPr>
              <w:t>•</w:t>
            </w:r>
          </w:p>
        </w:tc>
        <w:tc>
          <w:tcPr>
            <w:tcW w:w="5820" w:type="dxa"/>
            <w:vAlign w:val="bottom"/>
            <w:tcBorders>
              <w:right w:val="single" w:sz="8" w:color="auto"/>
            </w:tcBorders>
            <w:shd w:val="clear" w:color="auto" w:fill="EDF2F8"/>
          </w:tcPr>
          <w:p>
            <w:pPr>
              <w:ind w:left="60"/>
              <w:spacing w:after="0" w:line="123" w:lineRule="exact"/>
              <w:rPr>
                <w:sz w:val="20"/>
                <w:szCs w:val="20"/>
                <w:color w:val="auto"/>
              </w:rPr>
            </w:pPr>
            <w:r>
              <w:rPr>
                <w:rFonts w:ascii="Arial" w:cs="Arial" w:eastAsia="Arial" w:hAnsi="Arial"/>
                <w:sz w:val="11"/>
                <w:szCs w:val="11"/>
                <w:color w:val="auto"/>
              </w:rPr>
              <w:t>assisting the Board with its oversight of legal and regulatory compliance requirements in respect of financial</w:t>
            </w:r>
          </w:p>
        </w:tc>
        <w:tc>
          <w:tcPr>
            <w:tcW w:w="0" w:type="dxa"/>
            <w:vAlign w:val="bottom"/>
          </w:tcPr>
          <w:p>
            <w:pPr>
              <w:spacing w:after="0"/>
              <w:rPr>
                <w:sz w:val="1"/>
                <w:szCs w:val="1"/>
                <w:color w:val="auto"/>
              </w:rPr>
            </w:pPr>
          </w:p>
        </w:tc>
      </w:tr>
      <w:tr>
        <w:trPr>
          <w:trHeight w:val="134"/>
        </w:trPr>
        <w:tc>
          <w:tcPr>
            <w:tcW w:w="2700" w:type="dxa"/>
            <w:vAlign w:val="bottom"/>
            <w:tcBorders>
              <w:left w:val="single" w:sz="8" w:color="auto"/>
              <w:right w:val="single" w:sz="8" w:color="auto"/>
            </w:tcBorders>
            <w:shd w:val="clear" w:color="auto" w:fill="4F81BD"/>
          </w:tcPr>
          <w:p>
            <w:pPr>
              <w:spacing w:after="0"/>
              <w:rPr>
                <w:sz w:val="11"/>
                <w:szCs w:val="11"/>
                <w:color w:val="auto"/>
              </w:rPr>
            </w:pPr>
          </w:p>
        </w:tc>
        <w:tc>
          <w:tcPr>
            <w:tcW w:w="180" w:type="dxa"/>
            <w:vAlign w:val="bottom"/>
            <w:shd w:val="clear" w:color="auto" w:fill="EDF2F8"/>
          </w:tcPr>
          <w:p>
            <w:pPr>
              <w:spacing w:after="0"/>
              <w:rPr>
                <w:sz w:val="11"/>
                <w:szCs w:val="11"/>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reporting</w:t>
            </w:r>
          </w:p>
        </w:tc>
        <w:tc>
          <w:tcPr>
            <w:tcW w:w="0" w:type="dxa"/>
            <w:vAlign w:val="bottom"/>
          </w:tcPr>
          <w:p>
            <w:pPr>
              <w:spacing w:after="0"/>
              <w:rPr>
                <w:sz w:val="1"/>
                <w:szCs w:val="1"/>
                <w:color w:val="auto"/>
              </w:rPr>
            </w:pPr>
          </w:p>
        </w:tc>
      </w:tr>
      <w:tr>
        <w:trPr>
          <w:trHeight w:val="145"/>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b w:val="1"/>
                <w:bCs w:val="1"/>
                <w:i w:val="1"/>
                <w:iCs w:val="1"/>
                <w:color w:val="FFFFFF"/>
                <w:w w:val="97"/>
              </w:rPr>
              <w:t>Current Members**:</w:t>
            </w:r>
          </w:p>
        </w:tc>
        <w:tc>
          <w:tcPr>
            <w:tcW w:w="6000" w:type="dxa"/>
            <w:vAlign w:val="bottom"/>
            <w:tcBorders>
              <w:right w:val="single" w:sz="8" w:color="auto"/>
            </w:tcBorders>
            <w:gridSpan w:val="2"/>
            <w:shd w:val="clear" w:color="auto" w:fill="EDF2F8"/>
          </w:tcPr>
          <w:p>
            <w:pPr>
              <w:ind w:left="80"/>
              <w:spacing w:after="0"/>
              <w:rPr>
                <w:sz w:val="20"/>
                <w:szCs w:val="20"/>
                <w:color w:val="auto"/>
              </w:rPr>
            </w:pPr>
            <w:r>
              <w:rPr>
                <w:rFonts w:ascii="Arial" w:cs="Arial" w:eastAsia="Arial" w:hAnsi="Arial"/>
                <w:sz w:val="11"/>
                <w:szCs w:val="11"/>
                <w:color w:val="auto"/>
              </w:rPr>
              <w:t>•  overseeing the determination of the independent auditor’s qualifications and independence</w:t>
            </w:r>
          </w:p>
        </w:tc>
        <w:tc>
          <w:tcPr>
            <w:tcW w:w="0" w:type="dxa"/>
            <w:vAlign w:val="bottom"/>
          </w:tcPr>
          <w:p>
            <w:pPr>
              <w:spacing w:after="0"/>
              <w:rPr>
                <w:sz w:val="1"/>
                <w:szCs w:val="1"/>
                <w:color w:val="auto"/>
              </w:rPr>
            </w:pPr>
          </w:p>
        </w:tc>
      </w:tr>
      <w:tr>
        <w:trPr>
          <w:trHeight w:val="133"/>
        </w:trPr>
        <w:tc>
          <w:tcPr>
            <w:tcW w:w="2700" w:type="dxa"/>
            <w:vAlign w:val="bottom"/>
            <w:tcBorders>
              <w:left w:val="single" w:sz="8" w:color="auto"/>
              <w:right w:val="single" w:sz="8" w:color="auto"/>
            </w:tcBorders>
            <w:vMerge w:val="continue"/>
            <w:shd w:val="clear" w:color="auto" w:fill="4F81BD"/>
          </w:tcPr>
          <w:p>
            <w:pPr>
              <w:spacing w:after="0"/>
              <w:rPr>
                <w:sz w:val="11"/>
                <w:szCs w:val="11"/>
                <w:color w:val="auto"/>
              </w:rPr>
            </w:pPr>
          </w:p>
        </w:tc>
        <w:tc>
          <w:tcPr>
            <w:tcW w:w="180" w:type="dxa"/>
            <w:vAlign w:val="bottom"/>
            <w:shd w:val="clear" w:color="auto" w:fill="EDF2F8"/>
          </w:tcPr>
          <w:p>
            <w:pPr>
              <w:ind w:left="80"/>
              <w:spacing w:after="0"/>
              <w:rPr>
                <w:sz w:val="20"/>
                <w:szCs w:val="20"/>
                <w:color w:val="auto"/>
              </w:rPr>
            </w:pPr>
            <w:r>
              <w:rPr>
                <w:rFonts w:ascii="Arial" w:cs="Arial" w:eastAsia="Arial" w:hAnsi="Arial"/>
                <w:sz w:val="11"/>
                <w:szCs w:val="11"/>
                <w:color w:val="auto"/>
              </w:rPr>
              <w:t>•</w:t>
            </w: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overseeing the performance of the Company’s Business Assurance function, including internal audit and of the</w:t>
            </w:r>
          </w:p>
        </w:tc>
        <w:tc>
          <w:tcPr>
            <w:tcW w:w="0" w:type="dxa"/>
            <w:vAlign w:val="bottom"/>
          </w:tcPr>
          <w:p>
            <w:pPr>
              <w:spacing w:after="0"/>
              <w:rPr>
                <w:sz w:val="1"/>
                <w:szCs w:val="1"/>
                <w:color w:val="auto"/>
              </w:rPr>
            </w:pPr>
          </w:p>
        </w:tc>
      </w:tr>
      <w:tr>
        <w:trPr>
          <w:trHeight w:val="123"/>
        </w:trPr>
        <w:tc>
          <w:tcPr>
            <w:tcW w:w="2700" w:type="dxa"/>
            <w:vAlign w:val="bottom"/>
            <w:tcBorders>
              <w:left w:val="single" w:sz="8" w:color="auto"/>
              <w:right w:val="single" w:sz="8" w:color="auto"/>
            </w:tcBorders>
            <w:shd w:val="clear" w:color="auto" w:fill="4F81BD"/>
          </w:tcPr>
          <w:p>
            <w:pPr>
              <w:spacing w:after="0"/>
              <w:rPr>
                <w:sz w:val="10"/>
                <w:szCs w:val="10"/>
                <w:color w:val="auto"/>
              </w:rPr>
            </w:pPr>
          </w:p>
        </w:tc>
        <w:tc>
          <w:tcPr>
            <w:tcW w:w="180" w:type="dxa"/>
            <w:vAlign w:val="bottom"/>
            <w:shd w:val="clear" w:color="auto" w:fill="EDF2F8"/>
          </w:tcPr>
          <w:p>
            <w:pPr>
              <w:spacing w:after="0"/>
              <w:rPr>
                <w:sz w:val="10"/>
                <w:szCs w:val="10"/>
                <w:color w:val="auto"/>
              </w:rPr>
            </w:pPr>
          </w:p>
        </w:tc>
        <w:tc>
          <w:tcPr>
            <w:tcW w:w="5820" w:type="dxa"/>
            <w:vAlign w:val="bottom"/>
            <w:tcBorders>
              <w:right w:val="single" w:sz="8" w:color="auto"/>
            </w:tcBorders>
            <w:shd w:val="clear" w:color="auto" w:fill="EDF2F8"/>
          </w:tcPr>
          <w:p>
            <w:pPr>
              <w:ind w:left="60"/>
              <w:spacing w:after="0" w:line="123" w:lineRule="exact"/>
              <w:rPr>
                <w:sz w:val="20"/>
                <w:szCs w:val="20"/>
                <w:color w:val="auto"/>
              </w:rPr>
            </w:pPr>
            <w:r>
              <w:rPr>
                <w:rFonts w:ascii="Arial" w:cs="Arial" w:eastAsia="Arial" w:hAnsi="Arial"/>
                <w:sz w:val="11"/>
                <w:szCs w:val="11"/>
                <w:color w:val="auto"/>
              </w:rPr>
              <w:t>independent auditors</w:t>
            </w:r>
          </w:p>
        </w:tc>
        <w:tc>
          <w:tcPr>
            <w:tcW w:w="0" w:type="dxa"/>
            <w:vAlign w:val="bottom"/>
          </w:tcPr>
          <w:p>
            <w:pPr>
              <w:spacing w:after="0"/>
              <w:rPr>
                <w:sz w:val="1"/>
                <w:szCs w:val="1"/>
                <w:color w:val="auto"/>
              </w:rPr>
            </w:pPr>
          </w:p>
        </w:tc>
      </w:tr>
      <w:tr>
        <w:trPr>
          <w:trHeight w:val="134"/>
        </w:trPr>
        <w:tc>
          <w:tcPr>
            <w:tcW w:w="2700" w:type="dxa"/>
            <w:vAlign w:val="bottom"/>
            <w:tcBorders>
              <w:left w:val="single" w:sz="8" w:color="auto"/>
              <w:right w:val="single" w:sz="8" w:color="auto"/>
            </w:tcBorders>
            <w:shd w:val="clear" w:color="auto" w:fill="4F81BD"/>
          </w:tcPr>
          <w:p>
            <w:pPr>
              <w:spacing w:after="0"/>
              <w:rPr>
                <w:sz w:val="11"/>
                <w:szCs w:val="11"/>
                <w:color w:val="auto"/>
              </w:rPr>
            </w:pPr>
          </w:p>
        </w:tc>
        <w:tc>
          <w:tcPr>
            <w:tcW w:w="6000" w:type="dxa"/>
            <w:vAlign w:val="bottom"/>
            <w:tcBorders>
              <w:right w:val="single" w:sz="8" w:color="auto"/>
            </w:tcBorders>
            <w:gridSpan w:val="2"/>
            <w:shd w:val="clear" w:color="auto" w:fill="EDF2F8"/>
          </w:tcPr>
          <w:p>
            <w:pPr>
              <w:ind w:left="80"/>
              <w:spacing w:after="0"/>
              <w:rPr>
                <w:sz w:val="20"/>
                <w:szCs w:val="20"/>
                <w:color w:val="auto"/>
              </w:rPr>
            </w:pPr>
            <w:r>
              <w:rPr>
                <w:rFonts w:ascii="Arial" w:cs="Arial" w:eastAsia="Arial" w:hAnsi="Arial"/>
                <w:sz w:val="11"/>
                <w:szCs w:val="11"/>
                <w:color w:val="auto"/>
              </w:rPr>
              <w:t>•  preparing an audit committee report as required by the SEC to be included in our annual proxy statement; and</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8"/>
              </w:rPr>
              <w:t>David F. Landless (Chair) Since:</w:t>
            </w:r>
          </w:p>
        </w:tc>
        <w:tc>
          <w:tcPr>
            <w:tcW w:w="6000" w:type="dxa"/>
            <w:vAlign w:val="bottom"/>
            <w:tcBorders>
              <w:right w:val="single" w:sz="8" w:color="auto"/>
            </w:tcBorders>
            <w:gridSpan w:val="2"/>
            <w:shd w:val="clear" w:color="auto" w:fill="EDF2F8"/>
          </w:tcPr>
          <w:p>
            <w:pPr>
              <w:ind w:left="80"/>
              <w:spacing w:after="0" w:line="123" w:lineRule="exact"/>
              <w:rPr>
                <w:sz w:val="20"/>
                <w:szCs w:val="20"/>
                <w:color w:val="auto"/>
              </w:rPr>
            </w:pPr>
            <w:r>
              <w:rPr>
                <w:rFonts w:ascii="Arial" w:cs="Arial" w:eastAsia="Arial" w:hAnsi="Arial"/>
                <w:sz w:val="11"/>
                <w:szCs w:val="11"/>
                <w:color w:val="auto"/>
              </w:rPr>
              <w:t>•  meeting with the CFO, the Head of Business Assurance and the independent registered public accounting firm at</w:t>
            </w:r>
          </w:p>
        </w:tc>
        <w:tc>
          <w:tcPr>
            <w:tcW w:w="0" w:type="dxa"/>
            <w:vAlign w:val="bottom"/>
          </w:tcPr>
          <w:p>
            <w:pPr>
              <w:spacing w:after="0"/>
              <w:rPr>
                <w:sz w:val="1"/>
                <w:szCs w:val="1"/>
                <w:color w:val="auto"/>
              </w:rPr>
            </w:pPr>
          </w:p>
        </w:tc>
      </w:tr>
      <w:tr>
        <w:trPr>
          <w:trHeight w:val="111"/>
        </w:trPr>
        <w:tc>
          <w:tcPr>
            <w:tcW w:w="2700" w:type="dxa"/>
            <w:vAlign w:val="bottom"/>
            <w:tcBorders>
              <w:left w:val="single" w:sz="8" w:color="auto"/>
              <w:right w:val="single" w:sz="8" w:color="auto"/>
            </w:tcBorders>
            <w:vMerge w:val="continue"/>
            <w:shd w:val="clear" w:color="auto" w:fill="4F81BD"/>
          </w:tcPr>
          <w:p>
            <w:pPr>
              <w:spacing w:after="0"/>
              <w:rPr>
                <w:sz w:val="9"/>
                <w:szCs w:val="9"/>
                <w:color w:val="auto"/>
              </w:rPr>
            </w:pPr>
          </w:p>
        </w:tc>
        <w:tc>
          <w:tcPr>
            <w:tcW w:w="180" w:type="dxa"/>
            <w:vAlign w:val="bottom"/>
            <w:shd w:val="clear" w:color="auto" w:fill="EDF2F8"/>
          </w:tcPr>
          <w:p>
            <w:pPr>
              <w:spacing w:after="0"/>
              <w:rPr>
                <w:sz w:val="9"/>
                <w:szCs w:val="9"/>
                <w:color w:val="auto"/>
              </w:rPr>
            </w:pPr>
          </w:p>
        </w:tc>
        <w:tc>
          <w:tcPr>
            <w:tcW w:w="5820" w:type="dxa"/>
            <w:vAlign w:val="bottom"/>
            <w:tcBorders>
              <w:right w:val="single" w:sz="8" w:color="auto"/>
            </w:tcBorders>
            <w:shd w:val="clear" w:color="auto" w:fill="EDF2F8"/>
          </w:tcPr>
          <w:p>
            <w:pPr>
              <w:ind w:left="60"/>
              <w:spacing w:after="0" w:line="111" w:lineRule="exact"/>
              <w:rPr>
                <w:sz w:val="20"/>
                <w:szCs w:val="20"/>
                <w:color w:val="auto"/>
              </w:rPr>
            </w:pPr>
            <w:r>
              <w:rPr>
                <w:rFonts w:ascii="Arial" w:cs="Arial" w:eastAsia="Arial" w:hAnsi="Arial"/>
                <w:sz w:val="11"/>
                <w:szCs w:val="11"/>
                <w:color w:val="auto"/>
              </w:rPr>
              <w:t>least twice annually.</w:t>
            </w:r>
          </w:p>
        </w:tc>
        <w:tc>
          <w:tcPr>
            <w:tcW w:w="0" w:type="dxa"/>
            <w:vAlign w:val="bottom"/>
          </w:tcPr>
          <w:p>
            <w:pPr>
              <w:spacing w:after="0"/>
              <w:rPr>
                <w:sz w:val="1"/>
                <w:szCs w:val="1"/>
                <w:color w:val="auto"/>
              </w:rPr>
            </w:pPr>
          </w:p>
        </w:tc>
      </w:tr>
      <w:tr>
        <w:trPr>
          <w:trHeight w:val="156"/>
        </w:trPr>
        <w:tc>
          <w:tcPr>
            <w:tcW w:w="2700" w:type="dxa"/>
            <w:vAlign w:val="bottom"/>
            <w:tcBorders>
              <w:left w:val="single" w:sz="8" w:color="auto"/>
              <w:right w:val="single" w:sz="8" w:color="auto"/>
            </w:tcBorders>
            <w:shd w:val="clear" w:color="auto" w:fill="4F81BD"/>
          </w:tcPr>
          <w:p>
            <w:pPr>
              <w:jc w:val="center"/>
              <w:spacing w:after="0" w:line="156" w:lineRule="exact"/>
              <w:rPr>
                <w:sz w:val="20"/>
                <w:szCs w:val="20"/>
                <w:color w:val="auto"/>
              </w:rPr>
            </w:pPr>
            <w:r>
              <w:rPr>
                <w:rFonts w:ascii="Arial" w:cs="Arial" w:eastAsia="Arial" w:hAnsi="Arial"/>
                <w:sz w:val="15"/>
                <w:szCs w:val="15"/>
                <w:color w:val="FFFFFF"/>
                <w:w w:val="98"/>
              </w:rPr>
              <w:t>Member since January 2016, Chair</w:t>
            </w:r>
          </w:p>
        </w:tc>
        <w:tc>
          <w:tcPr>
            <w:tcW w:w="180" w:type="dxa"/>
            <w:vAlign w:val="bottom"/>
            <w:shd w:val="clear" w:color="auto" w:fill="EDF2F8"/>
          </w:tcPr>
          <w:p>
            <w:pPr>
              <w:ind w:left="80"/>
              <w:spacing w:after="0"/>
              <w:rPr>
                <w:sz w:val="20"/>
                <w:szCs w:val="20"/>
                <w:color w:val="auto"/>
              </w:rPr>
            </w:pPr>
            <w:r>
              <w:rPr>
                <w:rFonts w:ascii="Arial" w:cs="Arial" w:eastAsia="Arial" w:hAnsi="Arial"/>
                <w:sz w:val="11"/>
                <w:szCs w:val="11"/>
                <w:color w:val="auto"/>
              </w:rPr>
              <w:t>•</w:t>
            </w: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Our independent registered public accounting firm reports directly to the Audit Committee, as does our Business</w:t>
            </w:r>
          </w:p>
        </w:tc>
        <w:tc>
          <w:tcPr>
            <w:tcW w:w="0" w:type="dxa"/>
            <w:vAlign w:val="bottom"/>
          </w:tcPr>
          <w:p>
            <w:pPr>
              <w:spacing w:after="0"/>
              <w:rPr>
                <w:sz w:val="1"/>
                <w:szCs w:val="1"/>
                <w:color w:val="auto"/>
              </w:rPr>
            </w:pPr>
          </w:p>
        </w:tc>
      </w:tr>
      <w:tr>
        <w:trPr>
          <w:trHeight w:val="203"/>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since May 2016</w:t>
            </w:r>
          </w:p>
        </w:tc>
        <w:tc>
          <w:tcPr>
            <w:tcW w:w="180" w:type="dxa"/>
            <w:vAlign w:val="bottom"/>
            <w:shd w:val="clear" w:color="auto" w:fill="EDF2F8"/>
          </w:tcPr>
          <w:p>
            <w:pPr>
              <w:spacing w:after="0"/>
              <w:rPr>
                <w:sz w:val="17"/>
                <w:szCs w:val="17"/>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Assurance group.</w:t>
            </w:r>
          </w:p>
        </w:tc>
        <w:tc>
          <w:tcPr>
            <w:tcW w:w="0" w:type="dxa"/>
            <w:vAlign w:val="bottom"/>
          </w:tcPr>
          <w:p>
            <w:pPr>
              <w:spacing w:after="0"/>
              <w:rPr>
                <w:sz w:val="1"/>
                <w:szCs w:val="1"/>
                <w:color w:val="auto"/>
              </w:rPr>
            </w:pPr>
          </w:p>
        </w:tc>
      </w:tr>
      <w:tr>
        <w:trPr>
          <w:trHeight w:val="153"/>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9"/>
              </w:rPr>
              <w:t>Milton C. Blackmore</w:t>
            </w:r>
          </w:p>
        </w:tc>
        <w:tc>
          <w:tcPr>
            <w:tcW w:w="6000" w:type="dxa"/>
            <w:vAlign w:val="bottom"/>
            <w:tcBorders>
              <w:right w:val="single" w:sz="8" w:color="auto"/>
            </w:tcBorders>
            <w:gridSpan w:val="2"/>
            <w:shd w:val="clear" w:color="auto" w:fill="EDF2F8"/>
          </w:tcPr>
          <w:p>
            <w:pPr>
              <w:ind w:left="80"/>
              <w:spacing w:after="0"/>
              <w:rPr>
                <w:sz w:val="20"/>
                <w:szCs w:val="20"/>
                <w:color w:val="auto"/>
              </w:rPr>
            </w:pPr>
            <w:r>
              <w:rPr>
                <w:rFonts w:ascii="Arial" w:cs="Arial" w:eastAsia="Arial" w:hAnsi="Arial"/>
                <w:sz w:val="11"/>
                <w:szCs w:val="11"/>
                <w:color w:val="auto"/>
              </w:rPr>
              <w:t>•  The Audit Committee meets with management and our independent registered public accounting firm prior to the</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vMerge w:val="continue"/>
            <w:shd w:val="clear" w:color="auto" w:fill="4F81BD"/>
          </w:tcPr>
          <w:p>
            <w:pPr>
              <w:spacing w:after="0"/>
              <w:rPr>
                <w:sz w:val="10"/>
                <w:szCs w:val="10"/>
                <w:color w:val="auto"/>
              </w:rPr>
            </w:pPr>
          </w:p>
        </w:tc>
        <w:tc>
          <w:tcPr>
            <w:tcW w:w="180" w:type="dxa"/>
            <w:vAlign w:val="bottom"/>
            <w:shd w:val="clear" w:color="auto" w:fill="EDF2F8"/>
          </w:tcPr>
          <w:p>
            <w:pPr>
              <w:spacing w:after="0"/>
              <w:rPr>
                <w:sz w:val="10"/>
                <w:szCs w:val="10"/>
                <w:color w:val="auto"/>
              </w:rPr>
            </w:pPr>
          </w:p>
        </w:tc>
        <w:tc>
          <w:tcPr>
            <w:tcW w:w="5820" w:type="dxa"/>
            <w:vAlign w:val="bottom"/>
            <w:tcBorders>
              <w:right w:val="single" w:sz="8" w:color="auto"/>
            </w:tcBorders>
            <w:shd w:val="clear" w:color="auto" w:fill="EDF2F8"/>
          </w:tcPr>
          <w:p>
            <w:pPr>
              <w:ind w:left="60"/>
              <w:spacing w:after="0" w:line="123" w:lineRule="exact"/>
              <w:rPr>
                <w:sz w:val="20"/>
                <w:szCs w:val="20"/>
                <w:color w:val="auto"/>
              </w:rPr>
            </w:pPr>
            <w:r>
              <w:rPr>
                <w:rFonts w:ascii="Arial" w:cs="Arial" w:eastAsia="Arial" w:hAnsi="Arial"/>
                <w:sz w:val="11"/>
                <w:szCs w:val="11"/>
                <w:color w:val="auto"/>
              </w:rPr>
              <w:t>filing of the certifications of the CEO and CFO with the SEC to receive information concerning, among other</w:t>
            </w:r>
          </w:p>
        </w:tc>
        <w:tc>
          <w:tcPr>
            <w:tcW w:w="0" w:type="dxa"/>
            <w:vAlign w:val="bottom"/>
          </w:tcPr>
          <w:p>
            <w:pPr>
              <w:spacing w:after="0"/>
              <w:rPr>
                <w:sz w:val="1"/>
                <w:szCs w:val="1"/>
                <w:color w:val="auto"/>
              </w:rPr>
            </w:pPr>
          </w:p>
        </w:tc>
      </w:tr>
      <w:tr>
        <w:trPr>
          <w:trHeight w:val="203"/>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Since: May 2020</w:t>
            </w:r>
          </w:p>
        </w:tc>
        <w:tc>
          <w:tcPr>
            <w:tcW w:w="180" w:type="dxa"/>
            <w:vAlign w:val="bottom"/>
            <w:shd w:val="clear" w:color="auto" w:fill="EDF2F8"/>
          </w:tcPr>
          <w:p>
            <w:pPr>
              <w:spacing w:after="0"/>
              <w:rPr>
                <w:sz w:val="17"/>
                <w:szCs w:val="17"/>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things, significant deficiencies or material weaknesses in the design or operation of internal controls.</w:t>
            </w:r>
          </w:p>
        </w:tc>
        <w:tc>
          <w:tcPr>
            <w:tcW w:w="0" w:type="dxa"/>
            <w:vAlign w:val="bottom"/>
          </w:tcPr>
          <w:p>
            <w:pPr>
              <w:spacing w:after="0"/>
              <w:rPr>
                <w:sz w:val="1"/>
                <w:szCs w:val="1"/>
                <w:color w:val="auto"/>
              </w:rPr>
            </w:pPr>
          </w:p>
        </w:tc>
      </w:tr>
      <w:tr>
        <w:trPr>
          <w:trHeight w:val="164"/>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8"/>
              </w:rPr>
              <w:t>Elizabeth K. Arnold</w:t>
            </w:r>
          </w:p>
        </w:tc>
        <w:tc>
          <w:tcPr>
            <w:tcW w:w="6000" w:type="dxa"/>
            <w:vAlign w:val="bottom"/>
            <w:tcBorders>
              <w:right w:val="single" w:sz="8" w:color="auto"/>
            </w:tcBorders>
            <w:gridSpan w:val="2"/>
            <w:shd w:val="clear" w:color="auto" w:fill="EDF2F8"/>
          </w:tcPr>
          <w:p>
            <w:pPr>
              <w:ind w:left="80"/>
              <w:spacing w:after="0"/>
              <w:rPr>
                <w:sz w:val="20"/>
                <w:szCs w:val="20"/>
                <w:color w:val="auto"/>
              </w:rPr>
            </w:pPr>
            <w:r>
              <w:rPr>
                <w:rFonts w:ascii="Arial" w:cs="Arial" w:eastAsia="Arial" w:hAnsi="Arial"/>
                <w:sz w:val="11"/>
                <w:szCs w:val="11"/>
                <w:color w:val="auto"/>
              </w:rPr>
              <w:t>•  Audit Committee Financial Experts. Our Board has determined that each of Mr. Landless and Ms. Arnold qualify as</w:t>
            </w:r>
          </w:p>
        </w:tc>
        <w:tc>
          <w:tcPr>
            <w:tcW w:w="0" w:type="dxa"/>
            <w:vAlign w:val="bottom"/>
          </w:tcPr>
          <w:p>
            <w:pPr>
              <w:spacing w:after="0"/>
              <w:rPr>
                <w:sz w:val="1"/>
                <w:szCs w:val="1"/>
                <w:color w:val="auto"/>
              </w:rPr>
            </w:pPr>
          </w:p>
        </w:tc>
      </w:tr>
      <w:tr>
        <w:trPr>
          <w:trHeight w:val="111"/>
        </w:trPr>
        <w:tc>
          <w:tcPr>
            <w:tcW w:w="2700" w:type="dxa"/>
            <w:vAlign w:val="bottom"/>
            <w:tcBorders>
              <w:left w:val="single" w:sz="8" w:color="auto"/>
              <w:right w:val="single" w:sz="8" w:color="auto"/>
            </w:tcBorders>
            <w:vMerge w:val="continue"/>
            <w:shd w:val="clear" w:color="auto" w:fill="4F81BD"/>
          </w:tcPr>
          <w:p>
            <w:pPr>
              <w:spacing w:after="0"/>
              <w:rPr>
                <w:sz w:val="9"/>
                <w:szCs w:val="9"/>
                <w:color w:val="auto"/>
              </w:rPr>
            </w:pPr>
          </w:p>
        </w:tc>
        <w:tc>
          <w:tcPr>
            <w:tcW w:w="180" w:type="dxa"/>
            <w:vAlign w:val="bottom"/>
            <w:shd w:val="clear" w:color="auto" w:fill="EDF2F8"/>
          </w:tcPr>
          <w:p>
            <w:pPr>
              <w:spacing w:after="0"/>
              <w:rPr>
                <w:sz w:val="9"/>
                <w:szCs w:val="9"/>
                <w:color w:val="auto"/>
              </w:rPr>
            </w:pPr>
          </w:p>
        </w:tc>
        <w:tc>
          <w:tcPr>
            <w:tcW w:w="5820" w:type="dxa"/>
            <w:vAlign w:val="bottom"/>
            <w:tcBorders>
              <w:right w:val="single" w:sz="8" w:color="auto"/>
            </w:tcBorders>
            <w:shd w:val="clear" w:color="auto" w:fill="EDF2F8"/>
          </w:tcPr>
          <w:p>
            <w:pPr>
              <w:ind w:left="60"/>
              <w:spacing w:after="0" w:line="111" w:lineRule="exact"/>
              <w:rPr>
                <w:sz w:val="20"/>
                <w:szCs w:val="20"/>
                <w:color w:val="auto"/>
              </w:rPr>
            </w:pPr>
            <w:r>
              <w:rPr>
                <w:rFonts w:ascii="Arial" w:cs="Arial" w:eastAsia="Arial" w:hAnsi="Arial"/>
                <w:sz w:val="11"/>
                <w:szCs w:val="11"/>
                <w:color w:val="auto"/>
              </w:rPr>
              <w:t>an “Audit Committee Financial Expert”* as such term is defined in SEC rules, and meet the standard for financial</w:t>
            </w:r>
          </w:p>
        </w:tc>
        <w:tc>
          <w:tcPr>
            <w:tcW w:w="0" w:type="dxa"/>
            <w:vAlign w:val="bottom"/>
          </w:tcPr>
          <w:p>
            <w:pPr>
              <w:spacing w:after="0"/>
              <w:rPr>
                <w:sz w:val="1"/>
                <w:szCs w:val="1"/>
                <w:color w:val="auto"/>
              </w:rPr>
            </w:pPr>
          </w:p>
        </w:tc>
      </w:tr>
      <w:tr>
        <w:trPr>
          <w:trHeight w:val="145"/>
        </w:trPr>
        <w:tc>
          <w:tcPr>
            <w:tcW w:w="2700" w:type="dxa"/>
            <w:vAlign w:val="bottom"/>
            <w:tcBorders>
              <w:left w:val="single" w:sz="8" w:color="auto"/>
              <w:right w:val="single" w:sz="8" w:color="auto"/>
            </w:tcBorders>
            <w:shd w:val="clear" w:color="auto" w:fill="4F81BD"/>
          </w:tcPr>
          <w:p>
            <w:pPr>
              <w:jc w:val="center"/>
              <w:spacing w:after="0" w:line="145" w:lineRule="exact"/>
              <w:rPr>
                <w:sz w:val="20"/>
                <w:szCs w:val="20"/>
                <w:color w:val="auto"/>
              </w:rPr>
            </w:pPr>
            <w:r>
              <w:rPr>
                <w:rFonts w:ascii="Arial" w:cs="Arial" w:eastAsia="Arial" w:hAnsi="Arial"/>
                <w:sz w:val="15"/>
                <w:szCs w:val="15"/>
                <w:color w:val="FFFFFF"/>
                <w:w w:val="98"/>
              </w:rPr>
              <w:t>Since: November 2020</w:t>
            </w:r>
          </w:p>
        </w:tc>
        <w:tc>
          <w:tcPr>
            <w:tcW w:w="180" w:type="dxa"/>
            <w:vAlign w:val="bottom"/>
            <w:shd w:val="clear" w:color="auto" w:fill="EDF2F8"/>
          </w:tcPr>
          <w:p>
            <w:pPr>
              <w:spacing w:after="0"/>
              <w:rPr>
                <w:sz w:val="12"/>
                <w:szCs w:val="12"/>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knowledge and sophistication required by Nasdaq and that other members of the Audit Committee also possess</w:t>
            </w:r>
          </w:p>
        </w:tc>
        <w:tc>
          <w:tcPr>
            <w:tcW w:w="0" w:type="dxa"/>
            <w:vAlign w:val="bottom"/>
          </w:tcPr>
          <w:p>
            <w:pPr>
              <w:spacing w:after="0"/>
              <w:rPr>
                <w:sz w:val="1"/>
                <w:szCs w:val="1"/>
                <w:color w:val="auto"/>
              </w:rPr>
            </w:pPr>
          </w:p>
        </w:tc>
      </w:tr>
      <w:tr>
        <w:trPr>
          <w:trHeight w:val="112"/>
        </w:trPr>
        <w:tc>
          <w:tcPr>
            <w:tcW w:w="2700" w:type="dxa"/>
            <w:vAlign w:val="bottom"/>
            <w:tcBorders>
              <w:left w:val="single" w:sz="8" w:color="auto"/>
              <w:right w:val="single" w:sz="8" w:color="auto"/>
            </w:tcBorders>
            <w:shd w:val="clear" w:color="auto" w:fill="4F81BD"/>
          </w:tcPr>
          <w:p>
            <w:pPr>
              <w:spacing w:after="0"/>
              <w:rPr>
                <w:sz w:val="9"/>
                <w:szCs w:val="9"/>
                <w:color w:val="auto"/>
              </w:rPr>
            </w:pPr>
          </w:p>
        </w:tc>
        <w:tc>
          <w:tcPr>
            <w:tcW w:w="180" w:type="dxa"/>
            <w:vAlign w:val="bottom"/>
            <w:shd w:val="clear" w:color="auto" w:fill="EDF2F8"/>
          </w:tcPr>
          <w:p>
            <w:pPr>
              <w:spacing w:after="0"/>
              <w:rPr>
                <w:sz w:val="9"/>
                <w:szCs w:val="9"/>
                <w:color w:val="auto"/>
              </w:rPr>
            </w:pPr>
          </w:p>
        </w:tc>
        <w:tc>
          <w:tcPr>
            <w:tcW w:w="5820" w:type="dxa"/>
            <w:vAlign w:val="bottom"/>
            <w:tcBorders>
              <w:right w:val="single" w:sz="8" w:color="auto"/>
            </w:tcBorders>
            <w:shd w:val="clear" w:color="auto" w:fill="EDF2F8"/>
          </w:tcPr>
          <w:p>
            <w:pPr>
              <w:ind w:left="60"/>
              <w:spacing w:after="0" w:line="112" w:lineRule="exact"/>
              <w:rPr>
                <w:sz w:val="20"/>
                <w:szCs w:val="20"/>
                <w:color w:val="auto"/>
              </w:rPr>
            </w:pPr>
            <w:r>
              <w:rPr>
                <w:rFonts w:ascii="Arial" w:cs="Arial" w:eastAsia="Arial" w:hAnsi="Arial"/>
                <w:sz w:val="11"/>
                <w:szCs w:val="11"/>
                <w:color w:val="auto"/>
              </w:rPr>
              <w:t>the required level of financial literacy and are independent for the purposes of the Securities Exchange Act of</w:t>
            </w:r>
          </w:p>
        </w:tc>
        <w:tc>
          <w:tcPr>
            <w:tcW w:w="0" w:type="dxa"/>
            <w:vAlign w:val="bottom"/>
          </w:tcPr>
          <w:p>
            <w:pPr>
              <w:spacing w:after="0"/>
              <w:rPr>
                <w:sz w:val="1"/>
                <w:szCs w:val="1"/>
                <w:color w:val="auto"/>
              </w:rPr>
            </w:pPr>
          </w:p>
        </w:tc>
      </w:tr>
      <w:tr>
        <w:trPr>
          <w:trHeight w:val="147"/>
        </w:trPr>
        <w:tc>
          <w:tcPr>
            <w:tcW w:w="2700" w:type="dxa"/>
            <w:vAlign w:val="bottom"/>
            <w:tcBorders>
              <w:left w:val="single" w:sz="8" w:color="auto"/>
              <w:right w:val="single" w:sz="8" w:color="auto"/>
            </w:tcBorders>
            <w:shd w:val="clear" w:color="auto" w:fill="4F81BD"/>
          </w:tcPr>
          <w:p>
            <w:pPr>
              <w:spacing w:after="0"/>
              <w:rPr>
                <w:sz w:val="12"/>
                <w:szCs w:val="12"/>
                <w:color w:val="auto"/>
              </w:rPr>
            </w:pPr>
          </w:p>
        </w:tc>
        <w:tc>
          <w:tcPr>
            <w:tcW w:w="180" w:type="dxa"/>
            <w:vAlign w:val="bottom"/>
            <w:shd w:val="clear" w:color="auto" w:fill="EDF2F8"/>
          </w:tcPr>
          <w:p>
            <w:pPr>
              <w:spacing w:after="0"/>
              <w:rPr>
                <w:sz w:val="12"/>
                <w:szCs w:val="12"/>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1934, as amended (the “Exchange Act”) and Nasdaq rules.</w:t>
            </w:r>
          </w:p>
        </w:tc>
        <w:tc>
          <w:tcPr>
            <w:tcW w:w="0" w:type="dxa"/>
            <w:vAlign w:val="bottom"/>
          </w:tcPr>
          <w:p>
            <w:pPr>
              <w:spacing w:after="0"/>
              <w:rPr>
                <w:sz w:val="1"/>
                <w:szCs w:val="1"/>
                <w:color w:val="auto"/>
              </w:rPr>
            </w:pPr>
          </w:p>
        </w:tc>
      </w:tr>
      <w:tr>
        <w:trPr>
          <w:trHeight w:val="217"/>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i w:val="1"/>
                <w:iCs w:val="1"/>
                <w:color w:val="FFFFFF"/>
              </w:rPr>
              <w:t>Independence:</w:t>
            </w:r>
          </w:p>
        </w:tc>
        <w:tc>
          <w:tcPr>
            <w:tcW w:w="180" w:type="dxa"/>
            <w:vAlign w:val="bottom"/>
            <w:shd w:val="clear" w:color="auto" w:fill="EDF2F8"/>
          </w:tcPr>
          <w:p>
            <w:pPr>
              <w:ind w:left="80"/>
              <w:spacing w:after="0"/>
              <w:rPr>
                <w:sz w:val="20"/>
                <w:szCs w:val="20"/>
                <w:color w:val="auto"/>
              </w:rPr>
            </w:pPr>
            <w:r>
              <w:rPr>
                <w:rFonts w:ascii="Arial" w:cs="Arial" w:eastAsia="Arial" w:hAnsi="Arial"/>
                <w:sz w:val="11"/>
                <w:szCs w:val="11"/>
                <w:color w:val="auto"/>
              </w:rPr>
              <w:t>•</w:t>
            </w: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We limit the number of Audit Committees of publicly traded companies on which our Audit Committee members</w:t>
            </w:r>
          </w:p>
        </w:tc>
        <w:tc>
          <w:tcPr>
            <w:tcW w:w="0" w:type="dxa"/>
            <w:vAlign w:val="bottom"/>
          </w:tcPr>
          <w:p>
            <w:pPr>
              <w:spacing w:after="0"/>
              <w:rPr>
                <w:sz w:val="1"/>
                <w:szCs w:val="1"/>
                <w:color w:val="auto"/>
              </w:rPr>
            </w:pPr>
          </w:p>
        </w:tc>
      </w:tr>
      <w:tr>
        <w:trPr>
          <w:trHeight w:val="178"/>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All current members of the Audit</w:t>
            </w:r>
          </w:p>
        </w:tc>
        <w:tc>
          <w:tcPr>
            <w:tcW w:w="180" w:type="dxa"/>
            <w:vAlign w:val="bottom"/>
            <w:shd w:val="clear" w:color="auto" w:fill="EDF2F8"/>
          </w:tcPr>
          <w:p>
            <w:pPr>
              <w:spacing w:after="0"/>
              <w:rPr>
                <w:sz w:val="15"/>
                <w:szCs w:val="15"/>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may serve to three or less, including the Company.</w:t>
            </w:r>
          </w:p>
        </w:tc>
        <w:tc>
          <w:tcPr>
            <w:tcW w:w="0" w:type="dxa"/>
            <w:vAlign w:val="bottom"/>
          </w:tcPr>
          <w:p>
            <w:pPr>
              <w:spacing w:after="0"/>
              <w:rPr>
                <w:sz w:val="1"/>
                <w:szCs w:val="1"/>
                <w:color w:val="auto"/>
              </w:rPr>
            </w:pPr>
          </w:p>
        </w:tc>
      </w:tr>
      <w:tr>
        <w:trPr>
          <w:trHeight w:val="207"/>
        </w:trPr>
        <w:tc>
          <w:tcPr>
            <w:tcW w:w="2700" w:type="dxa"/>
            <w:vAlign w:val="bottom"/>
            <w:tcBorders>
              <w:left w:val="single" w:sz="8" w:color="auto"/>
              <w:right w:val="single" w:sz="8" w:color="auto"/>
            </w:tcBorders>
            <w:shd w:val="clear" w:color="auto" w:fill="4F81BD"/>
          </w:tcPr>
          <w:p>
            <w:pPr>
              <w:ind w:left="400"/>
              <w:spacing w:after="0"/>
              <w:rPr>
                <w:sz w:val="20"/>
                <w:szCs w:val="20"/>
                <w:color w:val="auto"/>
              </w:rPr>
            </w:pPr>
            <w:r>
              <w:rPr>
                <w:rFonts w:ascii="Arial" w:cs="Arial" w:eastAsia="Arial" w:hAnsi="Arial"/>
                <w:sz w:val="15"/>
                <w:szCs w:val="15"/>
                <w:color w:val="FFFFFF"/>
              </w:rPr>
              <w:t>Committee are independent.</w:t>
            </w:r>
          </w:p>
        </w:tc>
        <w:tc>
          <w:tcPr>
            <w:tcW w:w="180" w:type="dxa"/>
            <w:vAlign w:val="bottom"/>
            <w:shd w:val="clear" w:color="auto" w:fill="EDF2F8"/>
          </w:tcPr>
          <w:p>
            <w:pPr>
              <w:ind w:left="80"/>
              <w:spacing w:after="0"/>
              <w:rPr>
                <w:sz w:val="20"/>
                <w:szCs w:val="20"/>
                <w:color w:val="auto"/>
              </w:rPr>
            </w:pPr>
            <w:r>
              <w:rPr>
                <w:rFonts w:ascii="Arial" w:cs="Arial" w:eastAsia="Arial" w:hAnsi="Arial"/>
                <w:sz w:val="11"/>
                <w:szCs w:val="11"/>
                <w:color w:val="auto"/>
              </w:rPr>
              <w:t>•</w:t>
            </w: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The Audit Committee Report appears later in this Proxy Statement.</w:t>
            </w:r>
          </w:p>
        </w:tc>
        <w:tc>
          <w:tcPr>
            <w:tcW w:w="0" w:type="dxa"/>
            <w:vAlign w:val="bottom"/>
          </w:tcPr>
          <w:p>
            <w:pPr>
              <w:spacing w:after="0"/>
              <w:rPr>
                <w:sz w:val="1"/>
                <w:szCs w:val="1"/>
                <w:color w:val="auto"/>
              </w:rPr>
            </w:pPr>
          </w:p>
        </w:tc>
      </w:tr>
      <w:tr>
        <w:trPr>
          <w:trHeight w:val="221"/>
        </w:trPr>
        <w:tc>
          <w:tcPr>
            <w:tcW w:w="2700" w:type="dxa"/>
            <w:vAlign w:val="bottom"/>
            <w:tcBorders>
              <w:left w:val="single" w:sz="8" w:color="auto"/>
              <w:right w:val="single" w:sz="8" w:color="auto"/>
            </w:tcBorders>
            <w:shd w:val="clear" w:color="auto" w:fill="4F81BD"/>
          </w:tcPr>
          <w:p>
            <w:pPr>
              <w:spacing w:after="0"/>
              <w:rPr>
                <w:sz w:val="19"/>
                <w:szCs w:val="19"/>
                <w:color w:val="auto"/>
              </w:rPr>
            </w:pPr>
          </w:p>
        </w:tc>
        <w:tc>
          <w:tcPr>
            <w:tcW w:w="6000" w:type="dxa"/>
            <w:vAlign w:val="bottom"/>
            <w:tcBorders>
              <w:right w:val="single" w:sz="8" w:color="auto"/>
            </w:tcBorders>
            <w:gridSpan w:val="2"/>
            <w:shd w:val="clear" w:color="auto" w:fill="EDF2F8"/>
          </w:tcPr>
          <w:p>
            <w:pPr>
              <w:ind w:left="80"/>
              <w:spacing w:after="0"/>
              <w:rPr>
                <w:sz w:val="20"/>
                <w:szCs w:val="20"/>
                <w:color w:val="auto"/>
              </w:rPr>
            </w:pPr>
            <w:r>
              <w:rPr>
                <w:rFonts w:ascii="Arial" w:cs="Arial" w:eastAsia="Arial" w:hAnsi="Arial"/>
                <w:sz w:val="11"/>
                <w:szCs w:val="11"/>
                <w:b w:val="1"/>
                <w:bCs w:val="1"/>
                <w:i w:val="1"/>
                <w:iCs w:val="1"/>
                <w:color w:val="auto"/>
              </w:rPr>
              <w:t>•  The Audit Committee operates pursuant to a written Audit Committee Charter which sets out its main</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shd w:val="clear" w:color="auto" w:fill="4F81BD"/>
          </w:tcPr>
          <w:p>
            <w:pPr>
              <w:spacing w:after="0"/>
              <w:rPr>
                <w:sz w:val="10"/>
                <w:szCs w:val="10"/>
                <w:color w:val="auto"/>
              </w:rPr>
            </w:pPr>
          </w:p>
        </w:tc>
        <w:tc>
          <w:tcPr>
            <w:tcW w:w="180" w:type="dxa"/>
            <w:vAlign w:val="bottom"/>
            <w:shd w:val="clear" w:color="auto" w:fill="EDF2F8"/>
          </w:tcPr>
          <w:p>
            <w:pPr>
              <w:spacing w:after="0"/>
              <w:rPr>
                <w:sz w:val="10"/>
                <w:szCs w:val="10"/>
                <w:color w:val="auto"/>
              </w:rPr>
            </w:pPr>
          </w:p>
        </w:tc>
        <w:tc>
          <w:tcPr>
            <w:tcW w:w="5820" w:type="dxa"/>
            <w:vAlign w:val="bottom"/>
            <w:tcBorders>
              <w:right w:val="single" w:sz="8" w:color="auto"/>
            </w:tcBorders>
            <w:shd w:val="clear" w:color="auto" w:fill="EDF2F8"/>
          </w:tcPr>
          <w:p>
            <w:pPr>
              <w:ind w:left="60"/>
              <w:spacing w:after="0" w:line="123" w:lineRule="exact"/>
              <w:rPr>
                <w:sz w:val="20"/>
                <w:szCs w:val="20"/>
                <w:color w:val="auto"/>
              </w:rPr>
            </w:pPr>
            <w:r>
              <w:rPr>
                <w:rFonts w:ascii="Arial" w:cs="Arial" w:eastAsia="Arial" w:hAnsi="Arial"/>
                <w:sz w:val="11"/>
                <w:szCs w:val="11"/>
                <w:b w:val="1"/>
                <w:bCs w:val="1"/>
                <w:i w:val="1"/>
                <w:iCs w:val="1"/>
                <w:color w:val="auto"/>
              </w:rPr>
              <w:t>obligations. A current copy of the Audit Committee Charter is available on our website under “Corporate</w:t>
            </w:r>
          </w:p>
        </w:tc>
        <w:tc>
          <w:tcPr>
            <w:tcW w:w="0" w:type="dxa"/>
            <w:vAlign w:val="bottom"/>
          </w:tcPr>
          <w:p>
            <w:pPr>
              <w:spacing w:after="0"/>
              <w:rPr>
                <w:sz w:val="1"/>
                <w:szCs w:val="1"/>
                <w:color w:val="auto"/>
              </w:rPr>
            </w:pPr>
          </w:p>
        </w:tc>
      </w:tr>
      <w:tr>
        <w:trPr>
          <w:trHeight w:val="151"/>
        </w:trPr>
        <w:tc>
          <w:tcPr>
            <w:tcW w:w="2700" w:type="dxa"/>
            <w:vAlign w:val="bottom"/>
            <w:tcBorders>
              <w:left w:val="single" w:sz="8" w:color="auto"/>
              <w:right w:val="single" w:sz="8" w:color="auto"/>
            </w:tcBorders>
            <w:shd w:val="clear" w:color="auto" w:fill="4F81BD"/>
          </w:tcPr>
          <w:p>
            <w:pPr>
              <w:spacing w:after="0"/>
              <w:rPr>
                <w:sz w:val="13"/>
                <w:szCs w:val="13"/>
                <w:color w:val="auto"/>
              </w:rPr>
            </w:pPr>
          </w:p>
        </w:tc>
        <w:tc>
          <w:tcPr>
            <w:tcW w:w="180" w:type="dxa"/>
            <w:vAlign w:val="bottom"/>
            <w:shd w:val="clear" w:color="auto" w:fill="EDF2F8"/>
          </w:tcPr>
          <w:p>
            <w:pPr>
              <w:spacing w:after="0"/>
              <w:rPr>
                <w:sz w:val="13"/>
                <w:szCs w:val="13"/>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b w:val="1"/>
                <w:bCs w:val="1"/>
                <w:i w:val="1"/>
                <w:iCs w:val="1"/>
                <w:color w:val="auto"/>
              </w:rPr>
              <w:t xml:space="preserve">Governance” at: </w:t>
            </w:r>
            <w:r>
              <w:rPr>
                <w:rFonts w:ascii="Arial" w:cs="Arial" w:eastAsia="Arial" w:hAnsi="Arial"/>
                <w:sz w:val="11"/>
                <w:szCs w:val="11"/>
                <w:b w:val="1"/>
                <w:bCs w:val="1"/>
                <w:i w:val="1"/>
                <w:iCs w:val="1"/>
                <w:color w:val="4F81BD"/>
              </w:rPr>
              <w:t>www.innospec.com/about-us/corporate-governance</w:t>
            </w:r>
            <w:r>
              <w:rPr>
                <w:rFonts w:ascii="Arial" w:cs="Arial" w:eastAsia="Arial" w:hAnsi="Arial"/>
                <w:sz w:val="11"/>
                <w:szCs w:val="11"/>
                <w:b w:val="1"/>
                <w:bCs w:val="1"/>
                <w:i w:val="1"/>
                <w:iCs w:val="1"/>
                <w:color w:val="auto"/>
              </w:rPr>
              <w:t>.</w:t>
            </w:r>
          </w:p>
        </w:tc>
        <w:tc>
          <w:tcPr>
            <w:tcW w:w="0" w:type="dxa"/>
            <w:vAlign w:val="bottom"/>
          </w:tcPr>
          <w:p>
            <w:pPr>
              <w:spacing w:after="0"/>
              <w:rPr>
                <w:sz w:val="1"/>
                <w:szCs w:val="1"/>
                <w:color w:val="auto"/>
              </w:rPr>
            </w:pPr>
          </w:p>
        </w:tc>
      </w:tr>
      <w:tr>
        <w:trPr>
          <w:trHeight w:val="71"/>
        </w:trPr>
        <w:tc>
          <w:tcPr>
            <w:tcW w:w="2700" w:type="dxa"/>
            <w:vAlign w:val="bottom"/>
            <w:tcBorders>
              <w:left w:val="single" w:sz="8" w:color="auto"/>
              <w:bottom w:val="single" w:sz="8" w:color="auto"/>
              <w:right w:val="single" w:sz="8" w:color="auto"/>
            </w:tcBorders>
            <w:shd w:val="clear" w:color="auto" w:fill="4F81BD"/>
          </w:tcPr>
          <w:p>
            <w:pPr>
              <w:spacing w:after="0"/>
              <w:rPr>
                <w:sz w:val="6"/>
                <w:szCs w:val="6"/>
                <w:color w:val="auto"/>
              </w:rPr>
            </w:pPr>
          </w:p>
        </w:tc>
        <w:tc>
          <w:tcPr>
            <w:tcW w:w="180" w:type="dxa"/>
            <w:vAlign w:val="bottom"/>
            <w:tcBorders>
              <w:bottom w:val="single" w:sz="8" w:color="auto"/>
            </w:tcBorders>
            <w:shd w:val="clear" w:color="auto" w:fill="EDF2F8"/>
          </w:tcPr>
          <w:p>
            <w:pPr>
              <w:spacing w:after="0"/>
              <w:rPr>
                <w:sz w:val="6"/>
                <w:szCs w:val="6"/>
                <w:color w:val="auto"/>
              </w:rPr>
            </w:pPr>
          </w:p>
        </w:tc>
        <w:tc>
          <w:tcPr>
            <w:tcW w:w="5820" w:type="dxa"/>
            <w:vAlign w:val="bottom"/>
            <w:tcBorders>
              <w:bottom w:val="single" w:sz="8" w:color="auto"/>
              <w:right w:val="single" w:sz="8" w:color="auto"/>
            </w:tcBorders>
            <w:shd w:val="clear" w:color="auto" w:fill="EDF2F8"/>
          </w:tcPr>
          <w:p>
            <w:pPr>
              <w:spacing w:after="0"/>
              <w:rPr>
                <w:sz w:val="6"/>
                <w:szCs w:val="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540" w:right="139" w:hanging="335"/>
        <w:spacing w:after="0" w:line="325" w:lineRule="auto"/>
        <w:tabs>
          <w:tab w:leader="none" w:pos="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 the case of Mr. Landless, the Board made this determination based on Mr. Landless’s qualification as a chartered management accountant and his previous experience as Group Finance Director of Bodycote plc. and before that, Finance Director of Courtaulds Coatings (Holdings) Limited. He also had direct experience as Chair and member of the Audit Committee of Luxfer Holdings plc. as well as Audit Committee Chair of Renold plc.</w:t>
      </w:r>
    </w:p>
    <w:p>
      <w:pPr>
        <w:spacing w:after="0" w:line="29" w:lineRule="exact"/>
        <w:rPr>
          <w:rFonts w:ascii="Arial" w:cs="Arial" w:eastAsia="Arial" w:hAnsi="Arial"/>
          <w:sz w:val="12"/>
          <w:szCs w:val="12"/>
          <w:color w:val="auto"/>
        </w:rPr>
      </w:pPr>
    </w:p>
    <w:p>
      <w:pPr>
        <w:jc w:val="both"/>
        <w:ind w:left="540" w:right="139"/>
        <w:spacing w:after="0" w:line="325" w:lineRule="auto"/>
        <w:rPr>
          <w:rFonts w:ascii="Arial" w:cs="Arial" w:eastAsia="Arial" w:hAnsi="Arial"/>
          <w:sz w:val="12"/>
          <w:szCs w:val="12"/>
          <w:color w:val="auto"/>
        </w:rPr>
      </w:pPr>
      <w:r>
        <w:rPr>
          <w:rFonts w:ascii="Arial" w:cs="Arial" w:eastAsia="Arial" w:hAnsi="Arial"/>
          <w:sz w:val="12"/>
          <w:szCs w:val="12"/>
          <w:color w:val="auto"/>
        </w:rPr>
        <w:t>In the case of Ms. Arnold, the Board made this determination based on Ms. Arnold’s qualifications and previous experience as Chief Financial Officer of Houghton International, Chief Financial Officer of Physiotherapy Associates and Chief Financial Officer of Tyco Flow Control and before that Chief Financial Officer of GE Silicones General Electric. Ms. Arnold also has experience as Audit Committee Chair at FreightCar America Inc.</w:t>
      </w:r>
    </w:p>
    <w:p>
      <w:pPr>
        <w:spacing w:after="0" w:line="41" w:lineRule="exact"/>
        <w:rPr>
          <w:sz w:val="20"/>
          <w:szCs w:val="20"/>
          <w:color w:val="auto"/>
        </w:rPr>
      </w:pPr>
    </w:p>
    <w:p>
      <w:pPr>
        <w:ind w:left="540" w:hanging="335"/>
        <w:spacing w:after="0"/>
        <w:tabs>
          <w:tab w:leader="none" w:pos="5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Audit Committee comprised at least three members at all times during 2025, as required by our Audit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3593465</wp:posOffset>
            </wp:positionV>
            <wp:extent cx="297180" cy="290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4" w:name="page25"/>
    <w:bookmarkEnd w:id="24"/>
    <w:p>
      <w:pPr>
        <w:spacing w:after="0" w:line="94" w:lineRule="exact"/>
        <w:rPr>
          <w:sz w:val="20"/>
          <w:szCs w:val="20"/>
          <w:color w:val="auto"/>
        </w:rPr>
      </w:pPr>
    </w:p>
    <w:tbl>
      <w:tblPr>
        <w:tblLayout w:type="fixed"/>
        <w:tblInd w:w="210" w:type="dxa"/>
        <w:tblCellMar>
          <w:top w:w="0" w:type="dxa"/>
          <w:left w:w="0" w:type="dxa"/>
          <w:bottom w:w="0" w:type="dxa"/>
          <w:right w:w="0" w:type="dxa"/>
        </w:tblCellMar>
      </w:tblPr>
      <w:tr>
        <w:trPr>
          <w:trHeight w:val="309"/>
        </w:trPr>
        <w:tc>
          <w:tcPr>
            <w:tcW w:w="2700" w:type="dxa"/>
            <w:vAlign w:val="bottom"/>
            <w:tcBorders>
              <w:top w:val="single" w:sz="8" w:color="auto"/>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30"/>
                <w:szCs w:val="30"/>
                <w:b w:val="1"/>
                <w:bCs w:val="1"/>
                <w:color w:val="FFFFFF"/>
                <w:w w:val="98"/>
              </w:rPr>
              <w:t>Compensation</w:t>
            </w:r>
          </w:p>
        </w:tc>
        <w:tc>
          <w:tcPr>
            <w:tcW w:w="600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7"/>
                <w:szCs w:val="17"/>
                <w:b w:val="1"/>
                <w:bCs w:val="1"/>
                <w:color w:val="auto"/>
              </w:rPr>
              <w:t>Key Responsibilities:</w:t>
            </w:r>
          </w:p>
        </w:tc>
        <w:tc>
          <w:tcPr>
            <w:tcW w:w="0" w:type="dxa"/>
            <w:vAlign w:val="bottom"/>
          </w:tcPr>
          <w:p>
            <w:pPr>
              <w:spacing w:after="0"/>
              <w:rPr>
                <w:sz w:val="1"/>
                <w:szCs w:val="1"/>
                <w:color w:val="auto"/>
              </w:rPr>
            </w:pPr>
          </w:p>
        </w:tc>
      </w:tr>
      <w:tr>
        <w:trPr>
          <w:trHeight w:val="125"/>
        </w:trPr>
        <w:tc>
          <w:tcPr>
            <w:tcW w:w="2700" w:type="dxa"/>
            <w:vAlign w:val="bottom"/>
            <w:tcBorders>
              <w:left w:val="single" w:sz="8" w:color="auto"/>
              <w:right w:val="single" w:sz="8" w:color="auto"/>
            </w:tcBorders>
            <w:vMerge w:val="continue"/>
            <w:shd w:val="clear" w:color="auto" w:fill="4F81BD"/>
          </w:tcPr>
          <w:p>
            <w:pPr>
              <w:spacing w:after="0"/>
              <w:rPr>
                <w:sz w:val="10"/>
                <w:szCs w:val="10"/>
                <w:color w:val="auto"/>
              </w:rPr>
            </w:pPr>
          </w:p>
        </w:tc>
        <w:tc>
          <w:tcPr>
            <w:tcW w:w="6000" w:type="dxa"/>
            <w:vAlign w:val="bottom"/>
            <w:tcBorders>
              <w:right w:val="single" w:sz="8" w:color="auto"/>
            </w:tcBorders>
            <w:shd w:val="clear" w:color="auto" w:fill="EDF2F8"/>
          </w:tcPr>
          <w:p>
            <w:pPr>
              <w:ind w:left="80"/>
              <w:spacing w:after="0" w:line="125" w:lineRule="exact"/>
              <w:rPr>
                <w:sz w:val="20"/>
                <w:szCs w:val="20"/>
                <w:color w:val="auto"/>
              </w:rPr>
            </w:pPr>
            <w:r>
              <w:rPr>
                <w:rFonts w:ascii="Arial" w:cs="Arial" w:eastAsia="Arial" w:hAnsi="Arial"/>
                <w:sz w:val="11"/>
                <w:szCs w:val="11"/>
                <w:color w:val="auto"/>
              </w:rPr>
              <w:t>•  reviews management compensation programs</w:t>
            </w:r>
          </w:p>
        </w:tc>
        <w:tc>
          <w:tcPr>
            <w:tcW w:w="0" w:type="dxa"/>
            <w:vAlign w:val="bottom"/>
          </w:tcPr>
          <w:p>
            <w:pPr>
              <w:spacing w:after="0"/>
              <w:rPr>
                <w:sz w:val="1"/>
                <w:szCs w:val="1"/>
                <w:color w:val="auto"/>
              </w:rPr>
            </w:pPr>
          </w:p>
        </w:tc>
      </w:tr>
      <w:tr>
        <w:trPr>
          <w:trHeight w:val="145"/>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31"/>
                <w:szCs w:val="31"/>
                <w:b w:val="1"/>
                <w:bCs w:val="1"/>
                <w:color w:val="FFFFFF"/>
              </w:rPr>
              <w:t>Committee</w:t>
            </w:r>
          </w:p>
        </w:tc>
        <w:tc>
          <w:tcPr>
            <w:tcW w:w="600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1"/>
                <w:szCs w:val="11"/>
                <w:color w:val="auto"/>
              </w:rPr>
              <w:t>•  recommends compensation terms and agreements for senior Executive Oﬃcers to the Board for Board approval</w:t>
            </w:r>
          </w:p>
        </w:tc>
        <w:tc>
          <w:tcPr>
            <w:tcW w:w="0" w:type="dxa"/>
            <w:vAlign w:val="bottom"/>
          </w:tcPr>
          <w:p>
            <w:pPr>
              <w:spacing w:after="0"/>
              <w:rPr>
                <w:sz w:val="1"/>
                <w:szCs w:val="1"/>
                <w:color w:val="auto"/>
              </w:rPr>
            </w:pPr>
          </w:p>
        </w:tc>
      </w:tr>
      <w:tr>
        <w:trPr>
          <w:trHeight w:val="145"/>
        </w:trPr>
        <w:tc>
          <w:tcPr>
            <w:tcW w:w="2700" w:type="dxa"/>
            <w:vAlign w:val="bottom"/>
            <w:tcBorders>
              <w:left w:val="single" w:sz="8" w:color="auto"/>
              <w:right w:val="single" w:sz="8" w:color="auto"/>
            </w:tcBorders>
            <w:vMerge w:val="continue"/>
            <w:shd w:val="clear" w:color="auto" w:fill="4F81BD"/>
          </w:tcPr>
          <w:p>
            <w:pPr>
              <w:spacing w:after="0"/>
              <w:rPr>
                <w:sz w:val="12"/>
                <w:szCs w:val="12"/>
                <w:color w:val="auto"/>
              </w:rPr>
            </w:pPr>
          </w:p>
        </w:tc>
        <w:tc>
          <w:tcPr>
            <w:tcW w:w="600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1"/>
                <w:szCs w:val="11"/>
                <w:color w:val="auto"/>
              </w:rPr>
              <w:t>•  reviews changes in compensation for senior Executive Oﬃcers and Non-Employee</w:t>
            </w:r>
          </w:p>
        </w:tc>
        <w:tc>
          <w:tcPr>
            <w:tcW w:w="0" w:type="dxa"/>
            <w:vAlign w:val="bottom"/>
          </w:tcPr>
          <w:p>
            <w:pPr>
              <w:spacing w:after="0"/>
              <w:rPr>
                <w:sz w:val="1"/>
                <w:szCs w:val="1"/>
                <w:color w:val="auto"/>
              </w:rPr>
            </w:pPr>
          </w:p>
        </w:tc>
      </w:tr>
      <w:tr>
        <w:trPr>
          <w:trHeight w:val="134"/>
        </w:trPr>
        <w:tc>
          <w:tcPr>
            <w:tcW w:w="2700" w:type="dxa"/>
            <w:vAlign w:val="bottom"/>
            <w:tcBorders>
              <w:left w:val="single" w:sz="8" w:color="auto"/>
              <w:right w:val="single" w:sz="8" w:color="auto"/>
            </w:tcBorders>
            <w:vMerge w:val="continue"/>
            <w:shd w:val="clear" w:color="auto" w:fill="4F81BD"/>
          </w:tcPr>
          <w:p>
            <w:pPr>
              <w:spacing w:after="0"/>
              <w:rPr>
                <w:sz w:val="11"/>
                <w:szCs w:val="11"/>
                <w:color w:val="auto"/>
              </w:rPr>
            </w:pP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color w:val="auto"/>
              </w:rPr>
              <w:t>Directors (“NEDs”)</w:t>
            </w:r>
          </w:p>
        </w:tc>
        <w:tc>
          <w:tcPr>
            <w:tcW w:w="0" w:type="dxa"/>
            <w:vAlign w:val="bottom"/>
          </w:tcPr>
          <w:p>
            <w:pPr>
              <w:spacing w:after="0"/>
              <w:rPr>
                <w:sz w:val="1"/>
                <w:szCs w:val="1"/>
                <w:color w:val="auto"/>
              </w:rPr>
            </w:pPr>
          </w:p>
        </w:tc>
      </w:tr>
      <w:tr>
        <w:trPr>
          <w:trHeight w:val="120"/>
        </w:trPr>
        <w:tc>
          <w:tcPr>
            <w:tcW w:w="2700" w:type="dxa"/>
            <w:vAlign w:val="bottom"/>
            <w:tcBorders>
              <w:left w:val="single" w:sz="8" w:color="auto"/>
              <w:right w:val="single" w:sz="8" w:color="auto"/>
            </w:tcBorders>
            <w:shd w:val="clear" w:color="auto" w:fill="4F81BD"/>
          </w:tcPr>
          <w:p>
            <w:pPr>
              <w:spacing w:after="0"/>
              <w:rPr>
                <w:sz w:val="10"/>
                <w:szCs w:val="10"/>
                <w:color w:val="auto"/>
              </w:rPr>
            </w:pPr>
          </w:p>
        </w:tc>
        <w:tc>
          <w:tcPr>
            <w:tcW w:w="6000" w:type="dxa"/>
            <w:vAlign w:val="bottom"/>
            <w:tcBorders>
              <w:right w:val="single" w:sz="8" w:color="auto"/>
            </w:tcBorders>
            <w:shd w:val="clear" w:color="auto" w:fill="EDF2F8"/>
          </w:tcPr>
          <w:p>
            <w:pPr>
              <w:ind w:left="80"/>
              <w:spacing w:after="0" w:line="121" w:lineRule="exact"/>
              <w:rPr>
                <w:sz w:val="20"/>
                <w:szCs w:val="20"/>
                <w:color w:val="auto"/>
              </w:rPr>
            </w:pPr>
            <w:r>
              <w:rPr>
                <w:rFonts w:ascii="Arial" w:cs="Arial" w:eastAsia="Arial" w:hAnsi="Arial"/>
                <w:sz w:val="11"/>
                <w:szCs w:val="11"/>
                <w:color w:val="auto"/>
              </w:rPr>
              <w:t>•  oversees the Company’s stock-based plans</w:t>
            </w:r>
          </w:p>
        </w:tc>
        <w:tc>
          <w:tcPr>
            <w:tcW w:w="0" w:type="dxa"/>
            <w:vAlign w:val="bottom"/>
          </w:tcPr>
          <w:p>
            <w:pPr>
              <w:spacing w:after="0"/>
              <w:rPr>
                <w:sz w:val="1"/>
                <w:szCs w:val="1"/>
                <w:color w:val="auto"/>
              </w:rPr>
            </w:pPr>
          </w:p>
        </w:tc>
      </w:tr>
      <w:tr>
        <w:trPr>
          <w:trHeight w:val="135"/>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b w:val="1"/>
                <w:bCs w:val="1"/>
                <w:i w:val="1"/>
                <w:iCs w:val="1"/>
                <w:color w:val="FFFFFF"/>
                <w:w w:val="99"/>
              </w:rPr>
              <w:t>Current Members:</w:t>
            </w:r>
          </w:p>
        </w:tc>
        <w:tc>
          <w:tcPr>
            <w:tcW w:w="600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1"/>
                <w:szCs w:val="11"/>
                <w:color w:val="auto"/>
              </w:rPr>
              <w:t>•  reviews and approves corporate goals and objectives relevant to Chief Executive Oﬃcer compensation and</w:t>
            </w:r>
          </w:p>
        </w:tc>
        <w:tc>
          <w:tcPr>
            <w:tcW w:w="0" w:type="dxa"/>
            <w:vAlign w:val="bottom"/>
          </w:tcPr>
          <w:p>
            <w:pPr>
              <w:spacing w:after="0"/>
              <w:rPr>
                <w:sz w:val="1"/>
                <w:szCs w:val="1"/>
                <w:color w:val="auto"/>
              </w:rPr>
            </w:pPr>
          </w:p>
        </w:tc>
      </w:tr>
      <w:tr>
        <w:trPr>
          <w:trHeight w:val="145"/>
        </w:trPr>
        <w:tc>
          <w:tcPr>
            <w:tcW w:w="2700" w:type="dxa"/>
            <w:vAlign w:val="bottom"/>
            <w:tcBorders>
              <w:left w:val="single" w:sz="8" w:color="auto"/>
              <w:right w:val="single" w:sz="8" w:color="auto"/>
            </w:tcBorders>
            <w:vMerge w:val="continue"/>
            <w:shd w:val="clear" w:color="auto" w:fill="4F81BD"/>
          </w:tcPr>
          <w:p>
            <w:pPr>
              <w:spacing w:after="0"/>
              <w:rPr>
                <w:sz w:val="12"/>
                <w:szCs w:val="12"/>
                <w:color w:val="auto"/>
              </w:rPr>
            </w:pP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color w:val="auto"/>
              </w:rPr>
              <w:t>evaluates the Chief Executive Oﬃcer’s performance in light of those goals</w:t>
            </w:r>
          </w:p>
        </w:tc>
        <w:tc>
          <w:tcPr>
            <w:tcW w:w="0" w:type="dxa"/>
            <w:vAlign w:val="bottom"/>
          </w:tcPr>
          <w:p>
            <w:pPr>
              <w:spacing w:after="0"/>
              <w:rPr>
                <w:sz w:val="1"/>
                <w:szCs w:val="1"/>
                <w:color w:val="auto"/>
              </w:rPr>
            </w:pPr>
          </w:p>
        </w:tc>
      </w:tr>
      <w:tr>
        <w:trPr>
          <w:trHeight w:val="111"/>
        </w:trPr>
        <w:tc>
          <w:tcPr>
            <w:tcW w:w="2700" w:type="dxa"/>
            <w:vAlign w:val="bottom"/>
            <w:tcBorders>
              <w:left w:val="single" w:sz="8" w:color="auto"/>
              <w:right w:val="single" w:sz="8" w:color="auto"/>
            </w:tcBorders>
            <w:shd w:val="clear" w:color="auto" w:fill="4F81BD"/>
          </w:tcPr>
          <w:p>
            <w:pPr>
              <w:spacing w:after="0"/>
              <w:rPr>
                <w:sz w:val="9"/>
                <w:szCs w:val="9"/>
                <w:color w:val="auto"/>
              </w:rPr>
            </w:pPr>
          </w:p>
        </w:tc>
        <w:tc>
          <w:tcPr>
            <w:tcW w:w="6000" w:type="dxa"/>
            <w:vAlign w:val="bottom"/>
            <w:tcBorders>
              <w:right w:val="single" w:sz="8" w:color="auto"/>
            </w:tcBorders>
            <w:shd w:val="clear" w:color="auto" w:fill="EDF2F8"/>
          </w:tcPr>
          <w:p>
            <w:pPr>
              <w:ind w:left="80"/>
              <w:spacing w:after="0" w:line="111" w:lineRule="exact"/>
              <w:rPr>
                <w:sz w:val="20"/>
                <w:szCs w:val="20"/>
                <w:color w:val="auto"/>
              </w:rPr>
            </w:pPr>
            <w:r>
              <w:rPr>
                <w:rFonts w:ascii="Arial" w:cs="Arial" w:eastAsia="Arial" w:hAnsi="Arial"/>
                <w:sz w:val="11"/>
                <w:szCs w:val="11"/>
                <w:color w:val="auto"/>
              </w:rPr>
              <w:t>•  reviews and makes recommendations to the Board on an annual basis regarding the evaluation process and</w:t>
            </w:r>
          </w:p>
        </w:tc>
        <w:tc>
          <w:tcPr>
            <w:tcW w:w="0" w:type="dxa"/>
            <w:vAlign w:val="bottom"/>
          </w:tcPr>
          <w:p>
            <w:pPr>
              <w:spacing w:after="0"/>
              <w:rPr>
                <w:sz w:val="1"/>
                <w:szCs w:val="1"/>
                <w:color w:val="auto"/>
              </w:rPr>
            </w:pPr>
          </w:p>
        </w:tc>
      </w:tr>
      <w:tr>
        <w:trPr>
          <w:trHeight w:val="145"/>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9"/>
              </w:rPr>
              <w:t>Lawrence J.Padfield (Chair) Since:</w:t>
            </w: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color w:val="auto"/>
              </w:rPr>
              <w:t>compensation structure for the Company’s Oﬃcers</w:t>
            </w:r>
          </w:p>
        </w:tc>
        <w:tc>
          <w:tcPr>
            <w:tcW w:w="0" w:type="dxa"/>
            <w:vAlign w:val="bottom"/>
          </w:tcPr>
          <w:p>
            <w:pPr>
              <w:spacing w:after="0"/>
              <w:rPr>
                <w:sz w:val="1"/>
                <w:szCs w:val="1"/>
                <w:color w:val="auto"/>
              </w:rPr>
            </w:pPr>
          </w:p>
        </w:tc>
      </w:tr>
      <w:tr>
        <w:trPr>
          <w:trHeight w:val="133"/>
        </w:trPr>
        <w:tc>
          <w:tcPr>
            <w:tcW w:w="2700" w:type="dxa"/>
            <w:vAlign w:val="bottom"/>
            <w:tcBorders>
              <w:left w:val="single" w:sz="8" w:color="auto"/>
              <w:right w:val="single" w:sz="8" w:color="auto"/>
            </w:tcBorders>
            <w:vMerge w:val="continue"/>
            <w:shd w:val="clear" w:color="auto" w:fill="4F81BD"/>
          </w:tcPr>
          <w:p>
            <w:pPr>
              <w:spacing w:after="0"/>
              <w:rPr>
                <w:sz w:val="11"/>
                <w:szCs w:val="11"/>
                <w:color w:val="auto"/>
              </w:rPr>
            </w:pPr>
          </w:p>
        </w:tc>
        <w:tc>
          <w:tcPr>
            <w:tcW w:w="600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1"/>
                <w:szCs w:val="11"/>
                <w:color w:val="auto"/>
              </w:rPr>
              <w:t>•  reviews and makes recommendations to the Board regarding benefit plans which pertain to the senior Executive</w:t>
            </w:r>
          </w:p>
        </w:tc>
        <w:tc>
          <w:tcPr>
            <w:tcW w:w="0" w:type="dxa"/>
            <w:vAlign w:val="bottom"/>
          </w:tcPr>
          <w:p>
            <w:pPr>
              <w:spacing w:after="0"/>
              <w:rPr>
                <w:sz w:val="1"/>
                <w:szCs w:val="1"/>
                <w:color w:val="auto"/>
              </w:rPr>
            </w:pPr>
          </w:p>
        </w:tc>
      </w:tr>
      <w:tr>
        <w:trPr>
          <w:trHeight w:val="134"/>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8"/>
              </w:rPr>
              <w:t>Member since December 2012, Chair</w:t>
            </w: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color w:val="auto"/>
              </w:rPr>
              <w:t>Oﬃcers who report to the Chief Executive Oﬃcer</w:t>
            </w:r>
          </w:p>
        </w:tc>
        <w:tc>
          <w:tcPr>
            <w:tcW w:w="0" w:type="dxa"/>
            <w:vAlign w:val="bottom"/>
          </w:tcPr>
          <w:p>
            <w:pPr>
              <w:spacing w:after="0"/>
              <w:rPr>
                <w:sz w:val="1"/>
                <w:szCs w:val="1"/>
                <w:color w:val="auto"/>
              </w:rPr>
            </w:pPr>
          </w:p>
        </w:tc>
      </w:tr>
      <w:tr>
        <w:trPr>
          <w:trHeight w:val="74"/>
        </w:trPr>
        <w:tc>
          <w:tcPr>
            <w:tcW w:w="2700" w:type="dxa"/>
            <w:vAlign w:val="bottom"/>
            <w:tcBorders>
              <w:left w:val="single" w:sz="8" w:color="auto"/>
              <w:right w:val="single" w:sz="8" w:color="auto"/>
            </w:tcBorders>
            <w:vMerge w:val="continue"/>
            <w:shd w:val="clear" w:color="auto" w:fill="4F81BD"/>
          </w:tcPr>
          <w:p>
            <w:pPr>
              <w:spacing w:after="0"/>
              <w:rPr>
                <w:sz w:val="6"/>
                <w:szCs w:val="6"/>
                <w:color w:val="auto"/>
              </w:rPr>
            </w:pPr>
          </w:p>
        </w:tc>
        <w:tc>
          <w:tcPr>
            <w:tcW w:w="6000" w:type="dxa"/>
            <w:vAlign w:val="bottom"/>
            <w:tcBorders>
              <w:right w:val="single" w:sz="8" w:color="auto"/>
            </w:tcBorders>
            <w:vMerge w:val="restart"/>
            <w:shd w:val="clear" w:color="auto" w:fill="EDF2F8"/>
          </w:tcPr>
          <w:p>
            <w:pPr>
              <w:ind w:left="80"/>
              <w:spacing w:after="0" w:line="123" w:lineRule="exact"/>
              <w:rPr>
                <w:sz w:val="20"/>
                <w:szCs w:val="20"/>
                <w:color w:val="auto"/>
              </w:rPr>
            </w:pPr>
            <w:r>
              <w:rPr>
                <w:rFonts w:ascii="Arial" w:cs="Arial" w:eastAsia="Arial" w:hAnsi="Arial"/>
                <w:sz w:val="11"/>
                <w:szCs w:val="11"/>
                <w:color w:val="auto"/>
              </w:rPr>
              <w:t>•  reviews the Company’s incentive compensation and stock-based plans and recommends changes in such plans to</w:t>
            </w:r>
          </w:p>
        </w:tc>
        <w:tc>
          <w:tcPr>
            <w:tcW w:w="0" w:type="dxa"/>
            <w:vAlign w:val="bottom"/>
          </w:tcPr>
          <w:p>
            <w:pPr>
              <w:spacing w:after="0"/>
              <w:rPr>
                <w:sz w:val="1"/>
                <w:szCs w:val="1"/>
                <w:color w:val="auto"/>
              </w:rPr>
            </w:pPr>
          </w:p>
        </w:tc>
      </w:tr>
      <w:tr>
        <w:trPr>
          <w:trHeight w:val="49"/>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8"/>
              </w:rPr>
              <w:t>since May 2020</w:t>
            </w:r>
          </w:p>
        </w:tc>
        <w:tc>
          <w:tcPr>
            <w:tcW w:w="6000" w:type="dxa"/>
            <w:vAlign w:val="bottom"/>
            <w:tcBorders>
              <w:right w:val="single" w:sz="8" w:color="auto"/>
            </w:tcBorders>
            <w:vMerge w:val="continue"/>
            <w:shd w:val="clear" w:color="auto" w:fill="EDF2F8"/>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700" w:type="dxa"/>
            <w:vAlign w:val="bottom"/>
            <w:tcBorders>
              <w:left w:val="single" w:sz="8" w:color="auto"/>
              <w:right w:val="single" w:sz="8" w:color="auto"/>
            </w:tcBorders>
            <w:vMerge w:val="continue"/>
            <w:shd w:val="clear" w:color="auto" w:fill="4F81BD"/>
          </w:tcPr>
          <w:p>
            <w:pPr>
              <w:spacing w:after="0"/>
              <w:rPr>
                <w:sz w:val="11"/>
                <w:szCs w:val="11"/>
                <w:color w:val="auto"/>
              </w:rPr>
            </w:pP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color w:val="auto"/>
              </w:rPr>
              <w:t>the Board as needed; and</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9"/>
              </w:rPr>
              <w:t>Milton C. Blackmore</w:t>
            </w:r>
          </w:p>
        </w:tc>
        <w:tc>
          <w:tcPr>
            <w:tcW w:w="6000" w:type="dxa"/>
            <w:vAlign w:val="bottom"/>
            <w:tcBorders>
              <w:right w:val="single" w:sz="8" w:color="auto"/>
            </w:tcBorders>
            <w:shd w:val="clear" w:color="auto" w:fill="EDF2F8"/>
          </w:tcPr>
          <w:p>
            <w:pPr>
              <w:ind w:left="80"/>
              <w:spacing w:after="0" w:line="123" w:lineRule="exact"/>
              <w:rPr>
                <w:sz w:val="20"/>
                <w:szCs w:val="20"/>
                <w:color w:val="auto"/>
              </w:rPr>
            </w:pPr>
            <w:r>
              <w:rPr>
                <w:rFonts w:ascii="Arial" w:cs="Arial" w:eastAsia="Arial" w:hAnsi="Arial"/>
                <w:sz w:val="11"/>
                <w:szCs w:val="11"/>
                <w:color w:val="auto"/>
              </w:rPr>
              <w:t>•  provides the Compensation Committee Report as required by the SEC and included in the Company’s proxy</w:t>
            </w:r>
          </w:p>
        </w:tc>
        <w:tc>
          <w:tcPr>
            <w:tcW w:w="0" w:type="dxa"/>
            <w:vAlign w:val="bottom"/>
          </w:tcPr>
          <w:p>
            <w:pPr>
              <w:spacing w:after="0"/>
              <w:rPr>
                <w:sz w:val="1"/>
                <w:szCs w:val="1"/>
                <w:color w:val="auto"/>
              </w:rPr>
            </w:pPr>
          </w:p>
        </w:tc>
      </w:tr>
      <w:tr>
        <w:trPr>
          <w:trHeight w:val="144"/>
        </w:trPr>
        <w:tc>
          <w:tcPr>
            <w:tcW w:w="2700" w:type="dxa"/>
            <w:vAlign w:val="bottom"/>
            <w:tcBorders>
              <w:left w:val="single" w:sz="8" w:color="auto"/>
              <w:right w:val="single" w:sz="8" w:color="auto"/>
            </w:tcBorders>
            <w:vMerge w:val="continue"/>
            <w:shd w:val="clear" w:color="auto" w:fill="4F81BD"/>
          </w:tcPr>
          <w:p>
            <w:pPr>
              <w:spacing w:after="0"/>
              <w:rPr>
                <w:sz w:val="12"/>
                <w:szCs w:val="12"/>
                <w:color w:val="auto"/>
              </w:rPr>
            </w:pP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color w:val="auto"/>
              </w:rPr>
              <w:t>statement.</w:t>
            </w:r>
          </w:p>
        </w:tc>
        <w:tc>
          <w:tcPr>
            <w:tcW w:w="0" w:type="dxa"/>
            <w:vAlign w:val="bottom"/>
          </w:tcPr>
          <w:p>
            <w:pPr>
              <w:spacing w:after="0"/>
              <w:rPr>
                <w:sz w:val="1"/>
                <w:szCs w:val="1"/>
                <w:color w:val="auto"/>
              </w:rPr>
            </w:pPr>
          </w:p>
        </w:tc>
      </w:tr>
      <w:tr>
        <w:trPr>
          <w:trHeight w:val="100"/>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8"/>
              </w:rPr>
              <w:t>Since: June 2010</w:t>
            </w:r>
          </w:p>
        </w:tc>
        <w:tc>
          <w:tcPr>
            <w:tcW w:w="6000" w:type="dxa"/>
            <w:vAlign w:val="bottom"/>
            <w:tcBorders>
              <w:right w:val="single" w:sz="8" w:color="auto"/>
            </w:tcBorders>
            <w:shd w:val="clear" w:color="auto" w:fill="EDF2F8"/>
          </w:tcPr>
          <w:p>
            <w:pPr>
              <w:ind w:left="80"/>
              <w:spacing w:after="0" w:line="101"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Compensation Committee Interlocks and Insider Participation:</w:t>
            </w:r>
            <w:r>
              <w:rPr>
                <w:rFonts w:ascii="Arial" w:cs="Arial" w:eastAsia="Arial" w:hAnsi="Arial"/>
                <w:sz w:val="11"/>
                <w:szCs w:val="11"/>
                <w:color w:val="auto"/>
              </w:rPr>
              <w:t xml:space="preserve"> During 2025, no Compensation Committee</w:t>
            </w:r>
          </w:p>
        </w:tc>
        <w:tc>
          <w:tcPr>
            <w:tcW w:w="0" w:type="dxa"/>
            <w:vAlign w:val="bottom"/>
          </w:tcPr>
          <w:p>
            <w:pPr>
              <w:spacing w:after="0"/>
              <w:rPr>
                <w:sz w:val="1"/>
                <w:szCs w:val="1"/>
                <w:color w:val="auto"/>
              </w:rPr>
            </w:pPr>
          </w:p>
        </w:tc>
      </w:tr>
      <w:tr>
        <w:trPr>
          <w:trHeight w:val="134"/>
        </w:trPr>
        <w:tc>
          <w:tcPr>
            <w:tcW w:w="2700" w:type="dxa"/>
            <w:vAlign w:val="bottom"/>
            <w:tcBorders>
              <w:left w:val="single" w:sz="8" w:color="auto"/>
              <w:right w:val="single" w:sz="8" w:color="auto"/>
            </w:tcBorders>
            <w:vMerge w:val="continue"/>
            <w:shd w:val="clear" w:color="auto" w:fill="4F81BD"/>
          </w:tcPr>
          <w:p>
            <w:pPr>
              <w:spacing w:after="0"/>
              <w:rPr>
                <w:sz w:val="11"/>
                <w:szCs w:val="11"/>
                <w:color w:val="auto"/>
              </w:rPr>
            </w:pP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color w:val="auto"/>
              </w:rPr>
              <w:t>members were oﬃcers or employees of the Company, were former oﬃcers of the Company or were engaged in</w:t>
            </w:r>
          </w:p>
        </w:tc>
        <w:tc>
          <w:tcPr>
            <w:tcW w:w="0" w:type="dxa"/>
            <w:vAlign w:val="bottom"/>
          </w:tcPr>
          <w:p>
            <w:pPr>
              <w:spacing w:after="0"/>
              <w:rPr>
                <w:sz w:val="1"/>
                <w:szCs w:val="1"/>
                <w:color w:val="auto"/>
              </w:rPr>
            </w:pPr>
          </w:p>
        </w:tc>
      </w:tr>
      <w:tr>
        <w:trPr>
          <w:trHeight w:val="120"/>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6"/>
              </w:rPr>
              <w:t>Claudia P. Poccia:</w:t>
            </w:r>
          </w:p>
        </w:tc>
        <w:tc>
          <w:tcPr>
            <w:tcW w:w="6000" w:type="dxa"/>
            <w:vAlign w:val="bottom"/>
            <w:tcBorders>
              <w:right w:val="single" w:sz="8" w:color="auto"/>
            </w:tcBorders>
            <w:shd w:val="clear" w:color="auto" w:fill="EDF2F8"/>
          </w:tcPr>
          <w:p>
            <w:pPr>
              <w:ind w:left="240"/>
              <w:spacing w:after="0" w:line="121" w:lineRule="exact"/>
              <w:rPr>
                <w:sz w:val="20"/>
                <w:szCs w:val="20"/>
                <w:color w:val="auto"/>
              </w:rPr>
            </w:pPr>
            <w:r>
              <w:rPr>
                <w:rFonts w:ascii="Arial" w:cs="Arial" w:eastAsia="Arial" w:hAnsi="Arial"/>
                <w:sz w:val="11"/>
                <w:szCs w:val="11"/>
                <w:color w:val="auto"/>
              </w:rPr>
              <w:t>transactions with a related person that would be required to be disclosed by relevant SEC rules.</w:t>
            </w:r>
          </w:p>
        </w:tc>
        <w:tc>
          <w:tcPr>
            <w:tcW w:w="0" w:type="dxa"/>
            <w:vAlign w:val="bottom"/>
          </w:tcPr>
          <w:p>
            <w:pPr>
              <w:spacing w:after="0"/>
              <w:rPr>
                <w:sz w:val="1"/>
                <w:szCs w:val="1"/>
                <w:color w:val="auto"/>
              </w:rPr>
            </w:pPr>
          </w:p>
        </w:tc>
      </w:tr>
      <w:tr>
        <w:trPr>
          <w:trHeight w:val="135"/>
        </w:trPr>
        <w:tc>
          <w:tcPr>
            <w:tcW w:w="2700" w:type="dxa"/>
            <w:vAlign w:val="bottom"/>
            <w:tcBorders>
              <w:left w:val="single" w:sz="8" w:color="auto"/>
              <w:right w:val="single" w:sz="8" w:color="auto"/>
            </w:tcBorders>
            <w:vMerge w:val="continue"/>
            <w:shd w:val="clear" w:color="auto" w:fill="4F81BD"/>
          </w:tcPr>
          <w:p>
            <w:pPr>
              <w:spacing w:after="0"/>
              <w:rPr>
                <w:sz w:val="11"/>
                <w:szCs w:val="11"/>
                <w:color w:val="auto"/>
              </w:rPr>
            </w:pPr>
          </w:p>
        </w:tc>
        <w:tc>
          <w:tcPr>
            <w:tcW w:w="600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1"/>
                <w:szCs w:val="11"/>
                <w:color w:val="auto"/>
              </w:rPr>
              <w:t>•  During 2025 none of the Company’s Executive Oﬃcers served as directors or board committee members of</w:t>
            </w:r>
          </w:p>
        </w:tc>
        <w:tc>
          <w:tcPr>
            <w:tcW w:w="0" w:type="dxa"/>
            <w:vAlign w:val="bottom"/>
          </w:tcPr>
          <w:p>
            <w:pPr>
              <w:spacing w:after="0"/>
              <w:rPr>
                <w:sz w:val="1"/>
                <w:szCs w:val="1"/>
                <w:color w:val="auto"/>
              </w:rPr>
            </w:pPr>
          </w:p>
        </w:tc>
      </w:tr>
      <w:tr>
        <w:trPr>
          <w:trHeight w:val="156"/>
        </w:trPr>
        <w:tc>
          <w:tcPr>
            <w:tcW w:w="2700" w:type="dxa"/>
            <w:vAlign w:val="bottom"/>
            <w:tcBorders>
              <w:left w:val="single" w:sz="8" w:color="auto"/>
              <w:right w:val="single" w:sz="8" w:color="auto"/>
            </w:tcBorders>
            <w:shd w:val="clear" w:color="auto" w:fill="4F81BD"/>
          </w:tcPr>
          <w:p>
            <w:pPr>
              <w:jc w:val="center"/>
              <w:spacing w:after="0" w:line="156" w:lineRule="exact"/>
              <w:rPr>
                <w:sz w:val="20"/>
                <w:szCs w:val="20"/>
                <w:color w:val="auto"/>
              </w:rPr>
            </w:pPr>
            <w:r>
              <w:rPr>
                <w:rFonts w:ascii="Arial" w:cs="Arial" w:eastAsia="Arial" w:hAnsi="Arial"/>
                <w:sz w:val="15"/>
                <w:szCs w:val="15"/>
                <w:color w:val="FFFFFF"/>
                <w:w w:val="98"/>
              </w:rPr>
              <w:t>Since: November 2020</w:t>
            </w: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color w:val="auto"/>
              </w:rPr>
              <w:t>another entity where any executive oﬃ cers of such other entity served as a Director of the Company or as a</w:t>
            </w:r>
          </w:p>
        </w:tc>
        <w:tc>
          <w:tcPr>
            <w:tcW w:w="0" w:type="dxa"/>
            <w:vAlign w:val="bottom"/>
          </w:tcPr>
          <w:p>
            <w:pPr>
              <w:spacing w:after="0"/>
              <w:rPr>
                <w:sz w:val="1"/>
                <w:szCs w:val="1"/>
                <w:color w:val="auto"/>
              </w:rPr>
            </w:pPr>
          </w:p>
        </w:tc>
      </w:tr>
      <w:tr>
        <w:trPr>
          <w:trHeight w:val="147"/>
        </w:trPr>
        <w:tc>
          <w:tcPr>
            <w:tcW w:w="2700" w:type="dxa"/>
            <w:vAlign w:val="bottom"/>
            <w:tcBorders>
              <w:left w:val="single" w:sz="8" w:color="auto"/>
              <w:right w:val="single" w:sz="8" w:color="auto"/>
            </w:tcBorders>
            <w:shd w:val="clear" w:color="auto" w:fill="4F81BD"/>
          </w:tcPr>
          <w:p>
            <w:pPr>
              <w:spacing w:after="0"/>
              <w:rPr>
                <w:sz w:val="12"/>
                <w:szCs w:val="12"/>
                <w:color w:val="auto"/>
              </w:rPr>
            </w:pP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color w:val="auto"/>
              </w:rPr>
              <w:t>member of any of the Company’s Board Committees.</w:t>
            </w:r>
          </w:p>
        </w:tc>
        <w:tc>
          <w:tcPr>
            <w:tcW w:w="0" w:type="dxa"/>
            <w:vAlign w:val="bottom"/>
          </w:tcPr>
          <w:p>
            <w:pPr>
              <w:spacing w:after="0"/>
              <w:rPr>
                <w:sz w:val="1"/>
                <w:szCs w:val="1"/>
                <w:color w:val="auto"/>
              </w:rPr>
            </w:pPr>
          </w:p>
        </w:tc>
      </w:tr>
      <w:tr>
        <w:trPr>
          <w:trHeight w:val="184"/>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9"/>
              </w:rPr>
              <w:t>Leslie J. Parrette:</w:t>
            </w:r>
          </w:p>
        </w:tc>
        <w:tc>
          <w:tcPr>
            <w:tcW w:w="600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1"/>
                <w:szCs w:val="11"/>
                <w:color w:val="auto"/>
              </w:rPr>
              <w:t>•  The Compensation Committee Report appears later in this Proxy Statement.</w:t>
            </w:r>
          </w:p>
        </w:tc>
        <w:tc>
          <w:tcPr>
            <w:tcW w:w="0" w:type="dxa"/>
            <w:vAlign w:val="bottom"/>
          </w:tcPr>
          <w:p>
            <w:pPr>
              <w:spacing w:after="0"/>
              <w:rPr>
                <w:sz w:val="1"/>
                <w:szCs w:val="1"/>
                <w:color w:val="auto"/>
              </w:rPr>
            </w:pPr>
          </w:p>
        </w:tc>
      </w:tr>
      <w:tr>
        <w:trPr>
          <w:trHeight w:val="196"/>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Since: February 2025</w:t>
            </w:r>
          </w:p>
        </w:tc>
        <w:tc>
          <w:tcPr>
            <w:tcW w:w="6000" w:type="dxa"/>
            <w:vAlign w:val="bottom"/>
            <w:tcBorders>
              <w:right w:val="single" w:sz="8" w:color="auto"/>
            </w:tcBorders>
            <w:vMerge w:val="restart"/>
            <w:shd w:val="clear" w:color="auto" w:fill="EDF2F8"/>
          </w:tcPr>
          <w:p>
            <w:pPr>
              <w:ind w:left="80"/>
              <w:spacing w:after="0"/>
              <w:rPr>
                <w:sz w:val="20"/>
                <w:szCs w:val="20"/>
                <w:color w:val="auto"/>
              </w:rPr>
            </w:pPr>
            <w:r>
              <w:rPr>
                <w:rFonts w:ascii="Arial" w:cs="Arial" w:eastAsia="Arial" w:hAnsi="Arial"/>
                <w:sz w:val="11"/>
                <w:szCs w:val="11"/>
                <w:b w:val="1"/>
                <w:bCs w:val="1"/>
                <w:i w:val="1"/>
                <w:iCs w:val="1"/>
                <w:color w:val="auto"/>
              </w:rPr>
              <w:t>•  The Compensation Committee operates under a written Compensation Committee Charter that governs its</w:t>
            </w:r>
          </w:p>
        </w:tc>
        <w:tc>
          <w:tcPr>
            <w:tcW w:w="0" w:type="dxa"/>
            <w:vAlign w:val="bottom"/>
          </w:tcPr>
          <w:p>
            <w:pPr>
              <w:spacing w:after="0"/>
              <w:rPr>
                <w:sz w:val="1"/>
                <w:szCs w:val="1"/>
                <w:color w:val="auto"/>
              </w:rPr>
            </w:pPr>
          </w:p>
        </w:tc>
      </w:tr>
      <w:tr>
        <w:trPr>
          <w:trHeight w:val="53"/>
        </w:trPr>
        <w:tc>
          <w:tcPr>
            <w:tcW w:w="2700" w:type="dxa"/>
            <w:vAlign w:val="bottom"/>
            <w:tcBorders>
              <w:left w:val="single" w:sz="8" w:color="auto"/>
              <w:right w:val="single" w:sz="8" w:color="auto"/>
            </w:tcBorders>
            <w:shd w:val="clear" w:color="auto" w:fill="4F81BD"/>
          </w:tcPr>
          <w:p>
            <w:pPr>
              <w:spacing w:after="0"/>
              <w:rPr>
                <w:sz w:val="4"/>
                <w:szCs w:val="4"/>
                <w:color w:val="auto"/>
              </w:rPr>
            </w:pPr>
          </w:p>
        </w:tc>
        <w:tc>
          <w:tcPr>
            <w:tcW w:w="6000" w:type="dxa"/>
            <w:vAlign w:val="bottom"/>
            <w:tcBorders>
              <w:right w:val="single" w:sz="8" w:color="auto"/>
            </w:tcBorders>
            <w:vMerge w:val="continue"/>
            <w:shd w:val="clear" w:color="auto" w:fill="EDF2F8"/>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shd w:val="clear" w:color="auto" w:fill="4F81BD"/>
          </w:tcPr>
          <w:p>
            <w:pPr>
              <w:spacing w:after="0"/>
              <w:rPr>
                <w:sz w:val="10"/>
                <w:szCs w:val="10"/>
                <w:color w:val="auto"/>
              </w:rPr>
            </w:pPr>
          </w:p>
        </w:tc>
        <w:tc>
          <w:tcPr>
            <w:tcW w:w="6000" w:type="dxa"/>
            <w:vAlign w:val="bottom"/>
            <w:tcBorders>
              <w:right w:val="single" w:sz="8" w:color="auto"/>
            </w:tcBorders>
            <w:shd w:val="clear" w:color="auto" w:fill="EDF2F8"/>
          </w:tcPr>
          <w:p>
            <w:pPr>
              <w:ind w:left="240"/>
              <w:spacing w:after="0" w:line="123" w:lineRule="exact"/>
              <w:rPr>
                <w:sz w:val="20"/>
                <w:szCs w:val="20"/>
                <w:color w:val="auto"/>
              </w:rPr>
            </w:pPr>
            <w:r>
              <w:rPr>
                <w:rFonts w:ascii="Arial" w:cs="Arial" w:eastAsia="Arial" w:hAnsi="Arial"/>
                <w:sz w:val="11"/>
                <w:szCs w:val="11"/>
                <w:b w:val="1"/>
                <w:bCs w:val="1"/>
                <w:i w:val="1"/>
                <w:iCs w:val="1"/>
                <w:color w:val="auto"/>
              </w:rPr>
              <w:t>duties and standards of performance. A current copy of the Compensation Committee Charter is available</w:t>
            </w:r>
          </w:p>
        </w:tc>
        <w:tc>
          <w:tcPr>
            <w:tcW w:w="0" w:type="dxa"/>
            <w:vAlign w:val="bottom"/>
          </w:tcPr>
          <w:p>
            <w:pPr>
              <w:spacing w:after="0"/>
              <w:rPr>
                <w:sz w:val="1"/>
                <w:szCs w:val="1"/>
                <w:color w:val="auto"/>
              </w:rPr>
            </w:pPr>
          </w:p>
        </w:tc>
      </w:tr>
      <w:tr>
        <w:trPr>
          <w:trHeight w:val="151"/>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b w:val="1"/>
                <w:bCs w:val="1"/>
                <w:i w:val="1"/>
                <w:iCs w:val="1"/>
                <w:color w:val="FFFFFF"/>
              </w:rPr>
              <w:t>Independence:</w:t>
            </w:r>
          </w:p>
        </w:tc>
        <w:tc>
          <w:tcPr>
            <w:tcW w:w="6000" w:type="dxa"/>
            <w:vAlign w:val="bottom"/>
            <w:tcBorders>
              <w:right w:val="single" w:sz="8" w:color="auto"/>
            </w:tcBorders>
            <w:shd w:val="clear" w:color="auto" w:fill="EDF2F8"/>
          </w:tcPr>
          <w:p>
            <w:pPr>
              <w:ind w:left="240"/>
              <w:spacing w:after="0"/>
              <w:rPr>
                <w:sz w:val="20"/>
                <w:szCs w:val="20"/>
                <w:color w:val="auto"/>
              </w:rPr>
            </w:pPr>
            <w:r>
              <w:rPr>
                <w:rFonts w:ascii="Arial" w:cs="Arial" w:eastAsia="Arial" w:hAnsi="Arial"/>
                <w:sz w:val="11"/>
                <w:szCs w:val="11"/>
                <w:b w:val="1"/>
                <w:bCs w:val="1"/>
                <w:i w:val="1"/>
                <w:iCs w:val="1"/>
                <w:color w:val="auto"/>
              </w:rPr>
              <w:t xml:space="preserve">on our website under “Corporate Governance” at: </w:t>
            </w:r>
            <w:r>
              <w:rPr>
                <w:rFonts w:ascii="Arial" w:cs="Arial" w:eastAsia="Arial" w:hAnsi="Arial"/>
                <w:sz w:val="11"/>
                <w:szCs w:val="11"/>
                <w:b w:val="1"/>
                <w:bCs w:val="1"/>
                <w:i w:val="1"/>
                <w:iCs w:val="1"/>
                <w:color w:val="4F81BD"/>
              </w:rPr>
              <w:t>www.innospec.com/about-us/corporate-governance</w:t>
            </w:r>
            <w:r>
              <w:rPr>
                <w:rFonts w:ascii="Arial" w:cs="Arial" w:eastAsia="Arial" w:hAnsi="Arial"/>
                <w:sz w:val="11"/>
                <w:szCs w:val="11"/>
                <w:b w:val="1"/>
                <w:bCs w:val="1"/>
                <w:i w:val="1"/>
                <w:iCs w:val="1"/>
                <w:color w:val="auto"/>
              </w:rPr>
              <w:t>.</w:t>
            </w:r>
          </w:p>
        </w:tc>
        <w:tc>
          <w:tcPr>
            <w:tcW w:w="0" w:type="dxa"/>
            <w:vAlign w:val="bottom"/>
          </w:tcPr>
          <w:p>
            <w:pPr>
              <w:spacing w:after="0"/>
              <w:rPr>
                <w:sz w:val="1"/>
                <w:szCs w:val="1"/>
                <w:color w:val="auto"/>
              </w:rPr>
            </w:pPr>
          </w:p>
        </w:tc>
      </w:tr>
      <w:tr>
        <w:trPr>
          <w:trHeight w:val="101"/>
        </w:trPr>
        <w:tc>
          <w:tcPr>
            <w:tcW w:w="2700" w:type="dxa"/>
            <w:vAlign w:val="bottom"/>
            <w:tcBorders>
              <w:left w:val="single" w:sz="8" w:color="auto"/>
              <w:right w:val="single" w:sz="8" w:color="auto"/>
            </w:tcBorders>
            <w:vMerge w:val="continue"/>
            <w:shd w:val="clear" w:color="auto" w:fill="4F81BD"/>
          </w:tcPr>
          <w:p>
            <w:pPr>
              <w:spacing w:after="0"/>
              <w:rPr>
                <w:sz w:val="8"/>
                <w:szCs w:val="8"/>
                <w:color w:val="auto"/>
              </w:rPr>
            </w:pPr>
          </w:p>
        </w:tc>
        <w:tc>
          <w:tcPr>
            <w:tcW w:w="6000" w:type="dxa"/>
            <w:vAlign w:val="bottom"/>
            <w:tcBorders>
              <w:right w:val="single" w:sz="8" w:color="auto"/>
            </w:tcBorders>
            <w:shd w:val="clear" w:color="auto" w:fill="EDF2F8"/>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All current members of the</w:t>
            </w:r>
          </w:p>
        </w:tc>
        <w:tc>
          <w:tcPr>
            <w:tcW w:w="6000" w:type="dxa"/>
            <w:vAlign w:val="bottom"/>
            <w:tcBorders>
              <w:right w:val="single" w:sz="8" w:color="auto"/>
            </w:tcBorders>
            <w:shd w:val="clear" w:color="auto" w:fill="EDF2F8"/>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9"/>
              </w:rPr>
              <w:t>Compensation Committee</w:t>
            </w:r>
          </w:p>
        </w:tc>
        <w:tc>
          <w:tcPr>
            <w:tcW w:w="6000" w:type="dxa"/>
            <w:vAlign w:val="bottom"/>
            <w:tcBorders>
              <w:right w:val="single" w:sz="8" w:color="auto"/>
            </w:tcBorders>
            <w:shd w:val="clear" w:color="auto" w:fill="EDF2F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tcBorders>
              <w:left w:val="single" w:sz="8" w:color="auto"/>
              <w:right w:val="single" w:sz="8" w:color="auto"/>
            </w:tcBorders>
            <w:shd w:val="clear" w:color="auto" w:fill="4F81BD"/>
          </w:tcPr>
          <w:p>
            <w:pPr>
              <w:ind w:left="760"/>
              <w:spacing w:after="0"/>
              <w:rPr>
                <w:sz w:val="20"/>
                <w:szCs w:val="20"/>
                <w:color w:val="auto"/>
              </w:rPr>
            </w:pPr>
            <w:r>
              <w:rPr>
                <w:rFonts w:ascii="Arial" w:cs="Arial" w:eastAsia="Arial" w:hAnsi="Arial"/>
                <w:sz w:val="15"/>
                <w:szCs w:val="15"/>
                <w:color w:val="FFFFFF"/>
              </w:rPr>
              <w:t>are independent.</w:t>
            </w:r>
          </w:p>
        </w:tc>
        <w:tc>
          <w:tcPr>
            <w:tcW w:w="6000" w:type="dxa"/>
            <w:vAlign w:val="bottom"/>
            <w:tcBorders>
              <w:right w:val="single" w:sz="8" w:color="auto"/>
            </w:tcBorders>
            <w:shd w:val="clear" w:color="auto" w:fill="EDF2F8"/>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2700" w:type="dxa"/>
            <w:vAlign w:val="bottom"/>
            <w:tcBorders>
              <w:left w:val="single" w:sz="8" w:color="auto"/>
              <w:bottom w:val="single" w:sz="8" w:color="auto"/>
              <w:right w:val="single" w:sz="8" w:color="auto"/>
            </w:tcBorders>
            <w:shd w:val="clear" w:color="auto" w:fill="4F81BD"/>
          </w:tcPr>
          <w:p>
            <w:pPr>
              <w:spacing w:after="0"/>
              <w:rPr>
                <w:sz w:val="7"/>
                <w:szCs w:val="7"/>
                <w:color w:val="auto"/>
              </w:rPr>
            </w:pPr>
          </w:p>
        </w:tc>
        <w:tc>
          <w:tcPr>
            <w:tcW w:w="6000" w:type="dxa"/>
            <w:vAlign w:val="bottom"/>
            <w:tcBorders>
              <w:bottom w:val="single" w:sz="8" w:color="auto"/>
              <w:right w:val="single" w:sz="8" w:color="auto"/>
            </w:tcBorders>
            <w:shd w:val="clear" w:color="auto" w:fill="EDF2F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4490085</wp:posOffset>
            </wp:positionV>
            <wp:extent cx="297180" cy="290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5" w:name="page26"/>
    <w:bookmarkEnd w:id="25"/>
    <w:p>
      <w:pPr>
        <w:spacing w:after="0" w:line="272" w:lineRule="exact"/>
        <w:rPr>
          <w:sz w:val="20"/>
          <w:szCs w:val="20"/>
          <w:color w:val="auto"/>
        </w:rPr>
      </w:pPr>
    </w:p>
    <w:tbl>
      <w:tblPr>
        <w:tblLayout w:type="fixed"/>
        <w:tblInd w:w="210" w:type="dxa"/>
        <w:tblCellMar>
          <w:top w:w="0" w:type="dxa"/>
          <w:left w:w="0" w:type="dxa"/>
          <w:bottom w:w="0" w:type="dxa"/>
          <w:right w:w="0" w:type="dxa"/>
        </w:tblCellMar>
      </w:tblPr>
      <w:tr>
        <w:trPr>
          <w:trHeight w:val="320"/>
        </w:trPr>
        <w:tc>
          <w:tcPr>
            <w:tcW w:w="2700" w:type="dxa"/>
            <w:vAlign w:val="bottom"/>
            <w:tcBorders>
              <w:top w:val="single" w:sz="8" w:color="auto"/>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28"/>
                <w:szCs w:val="28"/>
                <w:b w:val="1"/>
                <w:bCs w:val="1"/>
                <w:color w:val="FFFFFF"/>
              </w:rPr>
              <w:t>Nominating,</w:t>
            </w:r>
          </w:p>
        </w:tc>
        <w:tc>
          <w:tcPr>
            <w:tcW w:w="6000" w:type="dxa"/>
            <w:vAlign w:val="bottom"/>
            <w:tcBorders>
              <w:top w:val="single" w:sz="8" w:color="auto"/>
              <w:right w:val="single" w:sz="8" w:color="auto"/>
            </w:tcBorders>
            <w:gridSpan w:val="2"/>
            <w:shd w:val="clear" w:color="auto" w:fill="EDF2F8"/>
          </w:tcPr>
          <w:p>
            <w:pPr>
              <w:ind w:left="80"/>
              <w:spacing w:after="0"/>
              <w:rPr>
                <w:sz w:val="20"/>
                <w:szCs w:val="20"/>
                <w:color w:val="auto"/>
              </w:rPr>
            </w:pPr>
            <w:r>
              <w:rPr>
                <w:rFonts w:ascii="Arial" w:cs="Arial" w:eastAsia="Arial" w:hAnsi="Arial"/>
                <w:sz w:val="17"/>
                <w:szCs w:val="17"/>
                <w:b w:val="1"/>
                <w:bCs w:val="1"/>
                <w:color w:val="auto"/>
              </w:rPr>
              <w:t>Key Responsibilities:</w:t>
            </w:r>
          </w:p>
        </w:tc>
        <w:tc>
          <w:tcPr>
            <w:tcW w:w="0" w:type="dxa"/>
            <w:vAlign w:val="bottom"/>
          </w:tcPr>
          <w:p>
            <w:pPr>
              <w:spacing w:after="0"/>
              <w:rPr>
                <w:sz w:val="1"/>
                <w:szCs w:val="1"/>
                <w:color w:val="auto"/>
              </w:rPr>
            </w:pPr>
          </w:p>
        </w:tc>
      </w:tr>
      <w:tr>
        <w:trPr>
          <w:trHeight w:val="136"/>
        </w:trPr>
        <w:tc>
          <w:tcPr>
            <w:tcW w:w="2700" w:type="dxa"/>
            <w:vAlign w:val="bottom"/>
            <w:tcBorders>
              <w:left w:val="single" w:sz="8" w:color="auto"/>
              <w:right w:val="single" w:sz="8" w:color="auto"/>
            </w:tcBorders>
            <w:vMerge w:val="continue"/>
            <w:shd w:val="clear" w:color="auto" w:fill="4F81BD"/>
          </w:tcPr>
          <w:p>
            <w:pPr>
              <w:spacing w:after="0"/>
              <w:rPr>
                <w:sz w:val="11"/>
                <w:szCs w:val="11"/>
                <w:color w:val="auto"/>
              </w:rPr>
            </w:pPr>
          </w:p>
        </w:tc>
        <w:tc>
          <w:tcPr>
            <w:tcW w:w="6000" w:type="dxa"/>
            <w:vAlign w:val="bottom"/>
            <w:tcBorders>
              <w:right w:val="single" w:sz="8" w:color="auto"/>
            </w:tcBorders>
            <w:gridSpan w:val="2"/>
            <w:shd w:val="clear" w:color="auto" w:fill="EDF2F8"/>
          </w:tcPr>
          <w:p>
            <w:pPr>
              <w:ind w:left="80"/>
              <w:spacing w:after="0"/>
              <w:rPr>
                <w:sz w:val="20"/>
                <w:szCs w:val="20"/>
                <w:color w:val="auto"/>
              </w:rPr>
            </w:pPr>
            <w:r>
              <w:rPr>
                <w:rFonts w:ascii="Arial" w:cs="Arial" w:eastAsia="Arial" w:hAnsi="Arial"/>
                <w:sz w:val="11"/>
                <w:szCs w:val="11"/>
                <w:color w:val="auto"/>
              </w:rPr>
              <w:t>•  identify individuals qualified to become Board members consistent with criteria approved by</w:t>
            </w:r>
          </w:p>
        </w:tc>
        <w:tc>
          <w:tcPr>
            <w:tcW w:w="0" w:type="dxa"/>
            <w:vAlign w:val="bottom"/>
          </w:tcPr>
          <w:p>
            <w:pPr>
              <w:spacing w:after="0"/>
              <w:rPr>
                <w:sz w:val="1"/>
                <w:szCs w:val="1"/>
                <w:color w:val="auto"/>
              </w:rPr>
            </w:pPr>
          </w:p>
        </w:tc>
      </w:tr>
      <w:tr>
        <w:trPr>
          <w:trHeight w:val="156"/>
        </w:trPr>
        <w:tc>
          <w:tcPr>
            <w:tcW w:w="2700" w:type="dxa"/>
            <w:vAlign w:val="bottom"/>
            <w:tcBorders>
              <w:left w:val="single" w:sz="8" w:color="auto"/>
              <w:right w:val="single" w:sz="8" w:color="auto"/>
            </w:tcBorders>
            <w:vMerge w:val="restart"/>
            <w:shd w:val="clear" w:color="auto" w:fill="4F81BD"/>
          </w:tcPr>
          <w:p>
            <w:pPr>
              <w:jc w:val="center"/>
              <w:spacing w:after="0" w:line="267" w:lineRule="exact"/>
              <w:rPr>
                <w:sz w:val="20"/>
                <w:szCs w:val="20"/>
                <w:color w:val="auto"/>
              </w:rPr>
            </w:pPr>
            <w:r>
              <w:rPr>
                <w:rFonts w:ascii="Arial" w:cs="Arial" w:eastAsia="Arial" w:hAnsi="Arial"/>
                <w:sz w:val="28"/>
                <w:szCs w:val="28"/>
                <w:b w:val="1"/>
                <w:bCs w:val="1"/>
                <w:color w:val="FFFFFF"/>
              </w:rPr>
              <w:t>Corporate</w:t>
            </w:r>
          </w:p>
        </w:tc>
        <w:tc>
          <w:tcPr>
            <w:tcW w:w="180" w:type="dxa"/>
            <w:vAlign w:val="bottom"/>
            <w:shd w:val="clear" w:color="auto" w:fill="EDF2F8"/>
          </w:tcPr>
          <w:p>
            <w:pPr>
              <w:spacing w:after="0"/>
              <w:rPr>
                <w:sz w:val="13"/>
                <w:szCs w:val="13"/>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the Board</w:t>
            </w:r>
          </w:p>
        </w:tc>
        <w:tc>
          <w:tcPr>
            <w:tcW w:w="0" w:type="dxa"/>
            <w:vAlign w:val="bottom"/>
          </w:tcPr>
          <w:p>
            <w:pPr>
              <w:spacing w:after="0"/>
              <w:rPr>
                <w:sz w:val="1"/>
                <w:szCs w:val="1"/>
                <w:color w:val="auto"/>
              </w:rPr>
            </w:pPr>
          </w:p>
        </w:tc>
      </w:tr>
      <w:tr>
        <w:trPr>
          <w:trHeight w:val="111"/>
        </w:trPr>
        <w:tc>
          <w:tcPr>
            <w:tcW w:w="2700" w:type="dxa"/>
            <w:vAlign w:val="bottom"/>
            <w:tcBorders>
              <w:left w:val="single" w:sz="8" w:color="auto"/>
              <w:right w:val="single" w:sz="8" w:color="auto"/>
            </w:tcBorders>
            <w:vMerge w:val="continue"/>
            <w:shd w:val="clear" w:color="auto" w:fill="4F81BD"/>
          </w:tcPr>
          <w:p>
            <w:pPr>
              <w:spacing w:after="0"/>
              <w:rPr>
                <w:sz w:val="9"/>
                <w:szCs w:val="9"/>
                <w:color w:val="auto"/>
              </w:rPr>
            </w:pPr>
          </w:p>
        </w:tc>
        <w:tc>
          <w:tcPr>
            <w:tcW w:w="6000" w:type="dxa"/>
            <w:vAlign w:val="bottom"/>
            <w:tcBorders>
              <w:right w:val="single" w:sz="8" w:color="auto"/>
            </w:tcBorders>
            <w:gridSpan w:val="2"/>
            <w:shd w:val="clear" w:color="auto" w:fill="EDF2F8"/>
          </w:tcPr>
          <w:p>
            <w:pPr>
              <w:ind w:left="80"/>
              <w:spacing w:after="0" w:line="111" w:lineRule="exact"/>
              <w:rPr>
                <w:sz w:val="20"/>
                <w:szCs w:val="20"/>
                <w:color w:val="auto"/>
              </w:rPr>
            </w:pPr>
            <w:r>
              <w:rPr>
                <w:rFonts w:ascii="Arial" w:cs="Arial" w:eastAsia="Arial" w:hAnsi="Arial"/>
                <w:sz w:val="11"/>
                <w:szCs w:val="11"/>
                <w:color w:val="auto"/>
              </w:rPr>
              <w:t>•  recommend to the Board the persons to be nominated by the Board for election as Directors at the Annual</w:t>
            </w:r>
          </w:p>
        </w:tc>
        <w:tc>
          <w:tcPr>
            <w:tcW w:w="0" w:type="dxa"/>
            <w:vAlign w:val="bottom"/>
          </w:tcPr>
          <w:p>
            <w:pPr>
              <w:spacing w:after="0"/>
              <w:rPr>
                <w:sz w:val="1"/>
                <w:szCs w:val="1"/>
                <w:color w:val="auto"/>
              </w:rPr>
            </w:pPr>
          </w:p>
        </w:tc>
      </w:tr>
      <w:tr>
        <w:trPr>
          <w:trHeight w:val="145"/>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28"/>
                <w:szCs w:val="28"/>
                <w:b w:val="1"/>
                <w:bCs w:val="1"/>
                <w:color w:val="FFFFFF"/>
              </w:rPr>
              <w:t>Governance and</w:t>
            </w:r>
          </w:p>
        </w:tc>
        <w:tc>
          <w:tcPr>
            <w:tcW w:w="180" w:type="dxa"/>
            <w:vAlign w:val="bottom"/>
            <w:shd w:val="clear" w:color="auto" w:fill="EDF2F8"/>
          </w:tcPr>
          <w:p>
            <w:pPr>
              <w:spacing w:after="0"/>
              <w:rPr>
                <w:sz w:val="12"/>
                <w:szCs w:val="12"/>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Meeting</w:t>
            </w:r>
          </w:p>
        </w:tc>
        <w:tc>
          <w:tcPr>
            <w:tcW w:w="0" w:type="dxa"/>
            <w:vAlign w:val="bottom"/>
          </w:tcPr>
          <w:p>
            <w:pPr>
              <w:spacing w:after="0"/>
              <w:rPr>
                <w:sz w:val="1"/>
                <w:szCs w:val="1"/>
                <w:color w:val="auto"/>
              </w:rPr>
            </w:pPr>
          </w:p>
        </w:tc>
      </w:tr>
      <w:tr>
        <w:trPr>
          <w:trHeight w:val="134"/>
        </w:trPr>
        <w:tc>
          <w:tcPr>
            <w:tcW w:w="2700" w:type="dxa"/>
            <w:vAlign w:val="bottom"/>
            <w:tcBorders>
              <w:left w:val="single" w:sz="8" w:color="auto"/>
              <w:right w:val="single" w:sz="8" w:color="auto"/>
            </w:tcBorders>
            <w:vMerge w:val="continue"/>
            <w:shd w:val="clear" w:color="auto" w:fill="4F81BD"/>
          </w:tcPr>
          <w:p>
            <w:pPr>
              <w:spacing w:after="0"/>
              <w:rPr>
                <w:sz w:val="11"/>
                <w:szCs w:val="11"/>
                <w:color w:val="auto"/>
              </w:rPr>
            </w:pPr>
          </w:p>
        </w:tc>
        <w:tc>
          <w:tcPr>
            <w:tcW w:w="6000" w:type="dxa"/>
            <w:vAlign w:val="bottom"/>
            <w:tcBorders>
              <w:right w:val="single" w:sz="8" w:color="auto"/>
            </w:tcBorders>
            <w:gridSpan w:val="2"/>
            <w:shd w:val="clear" w:color="auto" w:fill="EDF2F8"/>
          </w:tcPr>
          <w:p>
            <w:pPr>
              <w:ind w:left="80"/>
              <w:spacing w:after="0"/>
              <w:rPr>
                <w:sz w:val="20"/>
                <w:szCs w:val="20"/>
                <w:color w:val="auto"/>
              </w:rPr>
            </w:pPr>
            <w:r>
              <w:rPr>
                <w:rFonts w:ascii="Arial" w:cs="Arial" w:eastAsia="Arial" w:hAnsi="Arial"/>
                <w:sz w:val="11"/>
                <w:szCs w:val="11"/>
                <w:color w:val="auto"/>
              </w:rPr>
              <w:t>•  develop and recommend to the Board a set of corporate governance and compliance principles</w:t>
            </w:r>
          </w:p>
        </w:tc>
        <w:tc>
          <w:tcPr>
            <w:tcW w:w="0" w:type="dxa"/>
            <w:vAlign w:val="bottom"/>
          </w:tcPr>
          <w:p>
            <w:pPr>
              <w:spacing w:after="0"/>
              <w:rPr>
                <w:sz w:val="1"/>
                <w:szCs w:val="1"/>
                <w:color w:val="auto"/>
              </w:rPr>
            </w:pPr>
          </w:p>
        </w:tc>
      </w:tr>
      <w:tr>
        <w:trPr>
          <w:trHeight w:val="111"/>
        </w:trPr>
        <w:tc>
          <w:tcPr>
            <w:tcW w:w="2700" w:type="dxa"/>
            <w:vAlign w:val="bottom"/>
            <w:tcBorders>
              <w:left w:val="single" w:sz="8" w:color="auto"/>
              <w:right w:val="single" w:sz="8" w:color="auto"/>
            </w:tcBorders>
            <w:vMerge w:val="continue"/>
            <w:shd w:val="clear" w:color="auto" w:fill="4F81BD"/>
          </w:tcPr>
          <w:p>
            <w:pPr>
              <w:spacing w:after="0"/>
              <w:rPr>
                <w:sz w:val="9"/>
                <w:szCs w:val="9"/>
                <w:color w:val="auto"/>
              </w:rPr>
            </w:pPr>
          </w:p>
        </w:tc>
        <w:tc>
          <w:tcPr>
            <w:tcW w:w="6000" w:type="dxa"/>
            <w:vAlign w:val="bottom"/>
            <w:tcBorders>
              <w:right w:val="single" w:sz="8" w:color="auto"/>
            </w:tcBorders>
            <w:gridSpan w:val="2"/>
            <w:shd w:val="clear" w:color="auto" w:fill="EDF2F8"/>
          </w:tcPr>
          <w:p>
            <w:pPr>
              <w:ind w:left="80"/>
              <w:spacing w:after="0" w:line="111" w:lineRule="exact"/>
              <w:rPr>
                <w:sz w:val="20"/>
                <w:szCs w:val="20"/>
                <w:color w:val="auto"/>
              </w:rPr>
            </w:pPr>
            <w:r>
              <w:rPr>
                <w:rFonts w:ascii="Arial" w:cs="Arial" w:eastAsia="Arial" w:hAnsi="Arial"/>
                <w:sz w:val="11"/>
                <w:szCs w:val="11"/>
                <w:color w:val="auto"/>
              </w:rPr>
              <w:t>•  oversee the self-evaluation of the Nominating, Corporate Governance and Sustainability Committee, the self-</w:t>
            </w:r>
          </w:p>
        </w:tc>
        <w:tc>
          <w:tcPr>
            <w:tcW w:w="0" w:type="dxa"/>
            <w:vAlign w:val="bottom"/>
          </w:tcPr>
          <w:p>
            <w:pPr>
              <w:spacing w:after="0"/>
              <w:rPr>
                <w:sz w:val="1"/>
                <w:szCs w:val="1"/>
                <w:color w:val="auto"/>
              </w:rPr>
            </w:pPr>
          </w:p>
        </w:tc>
      </w:tr>
      <w:tr>
        <w:trPr>
          <w:trHeight w:val="156"/>
        </w:trPr>
        <w:tc>
          <w:tcPr>
            <w:tcW w:w="2700" w:type="dxa"/>
            <w:vAlign w:val="bottom"/>
            <w:tcBorders>
              <w:left w:val="single" w:sz="8" w:color="auto"/>
              <w:right w:val="single" w:sz="8" w:color="auto"/>
            </w:tcBorders>
            <w:vMerge w:val="restart"/>
            <w:shd w:val="clear" w:color="auto" w:fill="4F81BD"/>
          </w:tcPr>
          <w:p>
            <w:pPr>
              <w:jc w:val="center"/>
              <w:spacing w:after="0" w:line="267" w:lineRule="exact"/>
              <w:rPr>
                <w:sz w:val="20"/>
                <w:szCs w:val="20"/>
                <w:color w:val="auto"/>
              </w:rPr>
            </w:pPr>
            <w:r>
              <w:rPr>
                <w:rFonts w:ascii="Arial" w:cs="Arial" w:eastAsia="Arial" w:hAnsi="Arial"/>
                <w:sz w:val="28"/>
                <w:szCs w:val="28"/>
                <w:b w:val="1"/>
                <w:bCs w:val="1"/>
                <w:color w:val="FFFFFF"/>
                <w:w w:val="99"/>
              </w:rPr>
              <w:t>Sustainability</w:t>
            </w:r>
          </w:p>
        </w:tc>
        <w:tc>
          <w:tcPr>
            <w:tcW w:w="180" w:type="dxa"/>
            <w:vAlign w:val="bottom"/>
            <w:shd w:val="clear" w:color="auto" w:fill="EDF2F8"/>
          </w:tcPr>
          <w:p>
            <w:pPr>
              <w:spacing w:after="0"/>
              <w:rPr>
                <w:sz w:val="13"/>
                <w:szCs w:val="13"/>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evaluation of the Board and management’s evaluation of the Board</w:t>
            </w:r>
          </w:p>
        </w:tc>
        <w:tc>
          <w:tcPr>
            <w:tcW w:w="0" w:type="dxa"/>
            <w:vAlign w:val="bottom"/>
          </w:tcPr>
          <w:p>
            <w:pPr>
              <w:spacing w:after="0"/>
              <w:rPr>
                <w:sz w:val="1"/>
                <w:szCs w:val="1"/>
                <w:color w:val="auto"/>
              </w:rPr>
            </w:pPr>
          </w:p>
        </w:tc>
      </w:tr>
      <w:tr>
        <w:trPr>
          <w:trHeight w:val="111"/>
        </w:trPr>
        <w:tc>
          <w:tcPr>
            <w:tcW w:w="2700" w:type="dxa"/>
            <w:vAlign w:val="bottom"/>
            <w:tcBorders>
              <w:left w:val="single" w:sz="8" w:color="auto"/>
              <w:right w:val="single" w:sz="8" w:color="auto"/>
            </w:tcBorders>
            <w:vMerge w:val="continue"/>
            <w:shd w:val="clear" w:color="auto" w:fill="4F81BD"/>
          </w:tcPr>
          <w:p>
            <w:pPr>
              <w:spacing w:after="0"/>
              <w:rPr>
                <w:sz w:val="9"/>
                <w:szCs w:val="9"/>
                <w:color w:val="auto"/>
              </w:rPr>
            </w:pPr>
          </w:p>
        </w:tc>
        <w:tc>
          <w:tcPr>
            <w:tcW w:w="6000" w:type="dxa"/>
            <w:vAlign w:val="bottom"/>
            <w:tcBorders>
              <w:right w:val="single" w:sz="8" w:color="auto"/>
            </w:tcBorders>
            <w:gridSpan w:val="2"/>
            <w:shd w:val="clear" w:color="auto" w:fill="EDF2F8"/>
          </w:tcPr>
          <w:p>
            <w:pPr>
              <w:ind w:left="80"/>
              <w:spacing w:after="0" w:line="111" w:lineRule="exact"/>
              <w:rPr>
                <w:sz w:val="20"/>
                <w:szCs w:val="20"/>
                <w:color w:val="auto"/>
              </w:rPr>
            </w:pPr>
            <w:r>
              <w:rPr>
                <w:rFonts w:ascii="Arial" w:cs="Arial" w:eastAsia="Arial" w:hAnsi="Arial"/>
                <w:sz w:val="11"/>
                <w:szCs w:val="11"/>
                <w:color w:val="auto"/>
              </w:rPr>
              <w:t>•  monitor the Company’s continued compliance with Company policies and applicable rules and regulations by</w:t>
            </w:r>
          </w:p>
        </w:tc>
        <w:tc>
          <w:tcPr>
            <w:tcW w:w="0" w:type="dxa"/>
            <w:vAlign w:val="bottom"/>
          </w:tcPr>
          <w:p>
            <w:pPr>
              <w:spacing w:after="0"/>
              <w:rPr>
                <w:sz w:val="1"/>
                <w:szCs w:val="1"/>
                <w:color w:val="auto"/>
              </w:rPr>
            </w:pPr>
          </w:p>
        </w:tc>
      </w:tr>
      <w:tr>
        <w:trPr>
          <w:trHeight w:val="145"/>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28"/>
                <w:szCs w:val="28"/>
                <w:b w:val="1"/>
                <w:bCs w:val="1"/>
                <w:color w:val="FFFFFF"/>
              </w:rPr>
              <w:t>Committee</w:t>
            </w:r>
          </w:p>
        </w:tc>
        <w:tc>
          <w:tcPr>
            <w:tcW w:w="180" w:type="dxa"/>
            <w:vAlign w:val="bottom"/>
            <w:shd w:val="clear" w:color="auto" w:fill="EDF2F8"/>
          </w:tcPr>
          <w:p>
            <w:pPr>
              <w:spacing w:after="0"/>
              <w:rPr>
                <w:sz w:val="12"/>
                <w:szCs w:val="12"/>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reviewing reports from the Legal Compliance Department that cover training, results of audits and policy updates</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vMerge w:val="continue"/>
            <w:shd w:val="clear" w:color="auto" w:fill="4F81BD"/>
          </w:tcPr>
          <w:p>
            <w:pPr>
              <w:spacing w:after="0"/>
              <w:rPr>
                <w:sz w:val="10"/>
                <w:szCs w:val="10"/>
                <w:color w:val="auto"/>
              </w:rPr>
            </w:pPr>
          </w:p>
        </w:tc>
        <w:tc>
          <w:tcPr>
            <w:tcW w:w="180" w:type="dxa"/>
            <w:vAlign w:val="bottom"/>
            <w:shd w:val="clear" w:color="auto" w:fill="EDF2F8"/>
          </w:tcPr>
          <w:p>
            <w:pPr>
              <w:ind w:left="80"/>
              <w:spacing w:after="0" w:line="122" w:lineRule="exact"/>
              <w:rPr>
                <w:sz w:val="20"/>
                <w:szCs w:val="20"/>
                <w:color w:val="auto"/>
              </w:rPr>
            </w:pPr>
            <w:r>
              <w:rPr>
                <w:rFonts w:ascii="Arial" w:cs="Arial" w:eastAsia="Arial" w:hAnsi="Arial"/>
                <w:sz w:val="11"/>
                <w:szCs w:val="11"/>
                <w:color w:val="auto"/>
              </w:rPr>
              <w:t>•</w:t>
            </w:r>
          </w:p>
        </w:tc>
        <w:tc>
          <w:tcPr>
            <w:tcW w:w="5820" w:type="dxa"/>
            <w:vAlign w:val="bottom"/>
            <w:tcBorders>
              <w:right w:val="single" w:sz="8" w:color="auto"/>
            </w:tcBorders>
            <w:shd w:val="clear" w:color="auto" w:fill="EDF2F8"/>
          </w:tcPr>
          <w:p>
            <w:pPr>
              <w:ind w:left="60"/>
              <w:spacing w:after="0" w:line="122" w:lineRule="exact"/>
              <w:rPr>
                <w:sz w:val="20"/>
                <w:szCs w:val="20"/>
                <w:color w:val="auto"/>
              </w:rPr>
            </w:pPr>
            <w:r>
              <w:rPr>
                <w:rFonts w:ascii="Arial" w:cs="Arial" w:eastAsia="Arial" w:hAnsi="Arial"/>
                <w:sz w:val="11"/>
                <w:szCs w:val="11"/>
                <w:color w:val="auto"/>
              </w:rPr>
              <w:t>monitor the work of the Legal Compliance Department in establishing observance of Innospec’s governance</w:t>
            </w:r>
          </w:p>
        </w:tc>
        <w:tc>
          <w:tcPr>
            <w:tcW w:w="0" w:type="dxa"/>
            <w:vAlign w:val="bottom"/>
          </w:tcPr>
          <w:p>
            <w:pPr>
              <w:spacing w:after="0"/>
              <w:rPr>
                <w:sz w:val="1"/>
                <w:szCs w:val="1"/>
                <w:color w:val="auto"/>
              </w:rPr>
            </w:pPr>
          </w:p>
        </w:tc>
      </w:tr>
      <w:tr>
        <w:trPr>
          <w:trHeight w:val="111"/>
        </w:trPr>
        <w:tc>
          <w:tcPr>
            <w:tcW w:w="2700" w:type="dxa"/>
            <w:vAlign w:val="bottom"/>
            <w:tcBorders>
              <w:left w:val="single" w:sz="8" w:color="auto"/>
              <w:right w:val="single" w:sz="8" w:color="auto"/>
            </w:tcBorders>
            <w:vMerge w:val="continue"/>
            <w:shd w:val="clear" w:color="auto" w:fill="4F81BD"/>
          </w:tcPr>
          <w:p>
            <w:pPr>
              <w:spacing w:after="0"/>
              <w:rPr>
                <w:sz w:val="9"/>
                <w:szCs w:val="9"/>
                <w:color w:val="auto"/>
              </w:rPr>
            </w:pPr>
          </w:p>
        </w:tc>
        <w:tc>
          <w:tcPr>
            <w:tcW w:w="180" w:type="dxa"/>
            <w:vAlign w:val="bottom"/>
            <w:shd w:val="clear" w:color="auto" w:fill="EDF2F8"/>
          </w:tcPr>
          <w:p>
            <w:pPr>
              <w:spacing w:after="0"/>
              <w:rPr>
                <w:sz w:val="9"/>
                <w:szCs w:val="9"/>
                <w:color w:val="auto"/>
              </w:rPr>
            </w:pPr>
          </w:p>
        </w:tc>
        <w:tc>
          <w:tcPr>
            <w:tcW w:w="5820" w:type="dxa"/>
            <w:vAlign w:val="bottom"/>
            <w:tcBorders>
              <w:right w:val="single" w:sz="8" w:color="auto"/>
            </w:tcBorders>
            <w:vMerge w:val="restart"/>
            <w:shd w:val="clear" w:color="auto" w:fill="EDF2F8"/>
          </w:tcPr>
          <w:p>
            <w:pPr>
              <w:ind w:left="60"/>
              <w:spacing w:after="0"/>
              <w:rPr>
                <w:sz w:val="20"/>
                <w:szCs w:val="20"/>
                <w:color w:val="auto"/>
              </w:rPr>
            </w:pPr>
            <w:r>
              <w:rPr>
                <w:rFonts w:ascii="Arial" w:cs="Arial" w:eastAsia="Arial" w:hAnsi="Arial"/>
                <w:sz w:val="11"/>
                <w:szCs w:val="11"/>
                <w:color w:val="auto"/>
              </w:rPr>
              <w:t>principles; and</w:t>
            </w:r>
          </w:p>
        </w:tc>
        <w:tc>
          <w:tcPr>
            <w:tcW w:w="0" w:type="dxa"/>
            <w:vAlign w:val="bottom"/>
          </w:tcPr>
          <w:p>
            <w:pPr>
              <w:spacing w:after="0"/>
              <w:rPr>
                <w:sz w:val="1"/>
                <w:szCs w:val="1"/>
                <w:color w:val="auto"/>
              </w:rPr>
            </w:pPr>
          </w:p>
        </w:tc>
      </w:tr>
      <w:tr>
        <w:trPr>
          <w:trHeight w:val="23"/>
        </w:trPr>
        <w:tc>
          <w:tcPr>
            <w:tcW w:w="2700" w:type="dxa"/>
            <w:vAlign w:val="bottom"/>
            <w:tcBorders>
              <w:left w:val="single" w:sz="8" w:color="auto"/>
              <w:right w:val="single" w:sz="8" w:color="auto"/>
            </w:tcBorders>
            <w:shd w:val="clear" w:color="auto" w:fill="4F81BD"/>
          </w:tcPr>
          <w:p>
            <w:pPr>
              <w:spacing w:after="0" w:line="20" w:lineRule="exact"/>
              <w:rPr>
                <w:sz w:val="1"/>
                <w:szCs w:val="1"/>
                <w:color w:val="auto"/>
              </w:rPr>
            </w:pPr>
          </w:p>
        </w:tc>
        <w:tc>
          <w:tcPr>
            <w:tcW w:w="180" w:type="dxa"/>
            <w:vAlign w:val="bottom"/>
            <w:shd w:val="clear" w:color="auto" w:fill="EDF2F8"/>
          </w:tcPr>
          <w:p>
            <w:pPr>
              <w:spacing w:after="0" w:line="20" w:lineRule="exact"/>
              <w:rPr>
                <w:sz w:val="1"/>
                <w:szCs w:val="1"/>
                <w:color w:val="auto"/>
              </w:rPr>
            </w:pPr>
          </w:p>
        </w:tc>
        <w:tc>
          <w:tcPr>
            <w:tcW w:w="5820" w:type="dxa"/>
            <w:vAlign w:val="bottom"/>
            <w:tcBorders>
              <w:right w:val="single" w:sz="8" w:color="auto"/>
            </w:tcBorders>
            <w:vMerge w:val="continue"/>
            <w:shd w:val="clear" w:color="auto" w:fill="EDF2F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700" w:type="dxa"/>
            <w:vAlign w:val="bottom"/>
            <w:tcBorders>
              <w:left w:val="single" w:sz="8" w:color="auto"/>
              <w:right w:val="single" w:sz="8" w:color="auto"/>
            </w:tcBorders>
            <w:shd w:val="clear" w:color="auto" w:fill="4F81BD"/>
          </w:tcPr>
          <w:p>
            <w:pPr>
              <w:spacing w:after="0"/>
              <w:rPr>
                <w:sz w:val="12"/>
                <w:szCs w:val="12"/>
                <w:color w:val="auto"/>
              </w:rPr>
            </w:pPr>
          </w:p>
        </w:tc>
        <w:tc>
          <w:tcPr>
            <w:tcW w:w="6000" w:type="dxa"/>
            <w:vAlign w:val="bottom"/>
            <w:tcBorders>
              <w:right w:val="single" w:sz="8" w:color="auto"/>
            </w:tcBorders>
            <w:gridSpan w:val="2"/>
            <w:shd w:val="clear" w:color="auto" w:fill="EDF2F8"/>
          </w:tcPr>
          <w:p>
            <w:pPr>
              <w:ind w:left="80"/>
              <w:spacing w:after="0"/>
              <w:rPr>
                <w:sz w:val="20"/>
                <w:szCs w:val="20"/>
                <w:color w:val="auto"/>
              </w:rPr>
            </w:pPr>
            <w:r>
              <w:rPr>
                <w:rFonts w:ascii="Arial" w:cs="Arial" w:eastAsia="Arial" w:hAnsi="Arial"/>
                <w:sz w:val="11"/>
                <w:szCs w:val="11"/>
                <w:color w:val="auto"/>
              </w:rPr>
              <w:t>•  help shape the corporate governance policy of the Company by promoting legal compliance by the Company.</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b w:val="1"/>
                <w:bCs w:val="1"/>
                <w:i w:val="1"/>
                <w:iCs w:val="1"/>
                <w:color w:val="FFFFFF"/>
                <w:w w:val="99"/>
              </w:rPr>
              <w:t>Current Members:</w:t>
            </w:r>
          </w:p>
        </w:tc>
        <w:tc>
          <w:tcPr>
            <w:tcW w:w="6000" w:type="dxa"/>
            <w:vAlign w:val="bottom"/>
            <w:tcBorders>
              <w:right w:val="single" w:sz="8" w:color="auto"/>
            </w:tcBorders>
            <w:gridSpan w:val="2"/>
            <w:shd w:val="clear" w:color="auto" w:fill="EDF2F8"/>
          </w:tcPr>
          <w:p>
            <w:pPr>
              <w:ind w:left="80"/>
              <w:spacing w:after="0" w:line="123" w:lineRule="exact"/>
              <w:rPr>
                <w:sz w:val="20"/>
                <w:szCs w:val="20"/>
                <w:color w:val="auto"/>
              </w:rPr>
            </w:pPr>
            <w:r>
              <w:rPr>
                <w:rFonts w:ascii="Arial" w:cs="Arial" w:eastAsia="Arial" w:hAnsi="Arial"/>
                <w:sz w:val="11"/>
                <w:szCs w:val="11"/>
                <w:color w:val="auto"/>
              </w:rPr>
              <w:t>•  Act as the Board’s conduit in environmental and social matters by interfacing with the Executive Team ESG</w:t>
            </w:r>
          </w:p>
        </w:tc>
        <w:tc>
          <w:tcPr>
            <w:tcW w:w="0" w:type="dxa"/>
            <w:vAlign w:val="bottom"/>
          </w:tcPr>
          <w:p>
            <w:pPr>
              <w:spacing w:after="0"/>
              <w:rPr>
                <w:sz w:val="1"/>
                <w:szCs w:val="1"/>
                <w:color w:val="auto"/>
              </w:rPr>
            </w:pPr>
          </w:p>
        </w:tc>
      </w:tr>
      <w:tr>
        <w:trPr>
          <w:trHeight w:val="122"/>
        </w:trPr>
        <w:tc>
          <w:tcPr>
            <w:tcW w:w="2700" w:type="dxa"/>
            <w:vAlign w:val="bottom"/>
            <w:tcBorders>
              <w:left w:val="single" w:sz="8" w:color="auto"/>
              <w:right w:val="single" w:sz="8" w:color="auto"/>
            </w:tcBorders>
            <w:vMerge w:val="continue"/>
            <w:shd w:val="clear" w:color="auto" w:fill="4F81BD"/>
          </w:tcPr>
          <w:p>
            <w:pPr>
              <w:spacing w:after="0"/>
              <w:rPr>
                <w:sz w:val="10"/>
                <w:szCs w:val="10"/>
                <w:color w:val="auto"/>
              </w:rPr>
            </w:pPr>
          </w:p>
        </w:tc>
        <w:tc>
          <w:tcPr>
            <w:tcW w:w="180" w:type="dxa"/>
            <w:vAlign w:val="bottom"/>
            <w:shd w:val="clear" w:color="auto" w:fill="EDF2F8"/>
          </w:tcPr>
          <w:p>
            <w:pPr>
              <w:spacing w:after="0"/>
              <w:rPr>
                <w:sz w:val="10"/>
                <w:szCs w:val="10"/>
                <w:color w:val="auto"/>
              </w:rPr>
            </w:pPr>
          </w:p>
        </w:tc>
        <w:tc>
          <w:tcPr>
            <w:tcW w:w="5820" w:type="dxa"/>
            <w:vAlign w:val="bottom"/>
            <w:tcBorders>
              <w:right w:val="single" w:sz="8" w:color="auto"/>
            </w:tcBorders>
            <w:shd w:val="clear" w:color="auto" w:fill="EDF2F8"/>
          </w:tcPr>
          <w:p>
            <w:pPr>
              <w:ind w:left="60"/>
              <w:spacing w:after="0" w:line="123" w:lineRule="exact"/>
              <w:rPr>
                <w:sz w:val="20"/>
                <w:szCs w:val="20"/>
                <w:color w:val="auto"/>
              </w:rPr>
            </w:pPr>
            <w:r>
              <w:rPr>
                <w:rFonts w:ascii="Arial" w:cs="Arial" w:eastAsia="Arial" w:hAnsi="Arial"/>
                <w:sz w:val="11"/>
                <w:szCs w:val="11"/>
                <w:color w:val="auto"/>
              </w:rPr>
              <w:t>Steering Group regarding communication and reporting plans and risk and otherwise helping the Board in its</w:t>
            </w:r>
          </w:p>
        </w:tc>
        <w:tc>
          <w:tcPr>
            <w:tcW w:w="0" w:type="dxa"/>
            <w:vAlign w:val="bottom"/>
          </w:tcPr>
          <w:p>
            <w:pPr>
              <w:spacing w:after="0"/>
              <w:rPr>
                <w:sz w:val="1"/>
                <w:szCs w:val="1"/>
                <w:color w:val="auto"/>
              </w:rPr>
            </w:pPr>
          </w:p>
        </w:tc>
      </w:tr>
      <w:tr>
        <w:trPr>
          <w:trHeight w:val="147"/>
        </w:trPr>
        <w:tc>
          <w:tcPr>
            <w:tcW w:w="2700" w:type="dxa"/>
            <w:vAlign w:val="bottom"/>
            <w:tcBorders>
              <w:left w:val="single" w:sz="8" w:color="auto"/>
              <w:right w:val="single" w:sz="8" w:color="auto"/>
            </w:tcBorders>
            <w:shd w:val="clear" w:color="auto" w:fill="4F81BD"/>
          </w:tcPr>
          <w:p>
            <w:pPr>
              <w:spacing w:after="0"/>
              <w:rPr>
                <w:sz w:val="12"/>
                <w:szCs w:val="12"/>
                <w:color w:val="auto"/>
              </w:rPr>
            </w:pPr>
          </w:p>
        </w:tc>
        <w:tc>
          <w:tcPr>
            <w:tcW w:w="180" w:type="dxa"/>
            <w:vAlign w:val="bottom"/>
            <w:shd w:val="clear" w:color="auto" w:fill="EDF2F8"/>
          </w:tcPr>
          <w:p>
            <w:pPr>
              <w:spacing w:after="0"/>
              <w:rPr>
                <w:sz w:val="12"/>
                <w:szCs w:val="12"/>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color w:val="auto"/>
              </w:rPr>
              <w:t>promotion of environmental and social factors and the satisfaction of associated obligations.</w:t>
            </w:r>
          </w:p>
        </w:tc>
        <w:tc>
          <w:tcPr>
            <w:tcW w:w="0" w:type="dxa"/>
            <w:vAlign w:val="bottom"/>
          </w:tcPr>
          <w:p>
            <w:pPr>
              <w:spacing w:after="0"/>
              <w:rPr>
                <w:sz w:val="1"/>
                <w:szCs w:val="1"/>
                <w:color w:val="auto"/>
              </w:rPr>
            </w:pPr>
          </w:p>
        </w:tc>
      </w:tr>
      <w:tr>
        <w:trPr>
          <w:trHeight w:val="220"/>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Claudia P. Poccia (Chair) Since:</w:t>
            </w:r>
          </w:p>
        </w:tc>
        <w:tc>
          <w:tcPr>
            <w:tcW w:w="180" w:type="dxa"/>
            <w:vAlign w:val="bottom"/>
            <w:shd w:val="clear" w:color="auto" w:fill="EDF2F8"/>
          </w:tcPr>
          <w:p>
            <w:pPr>
              <w:ind w:left="80"/>
              <w:spacing w:after="0"/>
              <w:rPr>
                <w:sz w:val="20"/>
                <w:szCs w:val="20"/>
                <w:color w:val="auto"/>
              </w:rPr>
            </w:pPr>
            <w:r>
              <w:rPr>
                <w:rFonts w:ascii="Arial" w:cs="Arial" w:eastAsia="Arial" w:hAnsi="Arial"/>
                <w:sz w:val="11"/>
                <w:szCs w:val="11"/>
                <w:b w:val="1"/>
                <w:bCs w:val="1"/>
                <w:i w:val="1"/>
                <w:iCs w:val="1"/>
                <w:color w:val="auto"/>
              </w:rPr>
              <w:t>•</w:t>
            </w: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b w:val="1"/>
                <w:bCs w:val="1"/>
                <w:i w:val="1"/>
                <w:iCs w:val="1"/>
                <w:color w:val="auto"/>
              </w:rPr>
              <w:t>The  Nominating,  Corporate  Governance  and  Sustainability  Committee  operates  under  a  written</w:t>
            </w:r>
          </w:p>
        </w:tc>
        <w:tc>
          <w:tcPr>
            <w:tcW w:w="0" w:type="dxa"/>
            <w:vAlign w:val="bottom"/>
          </w:tcPr>
          <w:p>
            <w:pPr>
              <w:spacing w:after="0"/>
              <w:rPr>
                <w:sz w:val="1"/>
                <w:szCs w:val="1"/>
                <w:color w:val="auto"/>
              </w:rPr>
            </w:pPr>
          </w:p>
        </w:tc>
      </w:tr>
      <w:tr>
        <w:trPr>
          <w:trHeight w:val="112"/>
        </w:trPr>
        <w:tc>
          <w:tcPr>
            <w:tcW w:w="2700" w:type="dxa"/>
            <w:vAlign w:val="bottom"/>
            <w:tcBorders>
              <w:left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5"/>
                <w:szCs w:val="15"/>
                <w:color w:val="FFFFFF"/>
                <w:w w:val="98"/>
              </w:rPr>
              <w:t>Member since July 2019, Chair since</w:t>
            </w:r>
          </w:p>
        </w:tc>
        <w:tc>
          <w:tcPr>
            <w:tcW w:w="180" w:type="dxa"/>
            <w:vAlign w:val="bottom"/>
            <w:shd w:val="clear" w:color="auto" w:fill="EDF2F8"/>
          </w:tcPr>
          <w:p>
            <w:pPr>
              <w:spacing w:after="0"/>
              <w:rPr>
                <w:sz w:val="9"/>
                <w:szCs w:val="9"/>
                <w:color w:val="auto"/>
              </w:rPr>
            </w:pPr>
          </w:p>
        </w:tc>
        <w:tc>
          <w:tcPr>
            <w:tcW w:w="5820" w:type="dxa"/>
            <w:vAlign w:val="bottom"/>
            <w:tcBorders>
              <w:right w:val="single" w:sz="8" w:color="auto"/>
            </w:tcBorders>
            <w:shd w:val="clear" w:color="auto" w:fill="EDF2F8"/>
          </w:tcPr>
          <w:p>
            <w:pPr>
              <w:ind w:left="60"/>
              <w:spacing w:after="0" w:line="113" w:lineRule="exact"/>
              <w:rPr>
                <w:sz w:val="20"/>
                <w:szCs w:val="20"/>
                <w:color w:val="auto"/>
              </w:rPr>
            </w:pPr>
            <w:r>
              <w:rPr>
                <w:rFonts w:ascii="Arial" w:cs="Arial" w:eastAsia="Arial" w:hAnsi="Arial"/>
                <w:sz w:val="11"/>
                <w:szCs w:val="11"/>
                <w:b w:val="1"/>
                <w:bCs w:val="1"/>
                <w:i w:val="1"/>
                <w:iCs w:val="1"/>
                <w:color w:val="auto"/>
              </w:rPr>
              <w:t>Nominating, Corporate Governance and Sustainability Committee Charter that governs its duties and</w:t>
            </w:r>
          </w:p>
        </w:tc>
        <w:tc>
          <w:tcPr>
            <w:tcW w:w="0" w:type="dxa"/>
            <w:vAlign w:val="bottom"/>
          </w:tcPr>
          <w:p>
            <w:pPr>
              <w:spacing w:after="0"/>
              <w:rPr>
                <w:sz w:val="1"/>
                <w:szCs w:val="1"/>
                <w:color w:val="auto"/>
              </w:rPr>
            </w:pPr>
          </w:p>
        </w:tc>
      </w:tr>
      <w:tr>
        <w:trPr>
          <w:trHeight w:val="118"/>
        </w:trPr>
        <w:tc>
          <w:tcPr>
            <w:tcW w:w="2700" w:type="dxa"/>
            <w:vAlign w:val="bottom"/>
            <w:tcBorders>
              <w:left w:val="single" w:sz="8" w:color="auto"/>
              <w:right w:val="single" w:sz="8" w:color="auto"/>
            </w:tcBorders>
            <w:vMerge w:val="continue"/>
            <w:shd w:val="clear" w:color="auto" w:fill="4F81BD"/>
          </w:tcPr>
          <w:p>
            <w:pPr>
              <w:spacing w:after="0"/>
              <w:rPr>
                <w:sz w:val="10"/>
                <w:szCs w:val="10"/>
                <w:color w:val="auto"/>
              </w:rPr>
            </w:pPr>
          </w:p>
        </w:tc>
        <w:tc>
          <w:tcPr>
            <w:tcW w:w="180" w:type="dxa"/>
            <w:vAlign w:val="bottom"/>
            <w:shd w:val="clear" w:color="auto" w:fill="EDF2F8"/>
          </w:tcPr>
          <w:p>
            <w:pPr>
              <w:spacing w:after="0"/>
              <w:rPr>
                <w:sz w:val="10"/>
                <w:szCs w:val="10"/>
                <w:color w:val="auto"/>
              </w:rPr>
            </w:pPr>
          </w:p>
        </w:tc>
        <w:tc>
          <w:tcPr>
            <w:tcW w:w="5820" w:type="dxa"/>
            <w:vAlign w:val="bottom"/>
            <w:tcBorders>
              <w:right w:val="single" w:sz="8" w:color="auto"/>
            </w:tcBorders>
            <w:shd w:val="clear" w:color="auto" w:fill="EDF2F8"/>
          </w:tcPr>
          <w:p>
            <w:pPr>
              <w:ind w:left="60"/>
              <w:spacing w:after="0" w:line="119" w:lineRule="exact"/>
              <w:rPr>
                <w:sz w:val="20"/>
                <w:szCs w:val="20"/>
                <w:color w:val="auto"/>
              </w:rPr>
            </w:pPr>
            <w:r>
              <w:rPr>
                <w:rFonts w:ascii="Arial" w:cs="Arial" w:eastAsia="Arial" w:hAnsi="Arial"/>
                <w:sz w:val="11"/>
                <w:szCs w:val="11"/>
                <w:b w:val="1"/>
                <w:bCs w:val="1"/>
                <w:i w:val="1"/>
                <w:iCs w:val="1"/>
                <w:color w:val="auto"/>
              </w:rPr>
              <w:t>standards of performance. A current copy of the Nominating, Corporate Governance and Sustainability</w:t>
            </w:r>
          </w:p>
        </w:tc>
        <w:tc>
          <w:tcPr>
            <w:tcW w:w="0" w:type="dxa"/>
            <w:vAlign w:val="bottom"/>
          </w:tcPr>
          <w:p>
            <w:pPr>
              <w:spacing w:after="0"/>
              <w:rPr>
                <w:sz w:val="1"/>
                <w:szCs w:val="1"/>
                <w:color w:val="auto"/>
              </w:rPr>
            </w:pPr>
          </w:p>
        </w:tc>
      </w:tr>
      <w:tr>
        <w:trPr>
          <w:trHeight w:val="137"/>
        </w:trPr>
        <w:tc>
          <w:tcPr>
            <w:tcW w:w="2700" w:type="dxa"/>
            <w:vAlign w:val="bottom"/>
            <w:tcBorders>
              <w:left w:val="single" w:sz="8" w:color="auto"/>
              <w:right w:val="single" w:sz="8" w:color="auto"/>
            </w:tcBorders>
            <w:shd w:val="clear" w:color="auto" w:fill="4F81BD"/>
          </w:tcPr>
          <w:p>
            <w:pPr>
              <w:jc w:val="center"/>
              <w:spacing w:after="0" w:line="137" w:lineRule="exact"/>
              <w:rPr>
                <w:sz w:val="20"/>
                <w:szCs w:val="20"/>
                <w:color w:val="auto"/>
              </w:rPr>
            </w:pPr>
            <w:r>
              <w:rPr>
                <w:rFonts w:ascii="Arial" w:cs="Arial" w:eastAsia="Arial" w:hAnsi="Arial"/>
                <w:sz w:val="15"/>
                <w:szCs w:val="15"/>
                <w:color w:val="FFFFFF"/>
              </w:rPr>
              <w:t>May 2020</w:t>
            </w:r>
          </w:p>
        </w:tc>
        <w:tc>
          <w:tcPr>
            <w:tcW w:w="180" w:type="dxa"/>
            <w:vAlign w:val="bottom"/>
            <w:shd w:val="clear" w:color="auto" w:fill="EDF2F8"/>
          </w:tcPr>
          <w:p>
            <w:pPr>
              <w:spacing w:after="0"/>
              <w:rPr>
                <w:sz w:val="11"/>
                <w:szCs w:val="11"/>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b w:val="1"/>
                <w:bCs w:val="1"/>
                <w:i w:val="1"/>
                <w:iCs w:val="1"/>
                <w:color w:val="auto"/>
              </w:rPr>
              <w:t>Committee   Charter   is   available   on   our   website   under   “Corporate   Governance”:</w:t>
            </w:r>
          </w:p>
        </w:tc>
        <w:tc>
          <w:tcPr>
            <w:tcW w:w="0" w:type="dxa"/>
            <w:vAlign w:val="bottom"/>
          </w:tcPr>
          <w:p>
            <w:pPr>
              <w:spacing w:after="0"/>
              <w:rPr>
                <w:sz w:val="1"/>
                <w:szCs w:val="1"/>
                <w:color w:val="auto"/>
              </w:rPr>
            </w:pPr>
          </w:p>
        </w:tc>
      </w:tr>
      <w:tr>
        <w:trPr>
          <w:trHeight w:val="151"/>
        </w:trPr>
        <w:tc>
          <w:tcPr>
            <w:tcW w:w="2700" w:type="dxa"/>
            <w:vAlign w:val="bottom"/>
            <w:tcBorders>
              <w:left w:val="single" w:sz="8" w:color="auto"/>
              <w:right w:val="single" w:sz="8" w:color="auto"/>
            </w:tcBorders>
            <w:shd w:val="clear" w:color="auto" w:fill="4F81BD"/>
          </w:tcPr>
          <w:p>
            <w:pPr>
              <w:spacing w:after="0"/>
              <w:rPr>
                <w:sz w:val="13"/>
                <w:szCs w:val="13"/>
                <w:color w:val="auto"/>
              </w:rPr>
            </w:pPr>
          </w:p>
        </w:tc>
        <w:tc>
          <w:tcPr>
            <w:tcW w:w="180" w:type="dxa"/>
            <w:vAlign w:val="bottom"/>
            <w:shd w:val="clear" w:color="auto" w:fill="EDF2F8"/>
          </w:tcPr>
          <w:p>
            <w:pPr>
              <w:spacing w:after="0"/>
              <w:rPr>
                <w:sz w:val="13"/>
                <w:szCs w:val="13"/>
                <w:color w:val="auto"/>
              </w:rPr>
            </w:pPr>
          </w:p>
        </w:tc>
        <w:tc>
          <w:tcPr>
            <w:tcW w:w="5820" w:type="dxa"/>
            <w:vAlign w:val="bottom"/>
            <w:tcBorders>
              <w:right w:val="single" w:sz="8" w:color="auto"/>
            </w:tcBorders>
            <w:shd w:val="clear" w:color="auto" w:fill="EDF2F8"/>
          </w:tcPr>
          <w:p>
            <w:pPr>
              <w:ind w:left="60"/>
              <w:spacing w:after="0"/>
              <w:rPr>
                <w:sz w:val="20"/>
                <w:szCs w:val="20"/>
                <w:color w:val="auto"/>
              </w:rPr>
            </w:pPr>
            <w:r>
              <w:rPr>
                <w:rFonts w:ascii="Arial" w:cs="Arial" w:eastAsia="Arial" w:hAnsi="Arial"/>
                <w:sz w:val="11"/>
                <w:szCs w:val="11"/>
                <w:b w:val="1"/>
                <w:bCs w:val="1"/>
                <w:i w:val="1"/>
                <w:iCs w:val="1"/>
                <w:color w:val="4F81BD"/>
              </w:rPr>
              <w:t>https://innospec.com/about-us/corporate-governance/</w:t>
            </w:r>
            <w:r>
              <w:rPr>
                <w:rFonts w:ascii="Arial" w:cs="Arial" w:eastAsia="Arial" w:hAnsi="Arial"/>
                <w:sz w:val="11"/>
                <w:szCs w:val="11"/>
                <w:b w:val="1"/>
                <w:bCs w:val="1"/>
                <w:i w:val="1"/>
                <w:iCs w:val="1"/>
                <w:color w:val="000000"/>
              </w:rPr>
              <w:t>.</w:t>
            </w:r>
          </w:p>
        </w:tc>
        <w:tc>
          <w:tcPr>
            <w:tcW w:w="0" w:type="dxa"/>
            <w:vAlign w:val="bottom"/>
          </w:tcPr>
          <w:p>
            <w:pPr>
              <w:spacing w:after="0"/>
              <w:rPr>
                <w:sz w:val="1"/>
                <w:szCs w:val="1"/>
                <w:color w:val="auto"/>
              </w:rPr>
            </w:pPr>
          </w:p>
        </w:tc>
      </w:tr>
      <w:tr>
        <w:trPr>
          <w:trHeight w:val="191"/>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David F. Landless</w:t>
            </w:r>
          </w:p>
        </w:tc>
        <w:tc>
          <w:tcPr>
            <w:tcW w:w="180" w:type="dxa"/>
            <w:vAlign w:val="bottom"/>
            <w:shd w:val="clear" w:color="auto" w:fill="EDF2F8"/>
          </w:tcPr>
          <w:p>
            <w:pPr>
              <w:spacing w:after="0"/>
              <w:rPr>
                <w:sz w:val="16"/>
                <w:szCs w:val="16"/>
                <w:color w:val="auto"/>
              </w:rPr>
            </w:pPr>
          </w:p>
        </w:tc>
        <w:tc>
          <w:tcPr>
            <w:tcW w:w="5820" w:type="dxa"/>
            <w:vAlign w:val="bottom"/>
            <w:tcBorders>
              <w:right w:val="single" w:sz="8" w:color="auto"/>
            </w:tcBorders>
            <w:shd w:val="clear" w:color="auto" w:fill="EDF2F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Since: May 2020</w:t>
            </w:r>
          </w:p>
        </w:tc>
        <w:tc>
          <w:tcPr>
            <w:tcW w:w="180" w:type="dxa"/>
            <w:vAlign w:val="bottom"/>
            <w:shd w:val="clear" w:color="auto" w:fill="EDF2F8"/>
          </w:tcPr>
          <w:p>
            <w:pPr>
              <w:spacing w:after="0"/>
              <w:rPr>
                <w:sz w:val="17"/>
                <w:szCs w:val="17"/>
                <w:color w:val="auto"/>
              </w:rPr>
            </w:pPr>
          </w:p>
        </w:tc>
        <w:tc>
          <w:tcPr>
            <w:tcW w:w="5820" w:type="dxa"/>
            <w:vAlign w:val="bottom"/>
            <w:tcBorders>
              <w:right w:val="single" w:sz="8" w:color="auto"/>
            </w:tcBorders>
            <w:shd w:val="clear" w:color="auto" w:fill="EDF2F8"/>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9"/>
              </w:rPr>
              <w:t>Leslie J. Parrette:</w:t>
            </w:r>
          </w:p>
        </w:tc>
        <w:tc>
          <w:tcPr>
            <w:tcW w:w="180" w:type="dxa"/>
            <w:vAlign w:val="bottom"/>
            <w:shd w:val="clear" w:color="auto" w:fill="EDF2F8"/>
          </w:tcPr>
          <w:p>
            <w:pPr>
              <w:spacing w:after="0"/>
              <w:rPr>
                <w:sz w:val="23"/>
                <w:szCs w:val="23"/>
                <w:color w:val="auto"/>
              </w:rPr>
            </w:pPr>
          </w:p>
        </w:tc>
        <w:tc>
          <w:tcPr>
            <w:tcW w:w="5820" w:type="dxa"/>
            <w:vAlign w:val="bottom"/>
            <w:tcBorders>
              <w:right w:val="single" w:sz="8" w:color="auto"/>
            </w:tcBorders>
            <w:shd w:val="clear" w:color="auto" w:fill="EDF2F8"/>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7"/>
              </w:rPr>
              <w:t>Since: January 2022</w:t>
            </w:r>
          </w:p>
        </w:tc>
        <w:tc>
          <w:tcPr>
            <w:tcW w:w="180" w:type="dxa"/>
            <w:vAlign w:val="bottom"/>
            <w:shd w:val="clear" w:color="auto" w:fill="EDF2F8"/>
          </w:tcPr>
          <w:p>
            <w:pPr>
              <w:spacing w:after="0"/>
              <w:rPr>
                <w:sz w:val="17"/>
                <w:szCs w:val="17"/>
                <w:color w:val="auto"/>
              </w:rPr>
            </w:pPr>
          </w:p>
        </w:tc>
        <w:tc>
          <w:tcPr>
            <w:tcW w:w="5820" w:type="dxa"/>
            <w:vAlign w:val="bottom"/>
            <w:tcBorders>
              <w:right w:val="single" w:sz="8" w:color="auto"/>
            </w:tcBorders>
            <w:shd w:val="clear" w:color="auto" w:fill="EDF2F8"/>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Elizabeth K. Arnold</w:t>
            </w:r>
          </w:p>
        </w:tc>
        <w:tc>
          <w:tcPr>
            <w:tcW w:w="180" w:type="dxa"/>
            <w:vAlign w:val="bottom"/>
            <w:shd w:val="clear" w:color="auto" w:fill="EDF2F8"/>
          </w:tcPr>
          <w:p>
            <w:pPr>
              <w:spacing w:after="0"/>
              <w:rPr>
                <w:sz w:val="24"/>
                <w:szCs w:val="24"/>
                <w:color w:val="auto"/>
              </w:rPr>
            </w:pPr>
          </w:p>
        </w:tc>
        <w:tc>
          <w:tcPr>
            <w:tcW w:w="5820" w:type="dxa"/>
            <w:vAlign w:val="bottom"/>
            <w:tcBorders>
              <w:right w:val="single" w:sz="8" w:color="auto"/>
            </w:tcBorders>
            <w:shd w:val="clear" w:color="auto" w:fill="EDF2F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Since: February 2025</w:t>
            </w:r>
          </w:p>
        </w:tc>
        <w:tc>
          <w:tcPr>
            <w:tcW w:w="180" w:type="dxa"/>
            <w:vAlign w:val="bottom"/>
            <w:shd w:val="clear" w:color="auto" w:fill="EDF2F8"/>
          </w:tcPr>
          <w:p>
            <w:pPr>
              <w:spacing w:after="0"/>
              <w:rPr>
                <w:sz w:val="17"/>
                <w:szCs w:val="17"/>
                <w:color w:val="auto"/>
              </w:rPr>
            </w:pPr>
          </w:p>
        </w:tc>
        <w:tc>
          <w:tcPr>
            <w:tcW w:w="5820" w:type="dxa"/>
            <w:vAlign w:val="bottom"/>
            <w:tcBorders>
              <w:right w:val="single" w:sz="8" w:color="auto"/>
            </w:tcBorders>
            <w:shd w:val="clear" w:color="auto" w:fill="EDF2F8"/>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i w:val="1"/>
                <w:iCs w:val="1"/>
                <w:color w:val="FFFFFF"/>
              </w:rPr>
              <w:t>Independence:</w:t>
            </w:r>
          </w:p>
        </w:tc>
        <w:tc>
          <w:tcPr>
            <w:tcW w:w="180" w:type="dxa"/>
            <w:vAlign w:val="bottom"/>
            <w:shd w:val="clear" w:color="auto" w:fill="EDF2F8"/>
          </w:tcPr>
          <w:p>
            <w:pPr>
              <w:spacing w:after="0"/>
              <w:rPr>
                <w:sz w:val="24"/>
                <w:szCs w:val="24"/>
                <w:color w:val="auto"/>
              </w:rPr>
            </w:pPr>
          </w:p>
        </w:tc>
        <w:tc>
          <w:tcPr>
            <w:tcW w:w="5820" w:type="dxa"/>
            <w:vAlign w:val="bottom"/>
            <w:tcBorders>
              <w:right w:val="single" w:sz="8" w:color="auto"/>
            </w:tcBorders>
            <w:shd w:val="clear" w:color="auto" w:fill="EDF2F8"/>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All current members of the</w:t>
            </w:r>
          </w:p>
        </w:tc>
        <w:tc>
          <w:tcPr>
            <w:tcW w:w="180" w:type="dxa"/>
            <w:vAlign w:val="bottom"/>
            <w:shd w:val="clear" w:color="auto" w:fill="EDF2F8"/>
          </w:tcPr>
          <w:p>
            <w:pPr>
              <w:spacing w:after="0"/>
              <w:rPr>
                <w:sz w:val="15"/>
                <w:szCs w:val="15"/>
                <w:color w:val="auto"/>
              </w:rPr>
            </w:pPr>
          </w:p>
        </w:tc>
        <w:tc>
          <w:tcPr>
            <w:tcW w:w="5820" w:type="dxa"/>
            <w:vAlign w:val="bottom"/>
            <w:tcBorders>
              <w:right w:val="single" w:sz="8" w:color="auto"/>
            </w:tcBorders>
            <w:shd w:val="clear" w:color="auto" w:fill="EDF2F8"/>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Nominating, Corporate Governance,</w:t>
            </w:r>
          </w:p>
        </w:tc>
        <w:tc>
          <w:tcPr>
            <w:tcW w:w="180" w:type="dxa"/>
            <w:vAlign w:val="bottom"/>
            <w:shd w:val="clear" w:color="auto" w:fill="EDF2F8"/>
          </w:tcPr>
          <w:p>
            <w:pPr>
              <w:spacing w:after="0"/>
              <w:rPr>
                <w:sz w:val="15"/>
                <w:szCs w:val="15"/>
                <w:color w:val="auto"/>
              </w:rPr>
            </w:pPr>
          </w:p>
        </w:tc>
        <w:tc>
          <w:tcPr>
            <w:tcW w:w="5820" w:type="dxa"/>
            <w:vAlign w:val="bottom"/>
            <w:tcBorders>
              <w:right w:val="single" w:sz="8" w:color="auto"/>
            </w:tcBorders>
            <w:shd w:val="clear" w:color="auto" w:fill="EDF2F8"/>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0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and Sustainability Committee</w:t>
            </w:r>
          </w:p>
        </w:tc>
        <w:tc>
          <w:tcPr>
            <w:tcW w:w="180" w:type="dxa"/>
            <w:vAlign w:val="bottom"/>
            <w:shd w:val="clear" w:color="auto" w:fill="EDF2F8"/>
          </w:tcPr>
          <w:p>
            <w:pPr>
              <w:spacing w:after="0"/>
              <w:rPr>
                <w:sz w:val="15"/>
                <w:szCs w:val="15"/>
                <w:color w:val="auto"/>
              </w:rPr>
            </w:pPr>
          </w:p>
        </w:tc>
        <w:tc>
          <w:tcPr>
            <w:tcW w:w="5820" w:type="dxa"/>
            <w:vAlign w:val="bottom"/>
            <w:tcBorders>
              <w:right w:val="single" w:sz="8" w:color="auto"/>
            </w:tcBorders>
            <w:shd w:val="clear" w:color="auto" w:fill="EDF2F8"/>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tcBorders>
              <w:left w:val="single" w:sz="8" w:color="auto"/>
              <w:right w:val="single" w:sz="8" w:color="auto"/>
            </w:tcBorders>
            <w:shd w:val="clear" w:color="auto" w:fill="4F81BD"/>
          </w:tcPr>
          <w:p>
            <w:pPr>
              <w:ind w:left="760"/>
              <w:spacing w:after="0"/>
              <w:rPr>
                <w:sz w:val="20"/>
                <w:szCs w:val="20"/>
                <w:color w:val="auto"/>
              </w:rPr>
            </w:pPr>
            <w:r>
              <w:rPr>
                <w:rFonts w:ascii="Arial" w:cs="Arial" w:eastAsia="Arial" w:hAnsi="Arial"/>
                <w:sz w:val="15"/>
                <w:szCs w:val="15"/>
                <w:color w:val="FFFFFF"/>
              </w:rPr>
              <w:t>are independent.</w:t>
            </w:r>
          </w:p>
        </w:tc>
        <w:tc>
          <w:tcPr>
            <w:tcW w:w="180" w:type="dxa"/>
            <w:vAlign w:val="bottom"/>
            <w:shd w:val="clear" w:color="auto" w:fill="EDF2F8"/>
          </w:tcPr>
          <w:p>
            <w:pPr>
              <w:spacing w:after="0"/>
              <w:rPr>
                <w:sz w:val="17"/>
                <w:szCs w:val="17"/>
                <w:color w:val="auto"/>
              </w:rPr>
            </w:pPr>
          </w:p>
        </w:tc>
        <w:tc>
          <w:tcPr>
            <w:tcW w:w="5820" w:type="dxa"/>
            <w:vAlign w:val="bottom"/>
            <w:tcBorders>
              <w:right w:val="single" w:sz="8" w:color="auto"/>
            </w:tcBorders>
            <w:shd w:val="clear" w:color="auto" w:fill="EDF2F8"/>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2700" w:type="dxa"/>
            <w:vAlign w:val="bottom"/>
            <w:tcBorders>
              <w:left w:val="single" w:sz="8" w:color="auto"/>
              <w:bottom w:val="single" w:sz="8" w:color="auto"/>
              <w:right w:val="single" w:sz="8" w:color="auto"/>
            </w:tcBorders>
            <w:shd w:val="clear" w:color="auto" w:fill="4F81BD"/>
          </w:tcPr>
          <w:p>
            <w:pPr>
              <w:spacing w:after="0"/>
              <w:rPr>
                <w:sz w:val="7"/>
                <w:szCs w:val="7"/>
                <w:color w:val="auto"/>
              </w:rPr>
            </w:pPr>
          </w:p>
        </w:tc>
        <w:tc>
          <w:tcPr>
            <w:tcW w:w="180" w:type="dxa"/>
            <w:vAlign w:val="bottom"/>
            <w:tcBorders>
              <w:bottom w:val="single" w:sz="8" w:color="auto"/>
            </w:tcBorders>
            <w:shd w:val="clear" w:color="auto" w:fill="EDF2F8"/>
          </w:tcPr>
          <w:p>
            <w:pPr>
              <w:spacing w:after="0"/>
              <w:rPr>
                <w:sz w:val="7"/>
                <w:szCs w:val="7"/>
                <w:color w:val="auto"/>
              </w:rPr>
            </w:pPr>
          </w:p>
        </w:tc>
        <w:tc>
          <w:tcPr>
            <w:tcW w:w="5820" w:type="dxa"/>
            <w:vAlign w:val="bottom"/>
            <w:tcBorders>
              <w:bottom w:val="single" w:sz="8" w:color="auto"/>
              <w:right w:val="single" w:sz="8" w:color="auto"/>
            </w:tcBorders>
            <w:shd w:val="clear" w:color="auto" w:fill="EDF2F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3684270</wp:posOffset>
            </wp:positionV>
            <wp:extent cx="297180" cy="290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6" w:name="page27"/>
    <w:bookmarkEnd w:id="26"/>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Board and Committee Self-Evaluations</w:t>
      </w:r>
    </w:p>
    <w:p>
      <w:pPr>
        <w:spacing w:after="0" w:line="195"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Each year, the Nominating, Corporate Governance and Sustainability Committee oversees the Board, Committee and Director self-evaluation process.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4F81BD"/>
        </w:rPr>
        <w:t>The annual evaluation process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83820</wp:posOffset>
            </wp:positionV>
            <wp:extent cx="5374640" cy="27717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74640" cy="277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Stockholder Engagement</w:t>
      </w:r>
    </w:p>
    <w:p>
      <w:pPr>
        <w:spacing w:after="0" w:line="195"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In 2025 Innospec participated in five investor conferences and two non-deal-roadshows. This included multiple engagements with the majority of our largest active stockholders, representing in the aggregate more than one-third of our outstanding stock, during the year. Where beneficial, we continued to leverage virtual meeting tools.</w:t>
      </w:r>
    </w:p>
    <w:p>
      <w:pPr>
        <w:spacing w:after="0" w:line="77"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The Company was represented by a minimum of two, and often three of the senior executives comprising the CEO, CFO and Senior Vice President, Corporate Development and Investor Relations. During the year, several updated versions of our investor presentation were produced covering business performance, strategy and financial management of the Company. Concurrent with each update, the presentation was uploaded to the Company’s website so that all investors had access to the same information.</w:t>
      </w:r>
    </w:p>
    <w:p>
      <w:pPr>
        <w:spacing w:after="0" w:line="94"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Company’s senior management team also engaged with investors and analysts in the period soon after the release of quarterly results to discuss those quarterly results.</w:t>
      </w:r>
    </w:p>
    <w:p>
      <w:pPr>
        <w:spacing w:after="0" w:line="75"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Along with business performance, market conditions, capital allocation plans and strategy, other issues were discussed as raised by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1994535</wp:posOffset>
            </wp:positionV>
            <wp:extent cx="297180" cy="290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7" w:name="page28"/>
    <w:bookmarkEnd w:id="27"/>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4F81BD"/>
        </w:rPr>
        <w:t>SUSTAINABILITY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Our Strategic Approach to Sustainability</w:t>
      </w:r>
    </w:p>
    <w:p>
      <w:pPr>
        <w:spacing w:after="0" w:line="195"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 xml:space="preserve">As a global specialty chemical company, Innospec understands that the way we conduct our business is essential to the long-term success of Innospec. Our sustainability strategy is broken down into three key areas: </w:t>
      </w:r>
      <w:r>
        <w:rPr>
          <w:rFonts w:ascii="Arial" w:cs="Arial" w:eastAsia="Arial" w:hAnsi="Arial"/>
          <w:sz w:val="15"/>
          <w:szCs w:val="15"/>
          <w:color w:val="9E318D"/>
        </w:rPr>
        <w:t>Environmental, Social and Governance</w:t>
      </w:r>
      <w:r>
        <w:rPr>
          <w:rFonts w:ascii="Arial" w:cs="Arial" w:eastAsia="Arial" w:hAnsi="Arial"/>
          <w:sz w:val="15"/>
          <w:szCs w:val="15"/>
          <w:color w:val="auto"/>
        </w:rPr>
        <w:t>. We focus our actions in areas where we can have the most impact on the long-term future of our business. We believe this approach reflects our stakeholders’ priorities and demonstrates our commitment to striving to grow our business in what we believe to be a sustainable and socially responsible manner.</w:t>
      </w:r>
    </w:p>
    <w:p>
      <w:pPr>
        <w:spacing w:after="0" w:line="87" w:lineRule="exact"/>
        <w:rPr>
          <w:sz w:val="20"/>
          <w:szCs w:val="20"/>
          <w:color w:val="auto"/>
        </w:rPr>
      </w:pPr>
    </w:p>
    <w:tbl>
      <w:tblPr>
        <w:tblLayout w:type="fixed"/>
        <w:tblInd w:w="210" w:type="dxa"/>
        <w:tblCellMar>
          <w:top w:w="0" w:type="dxa"/>
          <w:left w:w="0" w:type="dxa"/>
          <w:bottom w:w="0" w:type="dxa"/>
          <w:right w:w="0" w:type="dxa"/>
        </w:tblCellMar>
      </w:tblPr>
      <w:tr>
        <w:trPr>
          <w:trHeight w:val="207"/>
        </w:trPr>
        <w:tc>
          <w:tcPr>
            <w:tcW w:w="2920" w:type="dxa"/>
            <w:vAlign w:val="bottom"/>
            <w:tcBorders>
              <w:left w:val="single" w:sz="8" w:color="9E318D"/>
              <w:right w:val="single" w:sz="8" w:color="9E318D"/>
            </w:tcBorders>
            <w:shd w:val="clear" w:color="auto" w:fill="9E318D"/>
          </w:tcPr>
          <w:p>
            <w:pPr>
              <w:ind w:left="80"/>
              <w:spacing w:after="0"/>
              <w:rPr>
                <w:sz w:val="20"/>
                <w:szCs w:val="20"/>
                <w:color w:val="auto"/>
              </w:rPr>
            </w:pPr>
            <w:r>
              <w:rPr>
                <w:rFonts w:ascii="Arial" w:cs="Arial" w:eastAsia="Arial" w:hAnsi="Arial"/>
                <w:sz w:val="18"/>
                <w:szCs w:val="18"/>
                <w:b w:val="1"/>
                <w:bCs w:val="1"/>
                <w:color w:val="FFFFFF"/>
              </w:rPr>
              <w:t>Environmental</w:t>
            </w:r>
          </w:p>
        </w:tc>
        <w:tc>
          <w:tcPr>
            <w:tcW w:w="2900" w:type="dxa"/>
            <w:vAlign w:val="bottom"/>
            <w:tcBorders>
              <w:right w:val="single" w:sz="8" w:color="9E318D"/>
            </w:tcBorders>
            <w:shd w:val="clear" w:color="auto" w:fill="9E318D"/>
          </w:tcPr>
          <w:p>
            <w:pPr>
              <w:ind w:left="60"/>
              <w:spacing w:after="0"/>
              <w:rPr>
                <w:sz w:val="20"/>
                <w:szCs w:val="20"/>
                <w:color w:val="auto"/>
              </w:rPr>
            </w:pPr>
            <w:r>
              <w:rPr>
                <w:rFonts w:ascii="Arial" w:cs="Arial" w:eastAsia="Arial" w:hAnsi="Arial"/>
                <w:sz w:val="18"/>
                <w:szCs w:val="18"/>
                <w:b w:val="1"/>
                <w:bCs w:val="1"/>
                <w:color w:val="FFFFFF"/>
              </w:rPr>
              <w:t>Social</w:t>
            </w:r>
          </w:p>
        </w:tc>
        <w:tc>
          <w:tcPr>
            <w:tcW w:w="2900" w:type="dxa"/>
            <w:vAlign w:val="bottom"/>
            <w:tcBorders>
              <w:right w:val="single" w:sz="8" w:color="9E318D"/>
            </w:tcBorders>
            <w:shd w:val="clear" w:color="auto" w:fill="9E318D"/>
          </w:tcPr>
          <w:p>
            <w:pPr>
              <w:ind w:left="40"/>
              <w:spacing w:after="0"/>
              <w:rPr>
                <w:sz w:val="20"/>
                <w:szCs w:val="20"/>
                <w:color w:val="auto"/>
              </w:rPr>
            </w:pPr>
            <w:r>
              <w:rPr>
                <w:rFonts w:ascii="Arial" w:cs="Arial" w:eastAsia="Arial" w:hAnsi="Arial"/>
                <w:sz w:val="18"/>
                <w:szCs w:val="18"/>
                <w:b w:val="1"/>
                <w:bCs w:val="1"/>
                <w:color w:val="FFFFFF"/>
              </w:rPr>
              <w:t>Governance</w:t>
            </w:r>
          </w:p>
        </w:tc>
        <w:tc>
          <w:tcPr>
            <w:tcW w:w="0" w:type="dxa"/>
            <w:vAlign w:val="bottom"/>
          </w:tcPr>
          <w:p>
            <w:pPr>
              <w:spacing w:after="0"/>
              <w:rPr>
                <w:sz w:val="1"/>
                <w:szCs w:val="1"/>
                <w:color w:val="auto"/>
              </w:rPr>
            </w:pPr>
          </w:p>
        </w:tc>
      </w:tr>
      <w:tr>
        <w:trPr>
          <w:trHeight w:val="202"/>
        </w:trPr>
        <w:tc>
          <w:tcPr>
            <w:tcW w:w="2920" w:type="dxa"/>
            <w:vAlign w:val="bottom"/>
            <w:tcBorders>
              <w:left w:val="single" w:sz="8" w:color="9E318D"/>
              <w:right w:val="single" w:sz="8" w:color="9E318D"/>
            </w:tcBorders>
            <w:shd w:val="clear" w:color="auto" w:fill="9E318D"/>
          </w:tcPr>
          <w:p>
            <w:pPr>
              <w:ind w:left="80"/>
              <w:spacing w:after="0"/>
              <w:rPr>
                <w:sz w:val="20"/>
                <w:szCs w:val="20"/>
                <w:color w:val="auto"/>
              </w:rPr>
            </w:pPr>
            <w:r>
              <w:rPr>
                <w:rFonts w:ascii="Arial" w:cs="Arial" w:eastAsia="Arial" w:hAnsi="Arial"/>
                <w:sz w:val="15"/>
                <w:szCs w:val="15"/>
                <w:b w:val="1"/>
                <w:bCs w:val="1"/>
                <w:color w:val="FFFFFF"/>
              </w:rPr>
              <w:t>Conserving and protecting</w:t>
            </w:r>
          </w:p>
        </w:tc>
        <w:tc>
          <w:tcPr>
            <w:tcW w:w="2900" w:type="dxa"/>
            <w:vAlign w:val="bottom"/>
            <w:tcBorders>
              <w:right w:val="single" w:sz="8" w:color="9E318D"/>
            </w:tcBorders>
            <w:shd w:val="clear" w:color="auto" w:fill="9E318D"/>
          </w:tcPr>
          <w:p>
            <w:pPr>
              <w:ind w:left="60"/>
              <w:spacing w:after="0"/>
              <w:rPr>
                <w:sz w:val="20"/>
                <w:szCs w:val="20"/>
                <w:color w:val="auto"/>
              </w:rPr>
            </w:pPr>
            <w:r>
              <w:rPr>
                <w:rFonts w:ascii="Arial" w:cs="Arial" w:eastAsia="Arial" w:hAnsi="Arial"/>
                <w:sz w:val="15"/>
                <w:szCs w:val="15"/>
                <w:b w:val="1"/>
                <w:bCs w:val="1"/>
                <w:color w:val="FFFFFF"/>
              </w:rPr>
              <w:t>Caring for people</w:t>
            </w:r>
          </w:p>
        </w:tc>
        <w:tc>
          <w:tcPr>
            <w:tcW w:w="2900" w:type="dxa"/>
            <w:vAlign w:val="bottom"/>
            <w:tcBorders>
              <w:right w:val="single" w:sz="8" w:color="9E318D"/>
            </w:tcBorders>
            <w:shd w:val="clear" w:color="auto" w:fill="9E318D"/>
          </w:tcPr>
          <w:p>
            <w:pPr>
              <w:ind w:left="40"/>
              <w:spacing w:after="0"/>
              <w:rPr>
                <w:sz w:val="20"/>
                <w:szCs w:val="20"/>
                <w:color w:val="auto"/>
              </w:rPr>
            </w:pPr>
            <w:r>
              <w:rPr>
                <w:rFonts w:ascii="Arial" w:cs="Arial" w:eastAsia="Arial" w:hAnsi="Arial"/>
                <w:sz w:val="15"/>
                <w:szCs w:val="15"/>
                <w:b w:val="1"/>
                <w:bCs w:val="1"/>
                <w:color w:val="FFFFFF"/>
              </w:rPr>
              <w:t>Leading by example</w:t>
            </w:r>
          </w:p>
        </w:tc>
        <w:tc>
          <w:tcPr>
            <w:tcW w:w="0" w:type="dxa"/>
            <w:vAlign w:val="bottom"/>
          </w:tcPr>
          <w:p>
            <w:pPr>
              <w:spacing w:after="0"/>
              <w:rPr>
                <w:sz w:val="1"/>
                <w:szCs w:val="1"/>
                <w:color w:val="auto"/>
              </w:rPr>
            </w:pPr>
          </w:p>
        </w:tc>
      </w:tr>
      <w:tr>
        <w:trPr>
          <w:trHeight w:val="247"/>
        </w:trPr>
        <w:tc>
          <w:tcPr>
            <w:tcW w:w="2920" w:type="dxa"/>
            <w:vAlign w:val="bottom"/>
            <w:tcBorders>
              <w:left w:val="single" w:sz="8" w:color="9E318D"/>
              <w:right w:val="single" w:sz="8" w:color="9E318D"/>
            </w:tcBorders>
            <w:shd w:val="clear" w:color="auto" w:fill="9E318D"/>
          </w:tcPr>
          <w:p>
            <w:pPr>
              <w:spacing w:after="0"/>
              <w:rPr>
                <w:sz w:val="21"/>
                <w:szCs w:val="21"/>
                <w:color w:val="auto"/>
              </w:rPr>
            </w:pPr>
          </w:p>
        </w:tc>
        <w:tc>
          <w:tcPr>
            <w:tcW w:w="2900" w:type="dxa"/>
            <w:vAlign w:val="bottom"/>
            <w:tcBorders>
              <w:right w:val="single" w:sz="8" w:color="9E318D"/>
            </w:tcBorders>
            <w:shd w:val="clear" w:color="auto" w:fill="9E318D"/>
          </w:tcPr>
          <w:p>
            <w:pPr>
              <w:spacing w:after="0"/>
              <w:rPr>
                <w:sz w:val="21"/>
                <w:szCs w:val="21"/>
                <w:color w:val="auto"/>
              </w:rPr>
            </w:pPr>
          </w:p>
        </w:tc>
        <w:tc>
          <w:tcPr>
            <w:tcW w:w="2900" w:type="dxa"/>
            <w:vAlign w:val="bottom"/>
            <w:tcBorders>
              <w:right w:val="single" w:sz="8" w:color="9E318D"/>
            </w:tcBorders>
            <w:shd w:val="clear" w:color="auto" w:fill="9E318D"/>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920" w:type="dxa"/>
            <w:vAlign w:val="bottom"/>
            <w:tcBorders>
              <w:left w:val="single" w:sz="8" w:color="9E318D"/>
              <w:right w:val="single" w:sz="8" w:color="9E318D"/>
            </w:tcBorders>
          </w:tcPr>
          <w:p>
            <w:pPr>
              <w:ind w:left="80"/>
              <w:spacing w:after="0"/>
              <w:rPr>
                <w:sz w:val="20"/>
                <w:szCs w:val="20"/>
                <w:color w:val="auto"/>
              </w:rPr>
            </w:pPr>
            <w:r>
              <w:rPr>
                <w:rFonts w:ascii="Arial" w:cs="Arial" w:eastAsia="Arial" w:hAnsi="Arial"/>
                <w:sz w:val="15"/>
                <w:szCs w:val="15"/>
                <w:b w:val="1"/>
                <w:bCs w:val="1"/>
                <w:color w:val="9E318D"/>
              </w:rPr>
              <w:t>Environmental impact</w:t>
            </w:r>
          </w:p>
        </w:tc>
        <w:tc>
          <w:tcPr>
            <w:tcW w:w="2900" w:type="dxa"/>
            <w:vAlign w:val="bottom"/>
            <w:tcBorders>
              <w:right w:val="single" w:sz="8" w:color="9E318D"/>
            </w:tcBorders>
          </w:tcPr>
          <w:p>
            <w:pPr>
              <w:ind w:left="60"/>
              <w:spacing w:after="0"/>
              <w:rPr>
                <w:sz w:val="20"/>
                <w:szCs w:val="20"/>
                <w:color w:val="auto"/>
              </w:rPr>
            </w:pPr>
            <w:r>
              <w:rPr>
                <w:rFonts w:ascii="Arial" w:cs="Arial" w:eastAsia="Arial" w:hAnsi="Arial"/>
                <w:sz w:val="15"/>
                <w:szCs w:val="15"/>
                <w:b w:val="1"/>
                <w:bCs w:val="1"/>
                <w:color w:val="9E318D"/>
              </w:rPr>
              <w:t>Health, safety and well-being</w:t>
            </w:r>
          </w:p>
        </w:tc>
        <w:tc>
          <w:tcPr>
            <w:tcW w:w="2900" w:type="dxa"/>
            <w:vAlign w:val="bottom"/>
            <w:tcBorders>
              <w:right w:val="single" w:sz="8" w:color="9E318D"/>
            </w:tcBorders>
          </w:tcPr>
          <w:p>
            <w:pPr>
              <w:ind w:left="40"/>
              <w:spacing w:after="0"/>
              <w:rPr>
                <w:sz w:val="20"/>
                <w:szCs w:val="20"/>
                <w:color w:val="auto"/>
              </w:rPr>
            </w:pPr>
            <w:r>
              <w:rPr>
                <w:rFonts w:ascii="Arial" w:cs="Arial" w:eastAsia="Arial" w:hAnsi="Arial"/>
                <w:sz w:val="15"/>
                <w:szCs w:val="15"/>
                <w:b w:val="1"/>
                <w:bCs w:val="1"/>
                <w:color w:val="9E318D"/>
              </w:rPr>
              <w:t>Legal compliance</w:t>
            </w:r>
          </w:p>
        </w:tc>
        <w:tc>
          <w:tcPr>
            <w:tcW w:w="0" w:type="dxa"/>
            <w:vAlign w:val="bottom"/>
          </w:tcPr>
          <w:p>
            <w:pPr>
              <w:spacing w:after="0"/>
              <w:rPr>
                <w:sz w:val="1"/>
                <w:szCs w:val="1"/>
                <w:color w:val="auto"/>
              </w:rPr>
            </w:pPr>
          </w:p>
        </w:tc>
      </w:tr>
      <w:tr>
        <w:trPr>
          <w:trHeight w:val="178"/>
        </w:trPr>
        <w:tc>
          <w:tcPr>
            <w:tcW w:w="2920" w:type="dxa"/>
            <w:vAlign w:val="bottom"/>
            <w:tcBorders>
              <w:left w:val="single" w:sz="8" w:color="9E318D"/>
              <w:right w:val="single" w:sz="8" w:color="9E318D"/>
            </w:tcBorders>
          </w:tcPr>
          <w:p>
            <w:pPr>
              <w:ind w:left="80"/>
              <w:spacing w:after="0"/>
              <w:rPr>
                <w:sz w:val="20"/>
                <w:szCs w:val="20"/>
                <w:color w:val="auto"/>
              </w:rPr>
            </w:pPr>
            <w:r>
              <w:rPr>
                <w:rFonts w:ascii="Arial" w:cs="Arial" w:eastAsia="Arial" w:hAnsi="Arial"/>
                <w:sz w:val="15"/>
                <w:szCs w:val="15"/>
                <w:b w:val="1"/>
                <w:bCs w:val="1"/>
                <w:color w:val="auto"/>
              </w:rPr>
              <w:t>Measuring and reducing the impact</w:t>
            </w:r>
          </w:p>
        </w:tc>
        <w:tc>
          <w:tcPr>
            <w:tcW w:w="2900" w:type="dxa"/>
            <w:vAlign w:val="bottom"/>
            <w:tcBorders>
              <w:right w:val="single" w:sz="8" w:color="9E318D"/>
            </w:tcBorders>
          </w:tcPr>
          <w:p>
            <w:pPr>
              <w:ind w:left="60"/>
              <w:spacing w:after="0"/>
              <w:rPr>
                <w:sz w:val="20"/>
                <w:szCs w:val="20"/>
                <w:color w:val="auto"/>
              </w:rPr>
            </w:pPr>
            <w:r>
              <w:rPr>
                <w:rFonts w:ascii="Arial" w:cs="Arial" w:eastAsia="Arial" w:hAnsi="Arial"/>
                <w:sz w:val="15"/>
                <w:szCs w:val="15"/>
                <w:b w:val="1"/>
                <w:bCs w:val="1"/>
                <w:color w:val="auto"/>
              </w:rPr>
              <w:t>We strive to be leaders in health and</w:t>
            </w:r>
          </w:p>
        </w:tc>
        <w:tc>
          <w:tcPr>
            <w:tcW w:w="2900" w:type="dxa"/>
            <w:vAlign w:val="bottom"/>
            <w:tcBorders>
              <w:right w:val="single" w:sz="8" w:color="9E318D"/>
            </w:tcBorders>
          </w:tcPr>
          <w:p>
            <w:pPr>
              <w:ind w:left="40"/>
              <w:spacing w:after="0"/>
              <w:rPr>
                <w:sz w:val="20"/>
                <w:szCs w:val="20"/>
                <w:color w:val="auto"/>
              </w:rPr>
            </w:pPr>
            <w:r>
              <w:rPr>
                <w:rFonts w:ascii="Arial" w:cs="Arial" w:eastAsia="Arial" w:hAnsi="Arial"/>
                <w:sz w:val="15"/>
                <w:szCs w:val="15"/>
                <w:b w:val="1"/>
                <w:bCs w:val="1"/>
                <w:color w:val="auto"/>
              </w:rPr>
              <w:t>Understanding that honest, ethical and</w:t>
            </w:r>
          </w:p>
        </w:tc>
        <w:tc>
          <w:tcPr>
            <w:tcW w:w="0" w:type="dxa"/>
            <w:vAlign w:val="bottom"/>
          </w:tcPr>
          <w:p>
            <w:pPr>
              <w:spacing w:after="0"/>
              <w:rPr>
                <w:sz w:val="1"/>
                <w:szCs w:val="1"/>
                <w:color w:val="auto"/>
              </w:rPr>
            </w:pPr>
          </w:p>
        </w:tc>
      </w:tr>
      <w:tr>
        <w:trPr>
          <w:trHeight w:val="178"/>
        </w:trPr>
        <w:tc>
          <w:tcPr>
            <w:tcW w:w="2920" w:type="dxa"/>
            <w:vAlign w:val="bottom"/>
            <w:tcBorders>
              <w:left w:val="single" w:sz="8" w:color="9E318D"/>
              <w:right w:val="single" w:sz="8" w:color="9E318D"/>
            </w:tcBorders>
          </w:tcPr>
          <w:p>
            <w:pPr>
              <w:ind w:left="80"/>
              <w:spacing w:after="0"/>
              <w:rPr>
                <w:sz w:val="20"/>
                <w:szCs w:val="20"/>
                <w:color w:val="auto"/>
              </w:rPr>
            </w:pPr>
            <w:r>
              <w:rPr>
                <w:rFonts w:ascii="Arial" w:cs="Arial" w:eastAsia="Arial" w:hAnsi="Arial"/>
                <w:sz w:val="15"/>
                <w:szCs w:val="15"/>
                <w:b w:val="1"/>
                <w:bCs w:val="1"/>
                <w:color w:val="auto"/>
              </w:rPr>
              <w:t>our activities have on the environment.</w:t>
            </w:r>
          </w:p>
        </w:tc>
        <w:tc>
          <w:tcPr>
            <w:tcW w:w="2900" w:type="dxa"/>
            <w:vAlign w:val="bottom"/>
            <w:tcBorders>
              <w:right w:val="single" w:sz="8" w:color="9E318D"/>
            </w:tcBorders>
          </w:tcPr>
          <w:p>
            <w:pPr>
              <w:ind w:left="60"/>
              <w:spacing w:after="0"/>
              <w:rPr>
                <w:sz w:val="20"/>
                <w:szCs w:val="20"/>
                <w:color w:val="auto"/>
              </w:rPr>
            </w:pPr>
            <w:r>
              <w:rPr>
                <w:rFonts w:ascii="Arial" w:cs="Arial" w:eastAsia="Arial" w:hAnsi="Arial"/>
                <w:sz w:val="15"/>
                <w:szCs w:val="15"/>
                <w:b w:val="1"/>
                <w:bCs w:val="1"/>
                <w:color w:val="auto"/>
              </w:rPr>
              <w:t>safety, safeguarding anyone that could</w:t>
            </w:r>
          </w:p>
        </w:tc>
        <w:tc>
          <w:tcPr>
            <w:tcW w:w="2900" w:type="dxa"/>
            <w:vAlign w:val="bottom"/>
            <w:tcBorders>
              <w:right w:val="single" w:sz="8" w:color="9E318D"/>
            </w:tcBorders>
          </w:tcPr>
          <w:p>
            <w:pPr>
              <w:ind w:left="40"/>
              <w:spacing w:after="0"/>
              <w:rPr>
                <w:sz w:val="20"/>
                <w:szCs w:val="20"/>
                <w:color w:val="auto"/>
              </w:rPr>
            </w:pPr>
            <w:r>
              <w:rPr>
                <w:rFonts w:ascii="Arial" w:cs="Arial" w:eastAsia="Arial" w:hAnsi="Arial"/>
                <w:sz w:val="15"/>
                <w:szCs w:val="15"/>
                <w:b w:val="1"/>
                <w:bCs w:val="1"/>
                <w:color w:val="auto"/>
              </w:rPr>
              <w:t>transparent conduct is vital to our</w:t>
            </w:r>
          </w:p>
        </w:tc>
        <w:tc>
          <w:tcPr>
            <w:tcW w:w="0" w:type="dxa"/>
            <w:vAlign w:val="bottom"/>
          </w:tcPr>
          <w:p>
            <w:pPr>
              <w:spacing w:after="0"/>
              <w:rPr>
                <w:sz w:val="1"/>
                <w:szCs w:val="1"/>
                <w:color w:val="auto"/>
              </w:rPr>
            </w:pPr>
          </w:p>
        </w:tc>
      </w:tr>
      <w:tr>
        <w:trPr>
          <w:trHeight w:val="178"/>
        </w:trPr>
        <w:tc>
          <w:tcPr>
            <w:tcW w:w="2920" w:type="dxa"/>
            <w:vAlign w:val="bottom"/>
            <w:tcBorders>
              <w:left w:val="single" w:sz="8" w:color="9E318D"/>
              <w:right w:val="single" w:sz="8" w:color="9E318D"/>
            </w:tcBorders>
            <w:vMerge w:val="restart"/>
          </w:tcPr>
          <w:p>
            <w:pPr>
              <w:ind w:left="80"/>
              <w:spacing w:after="0"/>
              <w:rPr>
                <w:sz w:val="20"/>
                <w:szCs w:val="20"/>
                <w:color w:val="auto"/>
              </w:rPr>
            </w:pPr>
            <w:r>
              <w:rPr>
                <w:rFonts w:ascii="Arial" w:cs="Arial" w:eastAsia="Arial" w:hAnsi="Arial"/>
                <w:sz w:val="15"/>
                <w:szCs w:val="15"/>
                <w:b w:val="1"/>
                <w:bCs w:val="1"/>
                <w:color w:val="9E318D"/>
              </w:rPr>
              <w:t>Product sustainability</w:t>
            </w:r>
          </w:p>
        </w:tc>
        <w:tc>
          <w:tcPr>
            <w:tcW w:w="2900" w:type="dxa"/>
            <w:vAlign w:val="bottom"/>
            <w:tcBorders>
              <w:right w:val="single" w:sz="8" w:color="9E318D"/>
            </w:tcBorders>
          </w:tcPr>
          <w:p>
            <w:pPr>
              <w:ind w:left="60"/>
              <w:spacing w:after="0"/>
              <w:rPr>
                <w:sz w:val="20"/>
                <w:szCs w:val="20"/>
                <w:color w:val="auto"/>
              </w:rPr>
            </w:pPr>
            <w:r>
              <w:rPr>
                <w:rFonts w:ascii="Arial" w:cs="Arial" w:eastAsia="Arial" w:hAnsi="Arial"/>
                <w:sz w:val="15"/>
                <w:szCs w:val="15"/>
                <w:b w:val="1"/>
                <w:bCs w:val="1"/>
                <w:color w:val="auto"/>
              </w:rPr>
              <w:t>be affected by our activities and</w:t>
            </w:r>
          </w:p>
        </w:tc>
        <w:tc>
          <w:tcPr>
            <w:tcW w:w="2900" w:type="dxa"/>
            <w:vAlign w:val="bottom"/>
            <w:tcBorders>
              <w:right w:val="single" w:sz="8" w:color="9E318D"/>
            </w:tcBorders>
          </w:tcPr>
          <w:p>
            <w:pPr>
              <w:ind w:left="40"/>
              <w:spacing w:after="0"/>
              <w:rPr>
                <w:sz w:val="20"/>
                <w:szCs w:val="20"/>
                <w:color w:val="auto"/>
              </w:rPr>
            </w:pPr>
            <w:r>
              <w:rPr>
                <w:rFonts w:ascii="Arial" w:cs="Arial" w:eastAsia="Arial" w:hAnsi="Arial"/>
                <w:sz w:val="15"/>
                <w:szCs w:val="15"/>
                <w:b w:val="1"/>
                <w:bCs w:val="1"/>
                <w:color w:val="auto"/>
              </w:rPr>
              <w:t>success and reputation.</w:t>
            </w:r>
          </w:p>
        </w:tc>
        <w:tc>
          <w:tcPr>
            <w:tcW w:w="0" w:type="dxa"/>
            <w:vAlign w:val="bottom"/>
          </w:tcPr>
          <w:p>
            <w:pPr>
              <w:spacing w:after="0"/>
              <w:rPr>
                <w:sz w:val="1"/>
                <w:szCs w:val="1"/>
                <w:color w:val="auto"/>
              </w:rPr>
            </w:pPr>
          </w:p>
        </w:tc>
      </w:tr>
      <w:tr>
        <w:trPr>
          <w:trHeight w:val="122"/>
        </w:trPr>
        <w:tc>
          <w:tcPr>
            <w:tcW w:w="2920" w:type="dxa"/>
            <w:vAlign w:val="bottom"/>
            <w:tcBorders>
              <w:left w:val="single" w:sz="8" w:color="9E318D"/>
              <w:right w:val="single" w:sz="8" w:color="9E318D"/>
            </w:tcBorders>
            <w:vMerge w:val="continue"/>
          </w:tcPr>
          <w:p>
            <w:pPr>
              <w:spacing w:after="0"/>
              <w:rPr>
                <w:sz w:val="10"/>
                <w:szCs w:val="10"/>
                <w:color w:val="auto"/>
              </w:rPr>
            </w:pPr>
          </w:p>
        </w:tc>
        <w:tc>
          <w:tcPr>
            <w:tcW w:w="2900" w:type="dxa"/>
            <w:vAlign w:val="bottom"/>
            <w:tcBorders>
              <w:right w:val="single" w:sz="8" w:color="9E318D"/>
            </w:tcBorders>
            <w:vMerge w:val="restart"/>
          </w:tcPr>
          <w:p>
            <w:pPr>
              <w:ind w:left="60"/>
              <w:spacing w:after="0"/>
              <w:rPr>
                <w:sz w:val="20"/>
                <w:szCs w:val="20"/>
                <w:color w:val="auto"/>
              </w:rPr>
            </w:pPr>
            <w:r>
              <w:rPr>
                <w:rFonts w:ascii="Arial" w:cs="Arial" w:eastAsia="Arial" w:hAnsi="Arial"/>
                <w:sz w:val="15"/>
                <w:szCs w:val="15"/>
                <w:b w:val="1"/>
                <w:bCs w:val="1"/>
                <w:color w:val="auto"/>
              </w:rPr>
              <w:t>operations.</w:t>
            </w:r>
          </w:p>
        </w:tc>
        <w:tc>
          <w:tcPr>
            <w:tcW w:w="290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5"/>
                <w:szCs w:val="15"/>
                <w:b w:val="1"/>
                <w:bCs w:val="1"/>
                <w:color w:val="auto"/>
              </w:rPr>
              <w:t>Implementation of robust operating</w:t>
            </w:r>
          </w:p>
        </w:tc>
        <w:tc>
          <w:tcPr>
            <w:tcW w:w="0" w:type="dxa"/>
            <w:vAlign w:val="bottom"/>
          </w:tcPr>
          <w:p>
            <w:pPr>
              <w:spacing w:after="0"/>
              <w:rPr>
                <w:sz w:val="1"/>
                <w:szCs w:val="1"/>
                <w:color w:val="auto"/>
              </w:rPr>
            </w:pPr>
          </w:p>
        </w:tc>
      </w:tr>
      <w:tr>
        <w:trPr>
          <w:trHeight w:val="56"/>
        </w:trPr>
        <w:tc>
          <w:tcPr>
            <w:tcW w:w="2920" w:type="dxa"/>
            <w:vAlign w:val="bottom"/>
            <w:tcBorders>
              <w:left w:val="single" w:sz="8" w:color="9E318D"/>
              <w:right w:val="single" w:sz="8" w:color="9E318D"/>
            </w:tcBorders>
            <w:vMerge w:val="restart"/>
          </w:tcPr>
          <w:p>
            <w:pPr>
              <w:ind w:left="80"/>
              <w:spacing w:after="0"/>
              <w:rPr>
                <w:sz w:val="20"/>
                <w:szCs w:val="20"/>
                <w:color w:val="auto"/>
              </w:rPr>
            </w:pPr>
            <w:r>
              <w:rPr>
                <w:rFonts w:ascii="Arial" w:cs="Arial" w:eastAsia="Arial" w:hAnsi="Arial"/>
                <w:sz w:val="15"/>
                <w:szCs w:val="15"/>
                <w:b w:val="1"/>
                <w:bCs w:val="1"/>
                <w:color w:val="auto"/>
              </w:rPr>
              <w:t>Supplying safe, sustainable products,</w:t>
            </w:r>
          </w:p>
        </w:tc>
        <w:tc>
          <w:tcPr>
            <w:tcW w:w="2900" w:type="dxa"/>
            <w:vAlign w:val="bottom"/>
            <w:tcBorders>
              <w:right w:val="single" w:sz="8" w:color="9E318D"/>
            </w:tcBorders>
            <w:vMerge w:val="continue"/>
          </w:tcPr>
          <w:p>
            <w:pPr>
              <w:spacing w:after="0"/>
              <w:rPr>
                <w:sz w:val="4"/>
                <w:szCs w:val="4"/>
                <w:color w:val="auto"/>
              </w:rPr>
            </w:pPr>
          </w:p>
        </w:tc>
        <w:tc>
          <w:tcPr>
            <w:tcW w:w="290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920" w:type="dxa"/>
            <w:vAlign w:val="bottom"/>
            <w:tcBorders>
              <w:left w:val="single" w:sz="8" w:color="9E318D"/>
              <w:right w:val="single" w:sz="8" w:color="9E318D"/>
            </w:tcBorders>
            <w:vMerge w:val="continue"/>
          </w:tcPr>
          <w:p>
            <w:pPr>
              <w:spacing w:after="0"/>
              <w:rPr>
                <w:sz w:val="10"/>
                <w:szCs w:val="10"/>
                <w:color w:val="auto"/>
              </w:rPr>
            </w:pPr>
          </w:p>
        </w:tc>
        <w:tc>
          <w:tcPr>
            <w:tcW w:w="2900" w:type="dxa"/>
            <w:vAlign w:val="bottom"/>
            <w:tcBorders>
              <w:right w:val="single" w:sz="8" w:color="9E318D"/>
            </w:tcBorders>
          </w:tcPr>
          <w:p>
            <w:pPr>
              <w:spacing w:after="0"/>
              <w:rPr>
                <w:sz w:val="10"/>
                <w:szCs w:val="10"/>
                <w:color w:val="auto"/>
              </w:rPr>
            </w:pPr>
          </w:p>
        </w:tc>
        <w:tc>
          <w:tcPr>
            <w:tcW w:w="290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5"/>
                <w:szCs w:val="15"/>
                <w:b w:val="1"/>
                <w:bCs w:val="1"/>
                <w:color w:val="auto"/>
              </w:rPr>
              <w:t>systems and processes that protect</w:t>
            </w:r>
          </w:p>
        </w:tc>
        <w:tc>
          <w:tcPr>
            <w:tcW w:w="0" w:type="dxa"/>
            <w:vAlign w:val="bottom"/>
          </w:tcPr>
          <w:p>
            <w:pPr>
              <w:spacing w:after="0"/>
              <w:rPr>
                <w:sz w:val="1"/>
                <w:szCs w:val="1"/>
                <w:color w:val="auto"/>
              </w:rPr>
            </w:pPr>
          </w:p>
        </w:tc>
      </w:tr>
      <w:tr>
        <w:trPr>
          <w:trHeight w:val="56"/>
        </w:trPr>
        <w:tc>
          <w:tcPr>
            <w:tcW w:w="2920" w:type="dxa"/>
            <w:vAlign w:val="bottom"/>
            <w:tcBorders>
              <w:left w:val="single" w:sz="8" w:color="9E318D"/>
              <w:right w:val="single" w:sz="8" w:color="9E318D"/>
            </w:tcBorders>
            <w:vMerge w:val="restart"/>
          </w:tcPr>
          <w:p>
            <w:pPr>
              <w:ind w:left="80"/>
              <w:spacing w:after="0"/>
              <w:rPr>
                <w:sz w:val="20"/>
                <w:szCs w:val="20"/>
                <w:color w:val="auto"/>
              </w:rPr>
            </w:pPr>
            <w:r>
              <w:rPr>
                <w:rFonts w:ascii="Arial" w:cs="Arial" w:eastAsia="Arial" w:hAnsi="Arial"/>
                <w:sz w:val="15"/>
                <w:szCs w:val="15"/>
                <w:b w:val="1"/>
                <w:bCs w:val="1"/>
                <w:color w:val="auto"/>
              </w:rPr>
              <w:t>designed to meet the needs of society</w:t>
            </w:r>
          </w:p>
        </w:tc>
        <w:tc>
          <w:tcPr>
            <w:tcW w:w="2900" w:type="dxa"/>
            <w:vAlign w:val="bottom"/>
            <w:tcBorders>
              <w:right w:val="single" w:sz="8" w:color="9E318D"/>
            </w:tcBorders>
            <w:vMerge w:val="restart"/>
          </w:tcPr>
          <w:p>
            <w:pPr>
              <w:ind w:left="60"/>
              <w:spacing w:after="0"/>
              <w:rPr>
                <w:sz w:val="20"/>
                <w:szCs w:val="20"/>
                <w:color w:val="auto"/>
              </w:rPr>
            </w:pPr>
            <w:r>
              <w:rPr>
                <w:rFonts w:ascii="Arial" w:cs="Arial" w:eastAsia="Arial" w:hAnsi="Arial"/>
                <w:sz w:val="15"/>
                <w:szCs w:val="15"/>
                <w:b w:val="1"/>
                <w:bCs w:val="1"/>
                <w:color w:val="9E318D"/>
              </w:rPr>
              <w:t>Employees</w:t>
            </w:r>
          </w:p>
        </w:tc>
        <w:tc>
          <w:tcPr>
            <w:tcW w:w="290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920" w:type="dxa"/>
            <w:vAlign w:val="bottom"/>
            <w:tcBorders>
              <w:left w:val="single" w:sz="8" w:color="9E318D"/>
              <w:right w:val="single" w:sz="8" w:color="9E318D"/>
            </w:tcBorders>
            <w:vMerge w:val="continue"/>
          </w:tcPr>
          <w:p>
            <w:pPr>
              <w:spacing w:after="0"/>
              <w:rPr>
                <w:sz w:val="10"/>
                <w:szCs w:val="10"/>
                <w:color w:val="auto"/>
              </w:rPr>
            </w:pPr>
          </w:p>
        </w:tc>
        <w:tc>
          <w:tcPr>
            <w:tcW w:w="2900" w:type="dxa"/>
            <w:vAlign w:val="bottom"/>
            <w:tcBorders>
              <w:right w:val="single" w:sz="8" w:color="9E318D"/>
            </w:tcBorders>
            <w:vMerge w:val="continue"/>
          </w:tcPr>
          <w:p>
            <w:pPr>
              <w:spacing w:after="0"/>
              <w:rPr>
                <w:sz w:val="10"/>
                <w:szCs w:val="10"/>
                <w:color w:val="auto"/>
              </w:rPr>
            </w:pPr>
          </w:p>
        </w:tc>
        <w:tc>
          <w:tcPr>
            <w:tcW w:w="290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5"/>
                <w:szCs w:val="15"/>
                <w:b w:val="1"/>
                <w:bCs w:val="1"/>
                <w:color w:val="auto"/>
              </w:rPr>
              <w:t>the security of the company and its</w:t>
            </w:r>
          </w:p>
        </w:tc>
        <w:tc>
          <w:tcPr>
            <w:tcW w:w="0" w:type="dxa"/>
            <w:vAlign w:val="bottom"/>
          </w:tcPr>
          <w:p>
            <w:pPr>
              <w:spacing w:after="0"/>
              <w:rPr>
                <w:sz w:val="1"/>
                <w:szCs w:val="1"/>
                <w:color w:val="auto"/>
              </w:rPr>
            </w:pPr>
          </w:p>
        </w:tc>
      </w:tr>
      <w:tr>
        <w:trPr>
          <w:trHeight w:val="56"/>
        </w:trPr>
        <w:tc>
          <w:tcPr>
            <w:tcW w:w="2920" w:type="dxa"/>
            <w:vAlign w:val="bottom"/>
            <w:tcBorders>
              <w:left w:val="single" w:sz="8" w:color="9E318D"/>
              <w:right w:val="single" w:sz="8" w:color="9E318D"/>
            </w:tcBorders>
            <w:vMerge w:val="restart"/>
          </w:tcPr>
          <w:p>
            <w:pPr>
              <w:ind w:left="80"/>
              <w:spacing w:after="0"/>
              <w:rPr>
                <w:sz w:val="20"/>
                <w:szCs w:val="20"/>
                <w:color w:val="auto"/>
              </w:rPr>
            </w:pPr>
            <w:r>
              <w:rPr>
                <w:rFonts w:ascii="Arial" w:cs="Arial" w:eastAsia="Arial" w:hAnsi="Arial"/>
                <w:sz w:val="15"/>
                <w:szCs w:val="15"/>
                <w:b w:val="1"/>
                <w:bCs w:val="1"/>
                <w:color w:val="auto"/>
              </w:rPr>
              <w:t>now and in the future, to help</w:t>
            </w:r>
          </w:p>
        </w:tc>
        <w:tc>
          <w:tcPr>
            <w:tcW w:w="2900" w:type="dxa"/>
            <w:vAlign w:val="bottom"/>
            <w:tcBorders>
              <w:right w:val="single" w:sz="8" w:color="9E318D"/>
            </w:tcBorders>
            <w:vMerge w:val="restart"/>
          </w:tcPr>
          <w:p>
            <w:pPr>
              <w:ind w:left="60"/>
              <w:spacing w:after="0"/>
              <w:rPr>
                <w:sz w:val="20"/>
                <w:szCs w:val="20"/>
                <w:color w:val="auto"/>
              </w:rPr>
            </w:pPr>
            <w:r>
              <w:rPr>
                <w:rFonts w:ascii="Arial" w:cs="Arial" w:eastAsia="Arial" w:hAnsi="Arial"/>
                <w:sz w:val="15"/>
                <w:szCs w:val="15"/>
                <w:b w:val="1"/>
                <w:bCs w:val="1"/>
                <w:color w:val="auto"/>
              </w:rPr>
              <w:t>Investing in the growth, diversity and</w:t>
            </w:r>
          </w:p>
        </w:tc>
        <w:tc>
          <w:tcPr>
            <w:tcW w:w="290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920" w:type="dxa"/>
            <w:vAlign w:val="bottom"/>
            <w:tcBorders>
              <w:left w:val="single" w:sz="8" w:color="9E318D"/>
              <w:right w:val="single" w:sz="8" w:color="9E318D"/>
            </w:tcBorders>
            <w:vMerge w:val="continue"/>
          </w:tcPr>
          <w:p>
            <w:pPr>
              <w:spacing w:after="0"/>
              <w:rPr>
                <w:sz w:val="10"/>
                <w:szCs w:val="10"/>
                <w:color w:val="auto"/>
              </w:rPr>
            </w:pPr>
          </w:p>
        </w:tc>
        <w:tc>
          <w:tcPr>
            <w:tcW w:w="2900" w:type="dxa"/>
            <w:vAlign w:val="bottom"/>
            <w:tcBorders>
              <w:right w:val="single" w:sz="8" w:color="9E318D"/>
            </w:tcBorders>
            <w:vMerge w:val="continue"/>
          </w:tcPr>
          <w:p>
            <w:pPr>
              <w:spacing w:after="0"/>
              <w:rPr>
                <w:sz w:val="10"/>
                <w:szCs w:val="10"/>
                <w:color w:val="auto"/>
              </w:rPr>
            </w:pPr>
          </w:p>
        </w:tc>
        <w:tc>
          <w:tcPr>
            <w:tcW w:w="290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5"/>
                <w:szCs w:val="15"/>
                <w:b w:val="1"/>
                <w:bCs w:val="1"/>
                <w:color w:val="auto"/>
              </w:rPr>
              <w:t>employees, information and</w:t>
            </w:r>
          </w:p>
        </w:tc>
        <w:tc>
          <w:tcPr>
            <w:tcW w:w="0" w:type="dxa"/>
            <w:vAlign w:val="bottom"/>
          </w:tcPr>
          <w:p>
            <w:pPr>
              <w:spacing w:after="0"/>
              <w:rPr>
                <w:sz w:val="1"/>
                <w:szCs w:val="1"/>
                <w:color w:val="auto"/>
              </w:rPr>
            </w:pPr>
          </w:p>
        </w:tc>
      </w:tr>
      <w:tr>
        <w:trPr>
          <w:trHeight w:val="56"/>
        </w:trPr>
        <w:tc>
          <w:tcPr>
            <w:tcW w:w="2920" w:type="dxa"/>
            <w:vAlign w:val="bottom"/>
            <w:tcBorders>
              <w:left w:val="single" w:sz="8" w:color="9E318D"/>
              <w:right w:val="single" w:sz="8" w:color="9E318D"/>
            </w:tcBorders>
            <w:vMerge w:val="restart"/>
          </w:tcPr>
          <w:p>
            <w:pPr>
              <w:ind w:left="80"/>
              <w:spacing w:after="0"/>
              <w:rPr>
                <w:sz w:val="20"/>
                <w:szCs w:val="20"/>
                <w:color w:val="auto"/>
              </w:rPr>
            </w:pPr>
            <w:r>
              <w:rPr>
                <w:rFonts w:ascii="Arial" w:cs="Arial" w:eastAsia="Arial" w:hAnsi="Arial"/>
                <w:sz w:val="15"/>
                <w:szCs w:val="15"/>
                <w:b w:val="1"/>
                <w:bCs w:val="1"/>
                <w:color w:val="auto"/>
              </w:rPr>
              <w:t>customers achieve their sustainability</w:t>
            </w:r>
          </w:p>
        </w:tc>
        <w:tc>
          <w:tcPr>
            <w:tcW w:w="2900" w:type="dxa"/>
            <w:vAlign w:val="bottom"/>
            <w:tcBorders>
              <w:right w:val="single" w:sz="8" w:color="9E318D"/>
            </w:tcBorders>
            <w:vMerge w:val="restart"/>
          </w:tcPr>
          <w:p>
            <w:pPr>
              <w:ind w:left="60"/>
              <w:spacing w:after="0"/>
              <w:rPr>
                <w:sz w:val="20"/>
                <w:szCs w:val="20"/>
                <w:color w:val="auto"/>
              </w:rPr>
            </w:pPr>
            <w:r>
              <w:rPr>
                <w:rFonts w:ascii="Arial" w:cs="Arial" w:eastAsia="Arial" w:hAnsi="Arial"/>
                <w:sz w:val="15"/>
                <w:szCs w:val="15"/>
                <w:b w:val="1"/>
                <w:bCs w:val="1"/>
                <w:color w:val="auto"/>
              </w:rPr>
              <w:t>development of our employees helps</w:t>
            </w:r>
          </w:p>
        </w:tc>
        <w:tc>
          <w:tcPr>
            <w:tcW w:w="290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920" w:type="dxa"/>
            <w:vAlign w:val="bottom"/>
            <w:tcBorders>
              <w:left w:val="single" w:sz="8" w:color="9E318D"/>
              <w:right w:val="single" w:sz="8" w:color="9E318D"/>
            </w:tcBorders>
            <w:vMerge w:val="continue"/>
          </w:tcPr>
          <w:p>
            <w:pPr>
              <w:spacing w:after="0"/>
              <w:rPr>
                <w:sz w:val="10"/>
                <w:szCs w:val="10"/>
                <w:color w:val="auto"/>
              </w:rPr>
            </w:pPr>
          </w:p>
        </w:tc>
        <w:tc>
          <w:tcPr>
            <w:tcW w:w="2900" w:type="dxa"/>
            <w:vAlign w:val="bottom"/>
            <w:tcBorders>
              <w:right w:val="single" w:sz="8" w:color="9E318D"/>
            </w:tcBorders>
            <w:vMerge w:val="continue"/>
          </w:tcPr>
          <w:p>
            <w:pPr>
              <w:spacing w:after="0"/>
              <w:rPr>
                <w:sz w:val="10"/>
                <w:szCs w:val="10"/>
                <w:color w:val="auto"/>
              </w:rPr>
            </w:pPr>
          </w:p>
        </w:tc>
        <w:tc>
          <w:tcPr>
            <w:tcW w:w="290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5"/>
                <w:szCs w:val="15"/>
                <w:b w:val="1"/>
                <w:bCs w:val="1"/>
                <w:color w:val="auto"/>
              </w:rPr>
              <w:t>intellectual property.</w:t>
            </w:r>
          </w:p>
        </w:tc>
        <w:tc>
          <w:tcPr>
            <w:tcW w:w="0" w:type="dxa"/>
            <w:vAlign w:val="bottom"/>
          </w:tcPr>
          <w:p>
            <w:pPr>
              <w:spacing w:after="0"/>
              <w:rPr>
                <w:sz w:val="1"/>
                <w:szCs w:val="1"/>
                <w:color w:val="auto"/>
              </w:rPr>
            </w:pPr>
          </w:p>
        </w:tc>
      </w:tr>
      <w:tr>
        <w:trPr>
          <w:trHeight w:val="80"/>
        </w:trPr>
        <w:tc>
          <w:tcPr>
            <w:tcW w:w="2920" w:type="dxa"/>
            <w:vAlign w:val="bottom"/>
            <w:tcBorders>
              <w:left w:val="single" w:sz="8" w:color="9E318D"/>
              <w:right w:val="single" w:sz="8" w:color="9E318D"/>
            </w:tcBorders>
            <w:vMerge w:val="restart"/>
          </w:tcPr>
          <w:p>
            <w:pPr>
              <w:ind w:left="80"/>
              <w:spacing w:after="0"/>
              <w:rPr>
                <w:sz w:val="20"/>
                <w:szCs w:val="20"/>
                <w:color w:val="auto"/>
              </w:rPr>
            </w:pPr>
            <w:r>
              <w:rPr>
                <w:rFonts w:ascii="Arial" w:cs="Arial" w:eastAsia="Arial" w:hAnsi="Arial"/>
                <w:sz w:val="15"/>
                <w:szCs w:val="15"/>
                <w:b w:val="1"/>
                <w:bCs w:val="1"/>
                <w:color w:val="auto"/>
              </w:rPr>
              <w:t>goals.</w:t>
            </w:r>
          </w:p>
        </w:tc>
        <w:tc>
          <w:tcPr>
            <w:tcW w:w="2900" w:type="dxa"/>
            <w:vAlign w:val="bottom"/>
            <w:tcBorders>
              <w:right w:val="single" w:sz="8" w:color="9E318D"/>
            </w:tcBorders>
            <w:vMerge w:val="restart"/>
          </w:tcPr>
          <w:p>
            <w:pPr>
              <w:ind w:left="60"/>
              <w:spacing w:after="0"/>
              <w:rPr>
                <w:sz w:val="20"/>
                <w:szCs w:val="20"/>
                <w:color w:val="auto"/>
              </w:rPr>
            </w:pPr>
            <w:r>
              <w:rPr>
                <w:rFonts w:ascii="Arial" w:cs="Arial" w:eastAsia="Arial" w:hAnsi="Arial"/>
                <w:sz w:val="15"/>
                <w:szCs w:val="15"/>
                <w:b w:val="1"/>
                <w:bCs w:val="1"/>
                <w:color w:val="auto"/>
              </w:rPr>
              <w:t>us to attract talent and achieve long-</w:t>
            </w:r>
          </w:p>
        </w:tc>
        <w:tc>
          <w:tcPr>
            <w:tcW w:w="2900" w:type="dxa"/>
            <w:vAlign w:val="bottom"/>
            <w:tcBorders>
              <w:right w:val="single" w:sz="8" w:color="9E318D"/>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920" w:type="dxa"/>
            <w:vAlign w:val="bottom"/>
            <w:tcBorders>
              <w:left w:val="single" w:sz="8" w:color="9E318D"/>
              <w:right w:val="single" w:sz="8" w:color="9E318D"/>
            </w:tcBorders>
            <w:vMerge w:val="continue"/>
          </w:tcPr>
          <w:p>
            <w:pPr>
              <w:spacing w:after="0"/>
              <w:rPr>
                <w:sz w:val="8"/>
                <w:szCs w:val="8"/>
                <w:color w:val="auto"/>
              </w:rPr>
            </w:pPr>
          </w:p>
        </w:tc>
        <w:tc>
          <w:tcPr>
            <w:tcW w:w="2900" w:type="dxa"/>
            <w:vAlign w:val="bottom"/>
            <w:tcBorders>
              <w:right w:val="single" w:sz="8" w:color="9E318D"/>
            </w:tcBorders>
            <w:vMerge w:val="continue"/>
          </w:tcPr>
          <w:p>
            <w:pPr>
              <w:spacing w:after="0"/>
              <w:rPr>
                <w:sz w:val="8"/>
                <w:szCs w:val="8"/>
                <w:color w:val="auto"/>
              </w:rPr>
            </w:pPr>
          </w:p>
        </w:tc>
        <w:tc>
          <w:tcPr>
            <w:tcW w:w="2900" w:type="dxa"/>
            <w:vAlign w:val="bottom"/>
            <w:tcBorders>
              <w:right w:val="single" w:sz="8" w:color="9E318D"/>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920" w:type="dxa"/>
            <w:vAlign w:val="bottom"/>
            <w:tcBorders>
              <w:left w:val="single" w:sz="8" w:color="9E318D"/>
              <w:right w:val="single" w:sz="8" w:color="9E318D"/>
            </w:tcBorders>
          </w:tcPr>
          <w:p>
            <w:pPr>
              <w:spacing w:after="0"/>
              <w:rPr>
                <w:sz w:val="15"/>
                <w:szCs w:val="15"/>
                <w:color w:val="auto"/>
              </w:rPr>
            </w:pPr>
          </w:p>
        </w:tc>
        <w:tc>
          <w:tcPr>
            <w:tcW w:w="2900" w:type="dxa"/>
            <w:vAlign w:val="bottom"/>
            <w:tcBorders>
              <w:right w:val="single" w:sz="8" w:color="9E318D"/>
            </w:tcBorders>
          </w:tcPr>
          <w:p>
            <w:pPr>
              <w:ind w:left="60"/>
              <w:spacing w:after="0"/>
              <w:rPr>
                <w:sz w:val="20"/>
                <w:szCs w:val="20"/>
                <w:color w:val="auto"/>
              </w:rPr>
            </w:pPr>
            <w:r>
              <w:rPr>
                <w:rFonts w:ascii="Arial" w:cs="Arial" w:eastAsia="Arial" w:hAnsi="Arial"/>
                <w:sz w:val="15"/>
                <w:szCs w:val="15"/>
                <w:b w:val="1"/>
                <w:bCs w:val="1"/>
                <w:color w:val="auto"/>
              </w:rPr>
              <w:t>term success.</w:t>
            </w:r>
          </w:p>
        </w:tc>
        <w:tc>
          <w:tcPr>
            <w:tcW w:w="2900" w:type="dxa"/>
            <w:vAlign w:val="bottom"/>
            <w:tcBorders>
              <w:right w:val="single" w:sz="8" w:color="9E318D"/>
            </w:tcBorders>
          </w:tcPr>
          <w:p>
            <w:pPr>
              <w:ind w:left="40"/>
              <w:spacing w:after="0"/>
              <w:rPr>
                <w:sz w:val="20"/>
                <w:szCs w:val="20"/>
                <w:color w:val="auto"/>
              </w:rPr>
            </w:pPr>
            <w:r>
              <w:rPr>
                <w:rFonts w:ascii="Arial" w:cs="Arial" w:eastAsia="Arial" w:hAnsi="Arial"/>
                <w:sz w:val="15"/>
                <w:szCs w:val="15"/>
                <w:b w:val="1"/>
                <w:bCs w:val="1"/>
                <w:color w:val="9E318D"/>
              </w:rPr>
              <w:t>Third-party management</w:t>
            </w:r>
          </w:p>
        </w:tc>
        <w:tc>
          <w:tcPr>
            <w:tcW w:w="0" w:type="dxa"/>
            <w:vAlign w:val="bottom"/>
          </w:tcPr>
          <w:p>
            <w:pPr>
              <w:spacing w:after="0"/>
              <w:rPr>
                <w:sz w:val="1"/>
                <w:szCs w:val="1"/>
                <w:color w:val="auto"/>
              </w:rPr>
            </w:pPr>
          </w:p>
        </w:tc>
      </w:tr>
      <w:tr>
        <w:trPr>
          <w:trHeight w:val="178"/>
        </w:trPr>
        <w:tc>
          <w:tcPr>
            <w:tcW w:w="2920" w:type="dxa"/>
            <w:vAlign w:val="bottom"/>
            <w:tcBorders>
              <w:left w:val="single" w:sz="8" w:color="9E318D"/>
              <w:right w:val="single" w:sz="8" w:color="9E318D"/>
            </w:tcBorders>
          </w:tcPr>
          <w:p>
            <w:pPr>
              <w:spacing w:after="0"/>
              <w:rPr>
                <w:sz w:val="15"/>
                <w:szCs w:val="15"/>
                <w:color w:val="auto"/>
              </w:rPr>
            </w:pPr>
          </w:p>
        </w:tc>
        <w:tc>
          <w:tcPr>
            <w:tcW w:w="2900" w:type="dxa"/>
            <w:vAlign w:val="bottom"/>
            <w:tcBorders>
              <w:right w:val="single" w:sz="8" w:color="9E318D"/>
            </w:tcBorders>
            <w:vMerge w:val="restart"/>
          </w:tcPr>
          <w:p>
            <w:pPr>
              <w:ind w:left="60"/>
              <w:spacing w:after="0"/>
              <w:rPr>
                <w:sz w:val="20"/>
                <w:szCs w:val="20"/>
                <w:color w:val="auto"/>
              </w:rPr>
            </w:pPr>
            <w:r>
              <w:rPr>
                <w:rFonts w:ascii="Arial" w:cs="Arial" w:eastAsia="Arial" w:hAnsi="Arial"/>
                <w:sz w:val="15"/>
                <w:szCs w:val="15"/>
                <w:b w:val="1"/>
                <w:bCs w:val="1"/>
                <w:color w:val="9E318D"/>
              </w:rPr>
              <w:t>Community engagement</w:t>
            </w:r>
          </w:p>
        </w:tc>
        <w:tc>
          <w:tcPr>
            <w:tcW w:w="2900" w:type="dxa"/>
            <w:vAlign w:val="bottom"/>
            <w:tcBorders>
              <w:right w:val="single" w:sz="8" w:color="9E318D"/>
            </w:tcBorders>
          </w:tcPr>
          <w:p>
            <w:pPr>
              <w:ind w:left="40"/>
              <w:spacing w:after="0"/>
              <w:rPr>
                <w:sz w:val="20"/>
                <w:szCs w:val="20"/>
                <w:color w:val="auto"/>
              </w:rPr>
            </w:pPr>
            <w:r>
              <w:rPr>
                <w:rFonts w:ascii="Arial" w:cs="Arial" w:eastAsia="Arial" w:hAnsi="Arial"/>
                <w:sz w:val="15"/>
                <w:szCs w:val="15"/>
                <w:b w:val="1"/>
                <w:bCs w:val="1"/>
                <w:color w:val="auto"/>
              </w:rPr>
              <w:t>Verifying our supply chain complies</w:t>
            </w:r>
          </w:p>
        </w:tc>
        <w:tc>
          <w:tcPr>
            <w:tcW w:w="0" w:type="dxa"/>
            <w:vAlign w:val="bottom"/>
          </w:tcPr>
          <w:p>
            <w:pPr>
              <w:spacing w:after="0"/>
              <w:rPr>
                <w:sz w:val="1"/>
                <w:szCs w:val="1"/>
                <w:color w:val="auto"/>
              </w:rPr>
            </w:pPr>
          </w:p>
        </w:tc>
      </w:tr>
      <w:tr>
        <w:trPr>
          <w:trHeight w:val="122"/>
        </w:trPr>
        <w:tc>
          <w:tcPr>
            <w:tcW w:w="2920" w:type="dxa"/>
            <w:vAlign w:val="bottom"/>
            <w:tcBorders>
              <w:left w:val="single" w:sz="8" w:color="9E318D"/>
              <w:right w:val="single" w:sz="8" w:color="9E318D"/>
            </w:tcBorders>
          </w:tcPr>
          <w:p>
            <w:pPr>
              <w:spacing w:after="0"/>
              <w:rPr>
                <w:sz w:val="10"/>
                <w:szCs w:val="10"/>
                <w:color w:val="auto"/>
              </w:rPr>
            </w:pPr>
          </w:p>
        </w:tc>
        <w:tc>
          <w:tcPr>
            <w:tcW w:w="2900" w:type="dxa"/>
            <w:vAlign w:val="bottom"/>
            <w:tcBorders>
              <w:right w:val="single" w:sz="8" w:color="9E318D"/>
            </w:tcBorders>
            <w:vMerge w:val="continue"/>
          </w:tcPr>
          <w:p>
            <w:pPr>
              <w:spacing w:after="0"/>
              <w:rPr>
                <w:sz w:val="10"/>
                <w:szCs w:val="10"/>
                <w:color w:val="auto"/>
              </w:rPr>
            </w:pPr>
          </w:p>
        </w:tc>
        <w:tc>
          <w:tcPr>
            <w:tcW w:w="290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5"/>
                <w:szCs w:val="15"/>
                <w:b w:val="1"/>
                <w:bCs w:val="1"/>
                <w:color w:val="auto"/>
              </w:rPr>
              <w:t>with legal, ethical and social</w:t>
            </w:r>
          </w:p>
        </w:tc>
        <w:tc>
          <w:tcPr>
            <w:tcW w:w="0" w:type="dxa"/>
            <w:vAlign w:val="bottom"/>
          </w:tcPr>
          <w:p>
            <w:pPr>
              <w:spacing w:after="0"/>
              <w:rPr>
                <w:sz w:val="1"/>
                <w:szCs w:val="1"/>
                <w:color w:val="auto"/>
              </w:rPr>
            </w:pPr>
          </w:p>
        </w:tc>
      </w:tr>
      <w:tr>
        <w:trPr>
          <w:trHeight w:val="56"/>
        </w:trPr>
        <w:tc>
          <w:tcPr>
            <w:tcW w:w="2920" w:type="dxa"/>
            <w:vAlign w:val="bottom"/>
            <w:tcBorders>
              <w:left w:val="single" w:sz="8" w:color="9E318D"/>
              <w:right w:val="single" w:sz="8" w:color="9E318D"/>
            </w:tcBorders>
          </w:tcPr>
          <w:p>
            <w:pPr>
              <w:spacing w:after="0"/>
              <w:rPr>
                <w:sz w:val="4"/>
                <w:szCs w:val="4"/>
                <w:color w:val="auto"/>
              </w:rPr>
            </w:pPr>
          </w:p>
        </w:tc>
        <w:tc>
          <w:tcPr>
            <w:tcW w:w="2900" w:type="dxa"/>
            <w:vAlign w:val="bottom"/>
            <w:tcBorders>
              <w:right w:val="single" w:sz="8" w:color="9E318D"/>
            </w:tcBorders>
            <w:vMerge w:val="restart"/>
          </w:tcPr>
          <w:p>
            <w:pPr>
              <w:ind w:left="60"/>
              <w:spacing w:after="0"/>
              <w:rPr>
                <w:sz w:val="20"/>
                <w:szCs w:val="20"/>
                <w:color w:val="auto"/>
              </w:rPr>
            </w:pPr>
            <w:r>
              <w:rPr>
                <w:rFonts w:ascii="Arial" w:cs="Arial" w:eastAsia="Arial" w:hAnsi="Arial"/>
                <w:sz w:val="15"/>
                <w:szCs w:val="15"/>
                <w:b w:val="1"/>
                <w:bCs w:val="1"/>
                <w:color w:val="auto"/>
              </w:rPr>
              <w:t>Supporting local communities through</w:t>
            </w:r>
          </w:p>
        </w:tc>
        <w:tc>
          <w:tcPr>
            <w:tcW w:w="290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920" w:type="dxa"/>
            <w:vAlign w:val="bottom"/>
            <w:tcBorders>
              <w:left w:val="single" w:sz="8" w:color="9E318D"/>
              <w:right w:val="single" w:sz="8" w:color="9E318D"/>
            </w:tcBorders>
          </w:tcPr>
          <w:p>
            <w:pPr>
              <w:spacing w:after="0"/>
              <w:rPr>
                <w:sz w:val="12"/>
                <w:szCs w:val="12"/>
                <w:color w:val="auto"/>
              </w:rPr>
            </w:pPr>
          </w:p>
        </w:tc>
        <w:tc>
          <w:tcPr>
            <w:tcW w:w="2900" w:type="dxa"/>
            <w:vAlign w:val="bottom"/>
            <w:tcBorders>
              <w:right w:val="single" w:sz="8" w:color="9E318D"/>
            </w:tcBorders>
            <w:vMerge w:val="continue"/>
          </w:tcPr>
          <w:p>
            <w:pPr>
              <w:spacing w:after="0"/>
              <w:rPr>
                <w:sz w:val="12"/>
                <w:szCs w:val="12"/>
                <w:color w:val="auto"/>
              </w:rPr>
            </w:pPr>
          </w:p>
        </w:tc>
        <w:tc>
          <w:tcPr>
            <w:tcW w:w="2900" w:type="dxa"/>
            <w:vAlign w:val="bottom"/>
            <w:tcBorders>
              <w:right w:val="single" w:sz="8" w:color="9E318D"/>
            </w:tcBorders>
          </w:tcPr>
          <w:p>
            <w:pPr>
              <w:ind w:left="40"/>
              <w:spacing w:after="0" w:line="149" w:lineRule="exact"/>
              <w:rPr>
                <w:sz w:val="20"/>
                <w:szCs w:val="20"/>
                <w:color w:val="auto"/>
              </w:rPr>
            </w:pPr>
            <w:r>
              <w:rPr>
                <w:rFonts w:ascii="Arial" w:cs="Arial" w:eastAsia="Arial" w:hAnsi="Arial"/>
                <w:sz w:val="15"/>
                <w:szCs w:val="15"/>
                <w:b w:val="1"/>
                <w:bCs w:val="1"/>
                <w:color w:val="auto"/>
              </w:rPr>
              <w:t>requirements, while also finding</w:t>
            </w:r>
          </w:p>
        </w:tc>
        <w:tc>
          <w:tcPr>
            <w:tcW w:w="0" w:type="dxa"/>
            <w:vAlign w:val="bottom"/>
          </w:tcPr>
          <w:p>
            <w:pPr>
              <w:spacing w:after="0"/>
              <w:rPr>
                <w:sz w:val="1"/>
                <w:szCs w:val="1"/>
                <w:color w:val="auto"/>
              </w:rPr>
            </w:pPr>
          </w:p>
        </w:tc>
      </w:tr>
      <w:tr>
        <w:trPr>
          <w:trHeight w:val="152"/>
        </w:trPr>
        <w:tc>
          <w:tcPr>
            <w:tcW w:w="2920" w:type="dxa"/>
            <w:vAlign w:val="bottom"/>
            <w:tcBorders>
              <w:left w:val="single" w:sz="8" w:color="9E318D"/>
              <w:right w:val="single" w:sz="8" w:color="9E318D"/>
            </w:tcBorders>
          </w:tcPr>
          <w:p>
            <w:pPr>
              <w:spacing w:after="0"/>
              <w:rPr>
                <w:sz w:val="13"/>
                <w:szCs w:val="13"/>
                <w:color w:val="auto"/>
              </w:rPr>
            </w:pPr>
          </w:p>
        </w:tc>
        <w:tc>
          <w:tcPr>
            <w:tcW w:w="2900" w:type="dxa"/>
            <w:vAlign w:val="bottom"/>
            <w:tcBorders>
              <w:right w:val="single" w:sz="8" w:color="9E318D"/>
            </w:tcBorders>
          </w:tcPr>
          <w:p>
            <w:pPr>
              <w:ind w:left="60"/>
              <w:spacing w:after="0" w:line="152" w:lineRule="exact"/>
              <w:rPr>
                <w:sz w:val="20"/>
                <w:szCs w:val="20"/>
                <w:color w:val="auto"/>
              </w:rPr>
            </w:pPr>
            <w:r>
              <w:rPr>
                <w:rFonts w:ascii="Arial" w:cs="Arial" w:eastAsia="Arial" w:hAnsi="Arial"/>
                <w:sz w:val="15"/>
                <w:szCs w:val="15"/>
                <w:b w:val="1"/>
                <w:bCs w:val="1"/>
                <w:color w:val="auto"/>
              </w:rPr>
              <w:t>education, fundraising and</w:t>
            </w:r>
          </w:p>
        </w:tc>
        <w:tc>
          <w:tcPr>
            <w:tcW w:w="290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5"/>
                <w:szCs w:val="15"/>
                <w:b w:val="1"/>
                <w:bCs w:val="1"/>
                <w:color w:val="auto"/>
              </w:rPr>
              <w:t>opportunities for environmental</w:t>
            </w:r>
          </w:p>
        </w:tc>
        <w:tc>
          <w:tcPr>
            <w:tcW w:w="0" w:type="dxa"/>
            <w:vAlign w:val="bottom"/>
          </w:tcPr>
          <w:p>
            <w:pPr>
              <w:spacing w:after="0"/>
              <w:rPr>
                <w:sz w:val="1"/>
                <w:szCs w:val="1"/>
                <w:color w:val="auto"/>
              </w:rPr>
            </w:pPr>
          </w:p>
        </w:tc>
      </w:tr>
      <w:tr>
        <w:trPr>
          <w:trHeight w:val="56"/>
        </w:trPr>
        <w:tc>
          <w:tcPr>
            <w:tcW w:w="2920" w:type="dxa"/>
            <w:vAlign w:val="bottom"/>
            <w:tcBorders>
              <w:left w:val="single" w:sz="8" w:color="9E318D"/>
              <w:right w:val="single" w:sz="8" w:color="9E318D"/>
            </w:tcBorders>
          </w:tcPr>
          <w:p>
            <w:pPr>
              <w:spacing w:after="0"/>
              <w:rPr>
                <w:sz w:val="4"/>
                <w:szCs w:val="4"/>
                <w:color w:val="auto"/>
              </w:rPr>
            </w:pPr>
          </w:p>
        </w:tc>
        <w:tc>
          <w:tcPr>
            <w:tcW w:w="2900" w:type="dxa"/>
            <w:vAlign w:val="bottom"/>
            <w:tcBorders>
              <w:right w:val="single" w:sz="8" w:color="9E318D"/>
            </w:tcBorders>
            <w:vMerge w:val="restart"/>
          </w:tcPr>
          <w:p>
            <w:pPr>
              <w:ind w:left="60"/>
              <w:spacing w:after="0"/>
              <w:rPr>
                <w:sz w:val="20"/>
                <w:szCs w:val="20"/>
                <w:color w:val="auto"/>
              </w:rPr>
            </w:pPr>
            <w:r>
              <w:rPr>
                <w:rFonts w:ascii="Arial" w:cs="Arial" w:eastAsia="Arial" w:hAnsi="Arial"/>
                <w:sz w:val="15"/>
                <w:szCs w:val="15"/>
                <w:b w:val="1"/>
                <w:bCs w:val="1"/>
                <w:color w:val="auto"/>
              </w:rPr>
              <w:t>sponsorship opportunities</w:t>
            </w:r>
          </w:p>
        </w:tc>
        <w:tc>
          <w:tcPr>
            <w:tcW w:w="290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920" w:type="dxa"/>
            <w:vAlign w:val="bottom"/>
            <w:tcBorders>
              <w:left w:val="single" w:sz="8" w:color="9E318D"/>
              <w:right w:val="single" w:sz="8" w:color="9E318D"/>
            </w:tcBorders>
          </w:tcPr>
          <w:p>
            <w:pPr>
              <w:spacing w:after="0"/>
              <w:rPr>
                <w:sz w:val="12"/>
                <w:szCs w:val="12"/>
                <w:color w:val="auto"/>
              </w:rPr>
            </w:pPr>
          </w:p>
        </w:tc>
        <w:tc>
          <w:tcPr>
            <w:tcW w:w="2900" w:type="dxa"/>
            <w:vAlign w:val="bottom"/>
            <w:tcBorders>
              <w:right w:val="single" w:sz="8" w:color="9E318D"/>
            </w:tcBorders>
            <w:vMerge w:val="continue"/>
          </w:tcPr>
          <w:p>
            <w:pPr>
              <w:spacing w:after="0"/>
              <w:rPr>
                <w:sz w:val="12"/>
                <w:szCs w:val="12"/>
                <w:color w:val="auto"/>
              </w:rPr>
            </w:pPr>
          </w:p>
        </w:tc>
        <w:tc>
          <w:tcPr>
            <w:tcW w:w="290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5"/>
                <w:szCs w:val="15"/>
                <w:b w:val="1"/>
                <w:bCs w:val="1"/>
                <w:color w:val="auto"/>
              </w:rPr>
              <w:t>improvement and economic efficiency.</w:t>
            </w:r>
          </w:p>
        </w:tc>
        <w:tc>
          <w:tcPr>
            <w:tcW w:w="0" w:type="dxa"/>
            <w:vAlign w:val="bottom"/>
          </w:tcPr>
          <w:p>
            <w:pPr>
              <w:spacing w:after="0"/>
              <w:rPr>
                <w:sz w:val="1"/>
                <w:szCs w:val="1"/>
                <w:color w:val="auto"/>
              </w:rPr>
            </w:pPr>
          </w:p>
        </w:tc>
      </w:tr>
      <w:tr>
        <w:trPr>
          <w:trHeight w:val="56"/>
        </w:trPr>
        <w:tc>
          <w:tcPr>
            <w:tcW w:w="2920" w:type="dxa"/>
            <w:vAlign w:val="bottom"/>
            <w:tcBorders>
              <w:left w:val="single" w:sz="8" w:color="9E318D"/>
              <w:right w:val="single" w:sz="8" w:color="9E318D"/>
            </w:tcBorders>
          </w:tcPr>
          <w:p>
            <w:pPr>
              <w:spacing w:after="0"/>
              <w:rPr>
                <w:sz w:val="4"/>
                <w:szCs w:val="4"/>
                <w:color w:val="auto"/>
              </w:rPr>
            </w:pPr>
          </w:p>
        </w:tc>
        <w:tc>
          <w:tcPr>
            <w:tcW w:w="2900" w:type="dxa"/>
            <w:vAlign w:val="bottom"/>
            <w:tcBorders>
              <w:right w:val="single" w:sz="8" w:color="9E318D"/>
            </w:tcBorders>
          </w:tcPr>
          <w:p>
            <w:pPr>
              <w:spacing w:after="0"/>
              <w:rPr>
                <w:sz w:val="4"/>
                <w:szCs w:val="4"/>
                <w:color w:val="auto"/>
              </w:rPr>
            </w:pPr>
          </w:p>
        </w:tc>
        <w:tc>
          <w:tcPr>
            <w:tcW w:w="290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920" w:type="dxa"/>
            <w:vAlign w:val="bottom"/>
            <w:tcBorders>
              <w:left w:val="single" w:sz="8" w:color="9E318D"/>
              <w:bottom w:val="single" w:sz="8" w:color="9E318D"/>
              <w:right w:val="single" w:sz="8" w:color="9E318D"/>
            </w:tcBorders>
          </w:tcPr>
          <w:p>
            <w:pPr>
              <w:spacing w:after="0"/>
              <w:rPr>
                <w:sz w:val="4"/>
                <w:szCs w:val="4"/>
                <w:color w:val="auto"/>
              </w:rPr>
            </w:pPr>
          </w:p>
        </w:tc>
        <w:tc>
          <w:tcPr>
            <w:tcW w:w="2900" w:type="dxa"/>
            <w:vAlign w:val="bottom"/>
            <w:tcBorders>
              <w:bottom w:val="single" w:sz="8" w:color="9E318D"/>
              <w:right w:val="single" w:sz="8" w:color="9E318D"/>
            </w:tcBorders>
          </w:tcPr>
          <w:p>
            <w:pPr>
              <w:spacing w:after="0"/>
              <w:rPr>
                <w:sz w:val="4"/>
                <w:szCs w:val="4"/>
                <w:color w:val="auto"/>
              </w:rPr>
            </w:pPr>
          </w:p>
        </w:tc>
        <w:tc>
          <w:tcPr>
            <w:tcW w:w="2900" w:type="dxa"/>
            <w:vAlign w:val="bottom"/>
            <w:tcBorders>
              <w:bottom w:val="single" w:sz="8" w:color="9E318D"/>
              <w:right w:val="single" w:sz="8" w:color="9E318D"/>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8720" w:type="dxa"/>
            <w:vAlign w:val="bottom"/>
            <w:tcBorders>
              <w:left w:val="single" w:sz="8" w:color="9E318D"/>
              <w:bottom w:val="single" w:sz="8" w:color="9E318D"/>
              <w:right w:val="single" w:sz="8" w:color="9E318D"/>
            </w:tcBorders>
            <w:gridSpan w:val="3"/>
            <w:shd w:val="clear" w:color="auto" w:fill="F5EAF3"/>
          </w:tcPr>
          <w:p>
            <w:pPr>
              <w:ind w:left="1020"/>
              <w:spacing w:after="0"/>
              <w:rPr>
                <w:sz w:val="20"/>
                <w:szCs w:val="20"/>
                <w:color w:val="auto"/>
              </w:rPr>
            </w:pPr>
            <w:r>
              <w:rPr>
                <w:rFonts w:ascii="Arial" w:cs="Arial" w:eastAsia="Arial" w:hAnsi="Arial"/>
                <w:sz w:val="15"/>
                <w:szCs w:val="15"/>
                <w:b w:val="1"/>
                <w:bCs w:val="1"/>
                <w:color w:val="9E318D"/>
              </w:rPr>
              <w:t>These are all built on the solid foundation of our economic commitment to responsible growth.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3769360</wp:posOffset>
            </wp:positionV>
            <wp:extent cx="297180" cy="290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7180" cy="290195"/>
                    </a:xfrm>
                    <a:prstGeom prst="rect">
                      <a:avLst/>
                    </a:prstGeom>
                    <a:noFill/>
                  </pic:spPr>
                </pic:pic>
              </a:graphicData>
            </a:graphic>
          </wp:anchor>
        </w:drawing>
        <w:drawing>
          <wp:anchor simplePos="0" relativeHeight="251657728" behindDoc="1" locked="0" layoutInCell="0" allowOverlap="1">
            <wp:simplePos x="0" y="0"/>
            <wp:positionH relativeFrom="column">
              <wp:posOffset>1544955</wp:posOffset>
            </wp:positionH>
            <wp:positionV relativeFrom="paragraph">
              <wp:posOffset>-2389505</wp:posOffset>
            </wp:positionV>
            <wp:extent cx="353695" cy="290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3695" cy="290195"/>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-2403475</wp:posOffset>
            </wp:positionV>
            <wp:extent cx="268605" cy="3251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8605" cy="325120"/>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-2403475</wp:posOffset>
            </wp:positionV>
            <wp:extent cx="268605" cy="2476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8605" cy="24765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8" w:name="page29"/>
    <w:bookmarkEnd w:id="28"/>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Sustainability Governance</w:t>
      </w:r>
    </w:p>
    <w:p>
      <w:pPr>
        <w:spacing w:after="0" w:line="195" w:lineRule="exact"/>
        <w:rPr>
          <w:sz w:val="20"/>
          <w:szCs w:val="20"/>
          <w:color w:val="auto"/>
        </w:rPr>
      </w:pPr>
    </w:p>
    <w:p>
      <w:pPr>
        <w:jc w:val="both"/>
        <w:ind w:left="200" w:right="119"/>
        <w:spacing w:after="0" w:line="252" w:lineRule="auto"/>
        <w:rPr>
          <w:sz w:val="20"/>
          <w:szCs w:val="20"/>
          <w:color w:val="auto"/>
        </w:rPr>
      </w:pPr>
      <w:r>
        <w:rPr>
          <w:rFonts w:ascii="Arial" w:cs="Arial" w:eastAsia="Arial" w:hAnsi="Arial"/>
          <w:sz w:val="15"/>
          <w:szCs w:val="15"/>
          <w:color w:val="auto"/>
        </w:rPr>
        <w:t>Innospec’s sustainability governance structure features standalone sustainability teams for each of our businesses reporting into an Executive Sustainability Steering Group. The Executive Sustainability Steering Group comprises our CEO and senior business leaders and is responsible for developing, resourcing and making decisions on Innospec’s sustainability strategy, targets and objectives. This group meets and reports, on a quarterly basis, directly to our Board’s Nominating, Corporate Governance and Sustainability Committee who have oversight of sustainability strategy, objectives and progress. In addition to this, the full Board is briefed annually on our sustainability progress, strategy, and future direction. Our VP Global Regulatory Compliance and Sustainability is responsible for leading Innospec’s sustainability strategy, implementation and continued execution. Our dedicated sustainability teams for our three business units focus on specific issues relevant to their customers 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6210300</wp:posOffset>
            </wp:positionV>
            <wp:extent cx="297180" cy="290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7180" cy="29019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72390</wp:posOffset>
            </wp:positionV>
            <wp:extent cx="5233035" cy="2842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33035" cy="28428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9" w:name="page30"/>
    <w:bookmarkEnd w:id="29"/>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Sustainability Performance Highlights from our 2024 Sustainability Report</w:t>
      </w:r>
    </w:p>
    <w:p>
      <w:pPr>
        <w:spacing w:after="0" w:line="210" w:lineRule="exact"/>
        <w:rPr>
          <w:sz w:val="20"/>
          <w:szCs w:val="20"/>
          <w:color w:val="auto"/>
        </w:rPr>
      </w:pPr>
    </w:p>
    <w:tbl>
      <w:tblPr>
        <w:tblLayout w:type="fixed"/>
        <w:tblInd w:w="210" w:type="dxa"/>
        <w:tblCellMar>
          <w:top w:w="0" w:type="dxa"/>
          <w:left w:w="0" w:type="dxa"/>
          <w:bottom w:w="0" w:type="dxa"/>
          <w:right w:w="0" w:type="dxa"/>
        </w:tblCellMar>
      </w:tblPr>
      <w:tr>
        <w:trPr>
          <w:trHeight w:val="245"/>
        </w:trPr>
        <w:tc>
          <w:tcPr>
            <w:tcW w:w="4320" w:type="dxa"/>
            <w:vAlign w:val="bottom"/>
            <w:tcBorders>
              <w:left w:val="single" w:sz="8" w:color="4F81BD"/>
              <w:right w:val="single" w:sz="8" w:color="4F81BD"/>
            </w:tcBorders>
            <w:shd w:val="clear" w:color="auto" w:fill="4F81BD"/>
          </w:tcPr>
          <w:p>
            <w:pPr>
              <w:ind w:left="1620"/>
              <w:spacing w:after="0"/>
              <w:rPr>
                <w:sz w:val="20"/>
                <w:szCs w:val="20"/>
                <w:color w:val="auto"/>
              </w:rPr>
            </w:pPr>
            <w:r>
              <w:rPr>
                <w:rFonts w:ascii="Arial" w:cs="Arial" w:eastAsia="Arial" w:hAnsi="Arial"/>
                <w:sz w:val="18"/>
                <w:szCs w:val="18"/>
                <w:b w:val="1"/>
                <w:bCs w:val="1"/>
                <w:color w:val="FFFFFF"/>
              </w:rPr>
              <w:t>Environment</w:t>
            </w:r>
          </w:p>
        </w:tc>
        <w:tc>
          <w:tcPr>
            <w:tcW w:w="180" w:type="dxa"/>
            <w:vAlign w:val="bottom"/>
            <w:shd w:val="clear" w:color="auto" w:fill="4F81BD"/>
          </w:tcPr>
          <w:p>
            <w:pPr>
              <w:spacing w:after="0"/>
              <w:rPr>
                <w:sz w:val="21"/>
                <w:szCs w:val="21"/>
                <w:color w:val="auto"/>
              </w:rPr>
            </w:pPr>
          </w:p>
        </w:tc>
        <w:tc>
          <w:tcPr>
            <w:tcW w:w="4220" w:type="dxa"/>
            <w:vAlign w:val="bottom"/>
            <w:tcBorders>
              <w:right w:val="single" w:sz="8" w:color="4F81BD"/>
            </w:tcBorders>
            <w:shd w:val="clear" w:color="auto" w:fill="4F81BD"/>
          </w:tcPr>
          <w:p>
            <w:pPr>
              <w:ind w:left="1480"/>
              <w:spacing w:after="0"/>
              <w:rPr>
                <w:sz w:val="20"/>
                <w:szCs w:val="20"/>
                <w:color w:val="auto"/>
              </w:rPr>
            </w:pPr>
            <w:r>
              <w:rPr>
                <w:rFonts w:ascii="Arial" w:cs="Arial" w:eastAsia="Arial" w:hAnsi="Arial"/>
                <w:sz w:val="18"/>
                <w:szCs w:val="18"/>
                <w:b w:val="1"/>
                <w:bCs w:val="1"/>
                <w:color w:val="FFFFFF"/>
              </w:rPr>
              <w:t>Governance</w:t>
            </w:r>
          </w:p>
        </w:tc>
        <w:tc>
          <w:tcPr>
            <w:tcW w:w="0" w:type="dxa"/>
            <w:vAlign w:val="bottom"/>
          </w:tcPr>
          <w:p>
            <w:pPr>
              <w:spacing w:after="0"/>
              <w:rPr>
                <w:sz w:val="1"/>
                <w:szCs w:val="1"/>
                <w:color w:val="auto"/>
              </w:rPr>
            </w:pPr>
          </w:p>
        </w:tc>
      </w:tr>
      <w:tr>
        <w:trPr>
          <w:trHeight w:val="201"/>
        </w:trPr>
        <w:tc>
          <w:tcPr>
            <w:tcW w:w="4320" w:type="dxa"/>
            <w:vAlign w:val="bottom"/>
            <w:tcBorders>
              <w:left w:val="single" w:sz="8" w:color="4F81BD"/>
              <w:right w:val="single" w:sz="8" w:color="4F81BD"/>
            </w:tcBorders>
            <w:shd w:val="clear" w:color="auto" w:fill="EDF2F8"/>
          </w:tcPr>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4F81BD"/>
              </w:rPr>
              <w:t>Reducing our impact on the environment</w:t>
            </w:r>
          </w:p>
        </w:tc>
        <w:tc>
          <w:tcPr>
            <w:tcW w:w="180" w:type="dxa"/>
            <w:vAlign w:val="bottom"/>
            <w:shd w:val="clear" w:color="auto" w:fill="EDF2F8"/>
          </w:tcPr>
          <w:p>
            <w:pPr>
              <w:ind w:left="40"/>
              <w:spacing w:after="0"/>
              <w:rPr>
                <w:sz w:val="20"/>
                <w:szCs w:val="20"/>
                <w:color w:val="auto"/>
              </w:rPr>
            </w:pPr>
            <w:r>
              <w:rPr>
                <w:rFonts w:ascii="Arial" w:cs="Arial" w:eastAsia="Arial" w:hAnsi="Arial"/>
                <w:sz w:val="13"/>
                <w:szCs w:val="13"/>
                <w:color w:val="4F81BD"/>
              </w:rPr>
              <w:t>•</w:t>
            </w:r>
          </w:p>
        </w:tc>
        <w:tc>
          <w:tcPr>
            <w:tcW w:w="4220" w:type="dxa"/>
            <w:vAlign w:val="bottom"/>
            <w:tcBorders>
              <w:right w:val="single" w:sz="8" w:color="4F81BD"/>
            </w:tcBorders>
            <w:shd w:val="clear" w:color="auto" w:fill="EDF2F8"/>
          </w:tcPr>
          <w:p>
            <w:pPr>
              <w:ind w:left="80"/>
              <w:spacing w:after="0"/>
              <w:rPr>
                <w:sz w:val="20"/>
                <w:szCs w:val="20"/>
                <w:color w:val="auto"/>
              </w:rPr>
            </w:pPr>
            <w:r>
              <w:rPr>
                <w:rFonts w:ascii="Arial" w:cs="Arial" w:eastAsia="Arial" w:hAnsi="Arial"/>
                <w:sz w:val="13"/>
                <w:szCs w:val="13"/>
                <w:b w:val="1"/>
                <w:bCs w:val="1"/>
                <w:color w:val="4F81BD"/>
              </w:rPr>
              <w:t>Quarterly board committee and executive team oversight</w:t>
            </w:r>
          </w:p>
        </w:tc>
        <w:tc>
          <w:tcPr>
            <w:tcW w:w="0" w:type="dxa"/>
            <w:vAlign w:val="bottom"/>
          </w:tcPr>
          <w:p>
            <w:pPr>
              <w:spacing w:after="0"/>
              <w:rPr>
                <w:sz w:val="1"/>
                <w:szCs w:val="1"/>
                <w:color w:val="auto"/>
              </w:rPr>
            </w:pPr>
          </w:p>
        </w:tc>
      </w:tr>
      <w:tr>
        <w:trPr>
          <w:trHeight w:val="175"/>
        </w:trPr>
        <w:tc>
          <w:tcPr>
            <w:tcW w:w="4320" w:type="dxa"/>
            <w:vAlign w:val="bottom"/>
            <w:tcBorders>
              <w:left w:val="single" w:sz="8" w:color="4F81BD"/>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   22% reduction in absolute scope 1&amp;2 GHG emissions since</w:t>
            </w: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80"/>
              <w:spacing w:after="0"/>
              <w:rPr>
                <w:sz w:val="20"/>
                <w:szCs w:val="20"/>
                <w:color w:val="auto"/>
              </w:rPr>
            </w:pPr>
            <w:r>
              <w:rPr>
                <w:rFonts w:ascii="Arial" w:cs="Arial" w:eastAsia="Arial" w:hAnsi="Arial"/>
                <w:sz w:val="13"/>
                <w:szCs w:val="13"/>
                <w:color w:val="auto"/>
              </w:rPr>
              <w:t>meetings of environmental, social and governance issues</w:t>
            </w:r>
          </w:p>
        </w:tc>
        <w:tc>
          <w:tcPr>
            <w:tcW w:w="0" w:type="dxa"/>
            <w:vAlign w:val="bottom"/>
          </w:tcPr>
          <w:p>
            <w:pPr>
              <w:spacing w:after="0"/>
              <w:rPr>
                <w:sz w:val="1"/>
                <w:szCs w:val="1"/>
                <w:color w:val="auto"/>
              </w:rPr>
            </w:pPr>
          </w:p>
        </w:tc>
      </w:tr>
      <w:tr>
        <w:trPr>
          <w:trHeight w:val="56"/>
        </w:trPr>
        <w:tc>
          <w:tcPr>
            <w:tcW w:w="4320" w:type="dxa"/>
            <w:vAlign w:val="bottom"/>
            <w:tcBorders>
              <w:left w:val="single" w:sz="8" w:color="4F81BD"/>
              <w:right w:val="single" w:sz="8" w:color="4F81BD"/>
            </w:tcBorders>
            <w:vMerge w:val="continue"/>
            <w:shd w:val="clear" w:color="auto" w:fill="EDF2F8"/>
          </w:tcPr>
          <w:p>
            <w:pPr>
              <w:spacing w:after="0"/>
              <w:rPr>
                <w:sz w:val="4"/>
                <w:szCs w:val="4"/>
                <w:color w:val="auto"/>
              </w:rPr>
            </w:pPr>
          </w:p>
        </w:tc>
        <w:tc>
          <w:tcPr>
            <w:tcW w:w="180" w:type="dxa"/>
            <w:vAlign w:val="bottom"/>
            <w:shd w:val="clear" w:color="auto" w:fill="EDF2F8"/>
          </w:tcPr>
          <w:p>
            <w:pPr>
              <w:spacing w:after="0"/>
              <w:rPr>
                <w:sz w:val="4"/>
                <w:szCs w:val="4"/>
                <w:color w:val="auto"/>
              </w:rPr>
            </w:pPr>
          </w:p>
        </w:tc>
        <w:tc>
          <w:tcPr>
            <w:tcW w:w="4220" w:type="dxa"/>
            <w:vAlign w:val="bottom"/>
            <w:tcBorders>
              <w:right w:val="single" w:sz="8" w:color="4F81BD"/>
            </w:tcBorders>
            <w:shd w:val="clear" w:color="auto" w:fill="EDF2F8"/>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4320" w:type="dxa"/>
            <w:vAlign w:val="bottom"/>
            <w:tcBorders>
              <w:left w:val="single" w:sz="8" w:color="4F81BD"/>
              <w:right w:val="single" w:sz="8" w:color="4F81BD"/>
            </w:tcBorders>
            <w:shd w:val="clear" w:color="auto" w:fill="EDF2F8"/>
          </w:tcPr>
          <w:p>
            <w:pPr>
              <w:ind w:left="520"/>
              <w:spacing w:after="0"/>
              <w:rPr>
                <w:sz w:val="20"/>
                <w:szCs w:val="20"/>
                <w:color w:val="auto"/>
              </w:rPr>
            </w:pPr>
            <w:r>
              <w:rPr>
                <w:rFonts w:ascii="Arial" w:cs="Arial" w:eastAsia="Arial" w:hAnsi="Arial"/>
                <w:sz w:val="13"/>
                <w:szCs w:val="13"/>
                <w:color w:val="auto"/>
              </w:rPr>
              <w:t>2014*</w:t>
            </w:r>
          </w:p>
        </w:tc>
        <w:tc>
          <w:tcPr>
            <w:tcW w:w="180" w:type="dxa"/>
            <w:vAlign w:val="bottom"/>
            <w:shd w:val="clear" w:color="auto" w:fill="EDF2F8"/>
          </w:tcPr>
          <w:p>
            <w:pPr>
              <w:ind w:left="40"/>
              <w:spacing w:after="0"/>
              <w:rPr>
                <w:sz w:val="20"/>
                <w:szCs w:val="20"/>
                <w:color w:val="auto"/>
              </w:rPr>
            </w:pPr>
            <w:r>
              <w:rPr>
                <w:rFonts w:ascii="Arial" w:cs="Arial" w:eastAsia="Arial" w:hAnsi="Arial"/>
                <w:sz w:val="13"/>
                <w:szCs w:val="13"/>
                <w:color w:val="auto"/>
              </w:rPr>
              <w:t>•</w:t>
            </w:r>
          </w:p>
        </w:tc>
        <w:tc>
          <w:tcPr>
            <w:tcW w:w="4220" w:type="dxa"/>
            <w:vAlign w:val="bottom"/>
            <w:tcBorders>
              <w:right w:val="single" w:sz="8" w:color="4F81BD"/>
            </w:tcBorders>
            <w:shd w:val="clear" w:color="auto" w:fill="EDF2F8"/>
          </w:tcPr>
          <w:p>
            <w:pPr>
              <w:ind w:left="80"/>
              <w:spacing w:after="0"/>
              <w:rPr>
                <w:sz w:val="20"/>
                <w:szCs w:val="20"/>
                <w:color w:val="auto"/>
              </w:rPr>
            </w:pPr>
            <w:r>
              <w:rPr>
                <w:rFonts w:ascii="Arial" w:cs="Arial" w:eastAsia="Arial" w:hAnsi="Arial"/>
                <w:sz w:val="13"/>
                <w:szCs w:val="13"/>
                <w:b w:val="1"/>
                <w:bCs w:val="1"/>
                <w:color w:val="4F81BD"/>
              </w:rPr>
              <w:t xml:space="preserve">9,172 compliance courses </w:t>
            </w:r>
            <w:r>
              <w:rPr>
                <w:rFonts w:ascii="Arial" w:cs="Arial" w:eastAsia="Arial" w:hAnsi="Arial"/>
                <w:sz w:val="13"/>
                <w:szCs w:val="13"/>
                <w:color w:val="000000"/>
              </w:rPr>
              <w:t>delivered to all employees and</w:t>
            </w:r>
          </w:p>
        </w:tc>
        <w:tc>
          <w:tcPr>
            <w:tcW w:w="0" w:type="dxa"/>
            <w:vAlign w:val="bottom"/>
          </w:tcPr>
          <w:p>
            <w:pPr>
              <w:spacing w:after="0"/>
              <w:rPr>
                <w:sz w:val="1"/>
                <w:szCs w:val="1"/>
                <w:color w:val="auto"/>
              </w:rPr>
            </w:pPr>
          </w:p>
        </w:tc>
      </w:tr>
      <w:tr>
        <w:trPr>
          <w:trHeight w:val="175"/>
        </w:trPr>
        <w:tc>
          <w:tcPr>
            <w:tcW w:w="4320" w:type="dxa"/>
            <w:vAlign w:val="bottom"/>
            <w:tcBorders>
              <w:left w:val="single" w:sz="8" w:color="4F81BD"/>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   25% reduction in water intensity usage since 2014*</w:t>
            </w: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80"/>
              <w:spacing w:after="0"/>
              <w:rPr>
                <w:sz w:val="20"/>
                <w:szCs w:val="20"/>
                <w:color w:val="auto"/>
              </w:rPr>
            </w:pPr>
            <w:r>
              <w:rPr>
                <w:rFonts w:ascii="Arial" w:cs="Arial" w:eastAsia="Arial" w:hAnsi="Arial"/>
                <w:sz w:val="13"/>
                <w:szCs w:val="13"/>
                <w:color w:val="auto"/>
              </w:rPr>
              <w:t>directors as part of our annual compliance training and certification</w:t>
            </w:r>
          </w:p>
        </w:tc>
        <w:tc>
          <w:tcPr>
            <w:tcW w:w="0" w:type="dxa"/>
            <w:vAlign w:val="bottom"/>
          </w:tcPr>
          <w:p>
            <w:pPr>
              <w:spacing w:after="0"/>
              <w:rPr>
                <w:sz w:val="1"/>
                <w:szCs w:val="1"/>
                <w:color w:val="auto"/>
              </w:rPr>
            </w:pPr>
          </w:p>
        </w:tc>
      </w:tr>
      <w:tr>
        <w:trPr>
          <w:trHeight w:val="67"/>
        </w:trPr>
        <w:tc>
          <w:tcPr>
            <w:tcW w:w="4320" w:type="dxa"/>
            <w:vAlign w:val="bottom"/>
            <w:tcBorders>
              <w:left w:val="single" w:sz="8" w:color="4F81BD"/>
              <w:right w:val="single" w:sz="8" w:color="4F81BD"/>
            </w:tcBorders>
            <w:vMerge w:val="continue"/>
            <w:shd w:val="clear" w:color="auto" w:fill="EDF2F8"/>
          </w:tcPr>
          <w:p>
            <w:pPr>
              <w:spacing w:after="0"/>
              <w:rPr>
                <w:sz w:val="5"/>
                <w:szCs w:val="5"/>
                <w:color w:val="auto"/>
              </w:rPr>
            </w:pPr>
          </w:p>
        </w:tc>
        <w:tc>
          <w:tcPr>
            <w:tcW w:w="180" w:type="dxa"/>
            <w:vAlign w:val="bottom"/>
            <w:shd w:val="clear" w:color="auto" w:fill="EDF2F8"/>
          </w:tcPr>
          <w:p>
            <w:pPr>
              <w:spacing w:after="0"/>
              <w:rPr>
                <w:sz w:val="5"/>
                <w:szCs w:val="5"/>
                <w:color w:val="auto"/>
              </w:rPr>
            </w:pPr>
          </w:p>
        </w:tc>
        <w:tc>
          <w:tcPr>
            <w:tcW w:w="4220" w:type="dxa"/>
            <w:vAlign w:val="bottom"/>
            <w:tcBorders>
              <w:right w:val="single" w:sz="8" w:color="4F81BD"/>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program.</w:t>
            </w:r>
          </w:p>
        </w:tc>
        <w:tc>
          <w:tcPr>
            <w:tcW w:w="0" w:type="dxa"/>
            <w:vAlign w:val="bottom"/>
          </w:tcPr>
          <w:p>
            <w:pPr>
              <w:spacing w:after="0"/>
              <w:rPr>
                <w:sz w:val="1"/>
                <w:szCs w:val="1"/>
                <w:color w:val="auto"/>
              </w:rPr>
            </w:pPr>
          </w:p>
        </w:tc>
      </w:tr>
      <w:tr>
        <w:trPr>
          <w:trHeight w:val="111"/>
        </w:trPr>
        <w:tc>
          <w:tcPr>
            <w:tcW w:w="4320" w:type="dxa"/>
            <w:vAlign w:val="bottom"/>
            <w:tcBorders>
              <w:left w:val="single" w:sz="8" w:color="4F81BD"/>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*Baseline reporting year</w:t>
            </w:r>
          </w:p>
        </w:tc>
        <w:tc>
          <w:tcPr>
            <w:tcW w:w="180" w:type="dxa"/>
            <w:vAlign w:val="bottom"/>
            <w:shd w:val="clear" w:color="auto" w:fill="EDF2F8"/>
          </w:tcPr>
          <w:p>
            <w:pPr>
              <w:spacing w:after="0"/>
              <w:rPr>
                <w:sz w:val="9"/>
                <w:szCs w:val="9"/>
                <w:color w:val="auto"/>
              </w:rPr>
            </w:pPr>
          </w:p>
        </w:tc>
        <w:tc>
          <w:tcPr>
            <w:tcW w:w="4220" w:type="dxa"/>
            <w:vAlign w:val="bottom"/>
            <w:tcBorders>
              <w:right w:val="single" w:sz="8" w:color="4F81BD"/>
            </w:tcBorders>
            <w:vMerge w:val="continue"/>
            <w:shd w:val="clear" w:color="auto" w:fill="EDF2F8"/>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320" w:type="dxa"/>
            <w:vAlign w:val="bottom"/>
            <w:tcBorders>
              <w:left w:val="single" w:sz="8" w:color="4F81BD"/>
              <w:right w:val="single" w:sz="8" w:color="4F81BD"/>
            </w:tcBorders>
            <w:vMerge w:val="continue"/>
            <w:shd w:val="clear" w:color="auto" w:fill="EDF2F8"/>
          </w:tcPr>
          <w:p>
            <w:pPr>
              <w:spacing w:after="0"/>
              <w:rPr>
                <w:sz w:val="10"/>
                <w:szCs w:val="10"/>
                <w:color w:val="auto"/>
              </w:rPr>
            </w:pPr>
          </w:p>
        </w:tc>
        <w:tc>
          <w:tcPr>
            <w:tcW w:w="180" w:type="dxa"/>
            <w:vAlign w:val="bottom"/>
            <w:vMerge w:val="restart"/>
            <w:shd w:val="clear" w:color="auto" w:fill="EDF2F8"/>
          </w:tcPr>
          <w:p>
            <w:pPr>
              <w:ind w:left="40"/>
              <w:spacing w:after="0"/>
              <w:rPr>
                <w:sz w:val="20"/>
                <w:szCs w:val="20"/>
                <w:color w:val="auto"/>
              </w:rPr>
            </w:pPr>
            <w:r>
              <w:rPr>
                <w:rFonts w:ascii="Arial" w:cs="Arial" w:eastAsia="Arial" w:hAnsi="Arial"/>
                <w:sz w:val="13"/>
                <w:szCs w:val="13"/>
                <w:color w:val="auto"/>
              </w:rPr>
              <w:t>•</w:t>
            </w:r>
          </w:p>
        </w:tc>
        <w:tc>
          <w:tcPr>
            <w:tcW w:w="4220" w:type="dxa"/>
            <w:vAlign w:val="bottom"/>
            <w:tcBorders>
              <w:right w:val="single" w:sz="8" w:color="4F81BD"/>
            </w:tcBorders>
            <w:vMerge w:val="restart"/>
            <w:shd w:val="clear" w:color="auto" w:fill="EDF2F8"/>
          </w:tcPr>
          <w:p>
            <w:pPr>
              <w:ind w:left="80"/>
              <w:spacing w:after="0"/>
              <w:rPr>
                <w:sz w:val="20"/>
                <w:szCs w:val="20"/>
                <w:color w:val="auto"/>
              </w:rPr>
            </w:pPr>
            <w:r>
              <w:rPr>
                <w:rFonts w:ascii="Arial" w:cs="Arial" w:eastAsia="Arial" w:hAnsi="Arial"/>
                <w:sz w:val="13"/>
                <w:szCs w:val="13"/>
                <w:b w:val="1"/>
                <w:bCs w:val="1"/>
                <w:color w:val="4F81BD"/>
              </w:rPr>
              <w:t>Sustainable Supply Chain</w:t>
            </w:r>
          </w:p>
        </w:tc>
        <w:tc>
          <w:tcPr>
            <w:tcW w:w="0" w:type="dxa"/>
            <w:vAlign w:val="bottom"/>
          </w:tcPr>
          <w:p>
            <w:pPr>
              <w:spacing w:after="0"/>
              <w:rPr>
                <w:sz w:val="1"/>
                <w:szCs w:val="1"/>
                <w:color w:val="auto"/>
              </w:rPr>
            </w:pPr>
          </w:p>
        </w:tc>
      </w:tr>
      <w:tr>
        <w:trPr>
          <w:trHeight w:val="130"/>
        </w:trPr>
        <w:tc>
          <w:tcPr>
            <w:tcW w:w="4320" w:type="dxa"/>
            <w:vAlign w:val="bottom"/>
            <w:tcBorders>
              <w:left w:val="single" w:sz="8" w:color="4F81BD"/>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   Completion of energy reduction projects across our global</w:t>
            </w:r>
          </w:p>
        </w:tc>
        <w:tc>
          <w:tcPr>
            <w:tcW w:w="180" w:type="dxa"/>
            <w:vAlign w:val="bottom"/>
            <w:vMerge w:val="continue"/>
            <w:shd w:val="clear" w:color="auto" w:fill="EDF2F8"/>
          </w:tcPr>
          <w:p>
            <w:pPr>
              <w:spacing w:after="0"/>
              <w:rPr>
                <w:sz w:val="11"/>
                <w:szCs w:val="11"/>
                <w:color w:val="auto"/>
              </w:rPr>
            </w:pPr>
          </w:p>
        </w:tc>
        <w:tc>
          <w:tcPr>
            <w:tcW w:w="4220" w:type="dxa"/>
            <w:vAlign w:val="bottom"/>
            <w:tcBorders>
              <w:right w:val="single" w:sz="8" w:color="4F81BD"/>
            </w:tcBorders>
            <w:vMerge w:val="continue"/>
            <w:shd w:val="clear" w:color="auto" w:fill="EDF2F8"/>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320" w:type="dxa"/>
            <w:vAlign w:val="bottom"/>
            <w:tcBorders>
              <w:left w:val="single" w:sz="8" w:color="4F81BD"/>
              <w:right w:val="single" w:sz="8" w:color="4F81BD"/>
            </w:tcBorders>
            <w:vMerge w:val="continue"/>
            <w:shd w:val="clear" w:color="auto" w:fill="EDF2F8"/>
          </w:tcPr>
          <w:p>
            <w:pPr>
              <w:spacing w:after="0"/>
              <w:rPr>
                <w:sz w:val="8"/>
                <w:szCs w:val="8"/>
                <w:color w:val="auto"/>
              </w:rPr>
            </w:pPr>
          </w:p>
        </w:tc>
        <w:tc>
          <w:tcPr>
            <w:tcW w:w="180" w:type="dxa"/>
            <w:vAlign w:val="bottom"/>
            <w:shd w:val="clear" w:color="auto" w:fill="EDF2F8"/>
          </w:tcPr>
          <w:p>
            <w:pPr>
              <w:spacing w:after="0"/>
              <w:rPr>
                <w:sz w:val="8"/>
                <w:szCs w:val="8"/>
                <w:color w:val="auto"/>
              </w:rPr>
            </w:pPr>
          </w:p>
        </w:tc>
        <w:tc>
          <w:tcPr>
            <w:tcW w:w="4220" w:type="dxa"/>
            <w:vAlign w:val="bottom"/>
            <w:tcBorders>
              <w:right w:val="single" w:sz="8" w:color="4F81BD"/>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   EcoVadis assessment incorporated into our supplier evaluation</w:t>
            </w:r>
          </w:p>
        </w:tc>
        <w:tc>
          <w:tcPr>
            <w:tcW w:w="0" w:type="dxa"/>
            <w:vAlign w:val="bottom"/>
          </w:tcPr>
          <w:p>
            <w:pPr>
              <w:spacing w:after="0"/>
              <w:rPr>
                <w:sz w:val="1"/>
                <w:szCs w:val="1"/>
                <w:color w:val="auto"/>
              </w:rPr>
            </w:pPr>
          </w:p>
        </w:tc>
      </w:tr>
      <w:tr>
        <w:trPr>
          <w:trHeight w:val="122"/>
        </w:trPr>
        <w:tc>
          <w:tcPr>
            <w:tcW w:w="4320" w:type="dxa"/>
            <w:vAlign w:val="bottom"/>
            <w:tcBorders>
              <w:left w:val="single" w:sz="8" w:color="4F81BD"/>
              <w:right w:val="single" w:sz="8" w:color="4F81BD"/>
            </w:tcBorders>
            <w:vMerge w:val="restart"/>
            <w:shd w:val="clear" w:color="auto" w:fill="EDF2F8"/>
          </w:tcPr>
          <w:p>
            <w:pPr>
              <w:ind w:left="520"/>
              <w:spacing w:after="0"/>
              <w:rPr>
                <w:sz w:val="20"/>
                <w:szCs w:val="20"/>
                <w:color w:val="auto"/>
              </w:rPr>
            </w:pPr>
            <w:r>
              <w:rPr>
                <w:rFonts w:ascii="Arial" w:cs="Arial" w:eastAsia="Arial" w:hAnsi="Arial"/>
                <w:sz w:val="13"/>
                <w:szCs w:val="13"/>
                <w:color w:val="auto"/>
              </w:rPr>
              <w:t>operations in 2024 that will reduce our energy consumption by</w:t>
            </w:r>
          </w:p>
        </w:tc>
        <w:tc>
          <w:tcPr>
            <w:tcW w:w="180" w:type="dxa"/>
            <w:vAlign w:val="bottom"/>
            <w:shd w:val="clear" w:color="auto" w:fill="EDF2F8"/>
          </w:tcPr>
          <w:p>
            <w:pPr>
              <w:spacing w:after="0"/>
              <w:rPr>
                <w:sz w:val="10"/>
                <w:szCs w:val="10"/>
                <w:color w:val="auto"/>
              </w:rPr>
            </w:pPr>
          </w:p>
        </w:tc>
        <w:tc>
          <w:tcPr>
            <w:tcW w:w="4220" w:type="dxa"/>
            <w:vAlign w:val="bottom"/>
            <w:tcBorders>
              <w:right w:val="single" w:sz="8" w:color="4F81BD"/>
            </w:tcBorders>
            <w:vMerge w:val="continue"/>
            <w:shd w:val="clear" w:color="auto" w:fill="EDF2F8"/>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320" w:type="dxa"/>
            <w:vAlign w:val="bottom"/>
            <w:tcBorders>
              <w:left w:val="single" w:sz="8" w:color="4F81BD"/>
              <w:right w:val="single" w:sz="8" w:color="4F81BD"/>
            </w:tcBorders>
            <w:vMerge w:val="continue"/>
            <w:shd w:val="clear" w:color="auto" w:fill="EDF2F8"/>
          </w:tcPr>
          <w:p>
            <w:pPr>
              <w:spacing w:after="0"/>
              <w:rPr>
                <w:sz w:val="4"/>
                <w:szCs w:val="4"/>
                <w:color w:val="auto"/>
              </w:rPr>
            </w:pPr>
          </w:p>
        </w:tc>
        <w:tc>
          <w:tcPr>
            <w:tcW w:w="180" w:type="dxa"/>
            <w:vAlign w:val="bottom"/>
            <w:shd w:val="clear" w:color="auto" w:fill="EDF2F8"/>
          </w:tcPr>
          <w:p>
            <w:pPr>
              <w:spacing w:after="0"/>
              <w:rPr>
                <w:sz w:val="4"/>
                <w:szCs w:val="4"/>
                <w:color w:val="auto"/>
              </w:rPr>
            </w:pPr>
          </w:p>
        </w:tc>
        <w:tc>
          <w:tcPr>
            <w:tcW w:w="4220" w:type="dxa"/>
            <w:vAlign w:val="bottom"/>
            <w:tcBorders>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and approval process. Innospec’s supply chain continues to</w:t>
            </w:r>
          </w:p>
        </w:tc>
        <w:tc>
          <w:tcPr>
            <w:tcW w:w="0" w:type="dxa"/>
            <w:vAlign w:val="bottom"/>
          </w:tcPr>
          <w:p>
            <w:pPr>
              <w:spacing w:after="0"/>
              <w:rPr>
                <w:sz w:val="1"/>
                <w:szCs w:val="1"/>
                <w:color w:val="auto"/>
              </w:rPr>
            </w:pPr>
          </w:p>
        </w:tc>
      </w:tr>
      <w:tr>
        <w:trPr>
          <w:trHeight w:val="122"/>
        </w:trPr>
        <w:tc>
          <w:tcPr>
            <w:tcW w:w="4320" w:type="dxa"/>
            <w:vAlign w:val="bottom"/>
            <w:tcBorders>
              <w:left w:val="single" w:sz="8" w:color="4F81BD"/>
              <w:right w:val="single" w:sz="8" w:color="4F81BD"/>
            </w:tcBorders>
            <w:vMerge w:val="restart"/>
            <w:shd w:val="clear" w:color="auto" w:fill="EDF2F8"/>
          </w:tcPr>
          <w:p>
            <w:pPr>
              <w:ind w:left="520"/>
              <w:spacing w:after="0"/>
              <w:rPr>
                <w:sz w:val="20"/>
                <w:szCs w:val="20"/>
                <w:color w:val="auto"/>
              </w:rPr>
            </w:pPr>
            <w:r>
              <w:rPr>
                <w:rFonts w:ascii="Arial" w:cs="Arial" w:eastAsia="Arial" w:hAnsi="Arial"/>
                <w:sz w:val="13"/>
                <w:szCs w:val="13"/>
                <w:color w:val="auto"/>
              </w:rPr>
              <w:t>2,289 MWh and scope 1 &amp; 2 emissions by 367 metric tonnes</w:t>
            </w:r>
          </w:p>
        </w:tc>
        <w:tc>
          <w:tcPr>
            <w:tcW w:w="180" w:type="dxa"/>
            <w:vAlign w:val="bottom"/>
            <w:shd w:val="clear" w:color="auto" w:fill="EDF2F8"/>
          </w:tcPr>
          <w:p>
            <w:pPr>
              <w:spacing w:after="0"/>
              <w:rPr>
                <w:sz w:val="10"/>
                <w:szCs w:val="10"/>
                <w:color w:val="auto"/>
              </w:rPr>
            </w:pPr>
          </w:p>
        </w:tc>
        <w:tc>
          <w:tcPr>
            <w:tcW w:w="4220" w:type="dxa"/>
            <w:vAlign w:val="bottom"/>
            <w:tcBorders>
              <w:right w:val="single" w:sz="8" w:color="4F81BD"/>
            </w:tcBorders>
            <w:vMerge w:val="continue"/>
            <w:shd w:val="clear" w:color="auto" w:fill="EDF2F8"/>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320" w:type="dxa"/>
            <w:vAlign w:val="bottom"/>
            <w:tcBorders>
              <w:left w:val="single" w:sz="8" w:color="4F81BD"/>
              <w:right w:val="single" w:sz="8" w:color="4F81BD"/>
            </w:tcBorders>
            <w:vMerge w:val="continue"/>
            <w:shd w:val="clear" w:color="auto" w:fill="EDF2F8"/>
          </w:tcPr>
          <w:p>
            <w:pPr>
              <w:spacing w:after="0"/>
              <w:rPr>
                <w:sz w:val="4"/>
                <w:szCs w:val="4"/>
                <w:color w:val="auto"/>
              </w:rPr>
            </w:pPr>
          </w:p>
        </w:tc>
        <w:tc>
          <w:tcPr>
            <w:tcW w:w="180" w:type="dxa"/>
            <w:vAlign w:val="bottom"/>
            <w:shd w:val="clear" w:color="auto" w:fill="EDF2F8"/>
          </w:tcPr>
          <w:p>
            <w:pPr>
              <w:spacing w:after="0"/>
              <w:rPr>
                <w:sz w:val="4"/>
                <w:szCs w:val="4"/>
                <w:color w:val="auto"/>
              </w:rPr>
            </w:pPr>
          </w:p>
        </w:tc>
        <w:tc>
          <w:tcPr>
            <w:tcW w:w="4220" w:type="dxa"/>
            <w:vAlign w:val="bottom"/>
            <w:tcBorders>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score better than the EcoVadis Average.</w:t>
            </w:r>
          </w:p>
        </w:tc>
        <w:tc>
          <w:tcPr>
            <w:tcW w:w="0" w:type="dxa"/>
            <w:vAlign w:val="bottom"/>
          </w:tcPr>
          <w:p>
            <w:pPr>
              <w:spacing w:after="0"/>
              <w:rPr>
                <w:sz w:val="1"/>
                <w:szCs w:val="1"/>
                <w:color w:val="auto"/>
              </w:rPr>
            </w:pPr>
          </w:p>
        </w:tc>
      </w:tr>
      <w:tr>
        <w:trPr>
          <w:trHeight w:val="122"/>
        </w:trPr>
        <w:tc>
          <w:tcPr>
            <w:tcW w:w="4320" w:type="dxa"/>
            <w:vAlign w:val="bottom"/>
            <w:tcBorders>
              <w:left w:val="single" w:sz="8" w:color="4F81BD"/>
              <w:right w:val="single" w:sz="8" w:color="4F81BD"/>
            </w:tcBorders>
            <w:vMerge w:val="restart"/>
            <w:shd w:val="clear" w:color="auto" w:fill="EDF2F8"/>
          </w:tcPr>
          <w:p>
            <w:pPr>
              <w:ind w:left="520"/>
              <w:spacing w:after="0"/>
              <w:rPr>
                <w:sz w:val="20"/>
                <w:szCs w:val="20"/>
                <w:color w:val="auto"/>
              </w:rPr>
            </w:pPr>
            <w:r>
              <w:rPr>
                <w:rFonts w:ascii="Arial" w:cs="Arial" w:eastAsia="Arial" w:hAnsi="Arial"/>
                <w:sz w:val="13"/>
                <w:szCs w:val="13"/>
                <w:color w:val="auto"/>
              </w:rPr>
              <w:t>each year</w:t>
            </w:r>
          </w:p>
        </w:tc>
        <w:tc>
          <w:tcPr>
            <w:tcW w:w="180" w:type="dxa"/>
            <w:vAlign w:val="bottom"/>
            <w:shd w:val="clear" w:color="auto" w:fill="EDF2F8"/>
          </w:tcPr>
          <w:p>
            <w:pPr>
              <w:spacing w:after="0"/>
              <w:rPr>
                <w:sz w:val="10"/>
                <w:szCs w:val="10"/>
                <w:color w:val="auto"/>
              </w:rPr>
            </w:pPr>
          </w:p>
        </w:tc>
        <w:tc>
          <w:tcPr>
            <w:tcW w:w="4220" w:type="dxa"/>
            <w:vAlign w:val="bottom"/>
            <w:tcBorders>
              <w:right w:val="single" w:sz="8" w:color="4F81BD"/>
            </w:tcBorders>
            <w:vMerge w:val="continue"/>
            <w:shd w:val="clear" w:color="auto" w:fill="EDF2F8"/>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320" w:type="dxa"/>
            <w:vAlign w:val="bottom"/>
            <w:tcBorders>
              <w:left w:val="single" w:sz="8" w:color="4F81BD"/>
              <w:right w:val="single" w:sz="8" w:color="4F81BD"/>
            </w:tcBorders>
            <w:vMerge w:val="continue"/>
            <w:shd w:val="clear" w:color="auto" w:fill="EDF2F8"/>
          </w:tcPr>
          <w:p>
            <w:pPr>
              <w:spacing w:after="0"/>
              <w:rPr>
                <w:sz w:val="4"/>
                <w:szCs w:val="4"/>
                <w:color w:val="auto"/>
              </w:rPr>
            </w:pPr>
          </w:p>
        </w:tc>
        <w:tc>
          <w:tcPr>
            <w:tcW w:w="180" w:type="dxa"/>
            <w:vAlign w:val="bottom"/>
            <w:shd w:val="clear" w:color="auto" w:fill="EDF2F8"/>
          </w:tcPr>
          <w:p>
            <w:pPr>
              <w:spacing w:after="0"/>
              <w:rPr>
                <w:sz w:val="4"/>
                <w:szCs w:val="4"/>
                <w:color w:val="auto"/>
              </w:rPr>
            </w:pPr>
          </w:p>
        </w:tc>
        <w:tc>
          <w:tcPr>
            <w:tcW w:w="4220" w:type="dxa"/>
            <w:vAlign w:val="bottom"/>
            <w:tcBorders>
              <w:right w:val="single" w:sz="8" w:color="4F81BD"/>
            </w:tcBorders>
            <w:shd w:val="clear" w:color="auto" w:fill="EDF2F8"/>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320" w:type="dxa"/>
            <w:vAlign w:val="bottom"/>
            <w:tcBorders>
              <w:left w:val="single" w:sz="8" w:color="4F81BD"/>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   All our manufacturing facilities now source 100% renewable</w:t>
            </w:r>
          </w:p>
        </w:tc>
        <w:tc>
          <w:tcPr>
            <w:tcW w:w="4400" w:type="dxa"/>
            <w:vAlign w:val="bottom"/>
            <w:tcBorders>
              <w:right w:val="single" w:sz="8" w:color="4F81BD"/>
            </w:tcBorders>
            <w:gridSpan w:val="2"/>
            <w:shd w:val="clear" w:color="auto" w:fill="EDF2F8"/>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4F81BD"/>
              </w:rPr>
              <w:t>Sustainable sourcing of palm program</w:t>
            </w:r>
          </w:p>
        </w:tc>
        <w:tc>
          <w:tcPr>
            <w:tcW w:w="0" w:type="dxa"/>
            <w:vAlign w:val="bottom"/>
          </w:tcPr>
          <w:p>
            <w:pPr>
              <w:spacing w:after="0"/>
              <w:rPr>
                <w:sz w:val="1"/>
                <w:szCs w:val="1"/>
                <w:color w:val="auto"/>
              </w:rPr>
            </w:pPr>
          </w:p>
        </w:tc>
      </w:tr>
      <w:tr>
        <w:trPr>
          <w:trHeight w:val="59"/>
        </w:trPr>
        <w:tc>
          <w:tcPr>
            <w:tcW w:w="4320" w:type="dxa"/>
            <w:vAlign w:val="bottom"/>
            <w:tcBorders>
              <w:left w:val="single" w:sz="8" w:color="4F81BD"/>
              <w:right w:val="single" w:sz="8" w:color="4F81BD"/>
            </w:tcBorders>
            <w:vMerge w:val="continue"/>
            <w:shd w:val="clear" w:color="auto" w:fill="EDF2F8"/>
          </w:tcPr>
          <w:p>
            <w:pPr>
              <w:spacing w:after="0"/>
              <w:rPr>
                <w:sz w:val="5"/>
                <w:szCs w:val="5"/>
                <w:color w:val="auto"/>
              </w:rPr>
            </w:pPr>
          </w:p>
        </w:tc>
        <w:tc>
          <w:tcPr>
            <w:tcW w:w="180" w:type="dxa"/>
            <w:vAlign w:val="bottom"/>
            <w:shd w:val="clear" w:color="auto" w:fill="EDF2F8"/>
          </w:tcPr>
          <w:p>
            <w:pPr>
              <w:spacing w:after="0"/>
              <w:rPr>
                <w:sz w:val="5"/>
                <w:szCs w:val="5"/>
                <w:color w:val="auto"/>
              </w:rPr>
            </w:pPr>
          </w:p>
        </w:tc>
        <w:tc>
          <w:tcPr>
            <w:tcW w:w="4220" w:type="dxa"/>
            <w:vAlign w:val="bottom"/>
            <w:tcBorders>
              <w:right w:val="single" w:sz="8" w:color="4F81BD"/>
            </w:tcBorders>
            <w:shd w:val="clear" w:color="auto" w:fill="EDF2F8"/>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ind w:left="520"/>
              <w:spacing w:after="0"/>
              <w:rPr>
                <w:sz w:val="20"/>
                <w:szCs w:val="20"/>
                <w:color w:val="auto"/>
              </w:rPr>
            </w:pPr>
            <w:r>
              <w:rPr>
                <w:rFonts w:ascii="Arial" w:cs="Arial" w:eastAsia="Arial" w:hAnsi="Arial"/>
                <w:sz w:val="13"/>
                <w:szCs w:val="13"/>
                <w:color w:val="auto"/>
              </w:rPr>
              <w:t>electricity</w:t>
            </w: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80"/>
              <w:spacing w:after="0"/>
              <w:rPr>
                <w:sz w:val="20"/>
                <w:szCs w:val="20"/>
                <w:color w:val="auto"/>
              </w:rPr>
            </w:pPr>
            <w:r>
              <w:rPr>
                <w:rFonts w:ascii="Arial" w:cs="Arial" w:eastAsia="Arial" w:hAnsi="Arial"/>
                <w:sz w:val="13"/>
                <w:szCs w:val="13"/>
                <w:color w:val="auto"/>
              </w:rPr>
              <w:t>•   Membership of Roundtable on Sustainable Palm Oil (RSPO)</w:t>
            </w: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   Renewable energy accounts for 19% of Innospec’s energy mix</w:t>
            </w: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since 2013 and RSPO mass balance supply chain certified at all</w:t>
            </w:r>
          </w:p>
        </w:tc>
        <w:tc>
          <w:tcPr>
            <w:tcW w:w="0" w:type="dxa"/>
            <w:vAlign w:val="bottom"/>
          </w:tcPr>
          <w:p>
            <w:pPr>
              <w:spacing w:after="0"/>
              <w:rPr>
                <w:sz w:val="1"/>
                <w:szCs w:val="1"/>
                <w:color w:val="auto"/>
              </w:rPr>
            </w:pPr>
          </w:p>
        </w:tc>
      </w:tr>
      <w:tr>
        <w:trPr>
          <w:trHeight w:val="56"/>
        </w:trPr>
        <w:tc>
          <w:tcPr>
            <w:tcW w:w="4320" w:type="dxa"/>
            <w:vAlign w:val="bottom"/>
            <w:tcBorders>
              <w:left w:val="single" w:sz="8" w:color="4F81BD"/>
              <w:right w:val="single" w:sz="8" w:color="4F81BD"/>
            </w:tcBorders>
            <w:vMerge w:val="continue"/>
            <w:shd w:val="clear" w:color="auto" w:fill="EDF2F8"/>
          </w:tcPr>
          <w:p>
            <w:pPr>
              <w:spacing w:after="0"/>
              <w:rPr>
                <w:sz w:val="4"/>
                <w:szCs w:val="4"/>
                <w:color w:val="auto"/>
              </w:rPr>
            </w:pPr>
          </w:p>
        </w:tc>
        <w:tc>
          <w:tcPr>
            <w:tcW w:w="180" w:type="dxa"/>
            <w:vAlign w:val="bottom"/>
            <w:shd w:val="clear" w:color="auto" w:fill="EDF2F8"/>
          </w:tcPr>
          <w:p>
            <w:pPr>
              <w:spacing w:after="0"/>
              <w:rPr>
                <w:sz w:val="4"/>
                <w:szCs w:val="4"/>
                <w:color w:val="auto"/>
              </w:rPr>
            </w:pPr>
          </w:p>
        </w:tc>
        <w:tc>
          <w:tcPr>
            <w:tcW w:w="4220" w:type="dxa"/>
            <w:vAlign w:val="bottom"/>
            <w:tcBorders>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applicable manufacturing sites</w:t>
            </w:r>
          </w:p>
        </w:tc>
        <w:tc>
          <w:tcPr>
            <w:tcW w:w="0" w:type="dxa"/>
            <w:vAlign w:val="bottom"/>
          </w:tcPr>
          <w:p>
            <w:pPr>
              <w:spacing w:after="0"/>
              <w:rPr>
                <w:sz w:val="1"/>
                <w:szCs w:val="1"/>
                <w:color w:val="auto"/>
              </w:rPr>
            </w:pPr>
          </w:p>
        </w:tc>
      </w:tr>
      <w:tr>
        <w:trPr>
          <w:trHeight w:val="122"/>
        </w:trPr>
        <w:tc>
          <w:tcPr>
            <w:tcW w:w="4320" w:type="dxa"/>
            <w:vAlign w:val="bottom"/>
            <w:tcBorders>
              <w:left w:val="single" w:sz="8" w:color="4F81BD"/>
              <w:right w:val="single" w:sz="8" w:color="4F81BD"/>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4F81BD"/>
              </w:rPr>
              <w:t>Verified performance</w:t>
            </w:r>
          </w:p>
        </w:tc>
        <w:tc>
          <w:tcPr>
            <w:tcW w:w="180" w:type="dxa"/>
            <w:vAlign w:val="bottom"/>
            <w:shd w:val="clear" w:color="auto" w:fill="EDF2F8"/>
          </w:tcPr>
          <w:p>
            <w:pPr>
              <w:spacing w:after="0"/>
              <w:rPr>
                <w:sz w:val="10"/>
                <w:szCs w:val="10"/>
                <w:color w:val="auto"/>
              </w:rPr>
            </w:pPr>
          </w:p>
        </w:tc>
        <w:tc>
          <w:tcPr>
            <w:tcW w:w="4220" w:type="dxa"/>
            <w:vAlign w:val="bottom"/>
            <w:tcBorders>
              <w:right w:val="single" w:sz="8" w:color="4F81BD"/>
            </w:tcBorders>
            <w:vMerge w:val="continue"/>
            <w:shd w:val="clear" w:color="auto" w:fill="EDF2F8"/>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320" w:type="dxa"/>
            <w:vAlign w:val="bottom"/>
            <w:tcBorders>
              <w:left w:val="single" w:sz="8" w:color="4F81BD"/>
              <w:right w:val="single" w:sz="8" w:color="4F81BD"/>
            </w:tcBorders>
            <w:vMerge w:val="continue"/>
            <w:shd w:val="clear" w:color="auto" w:fill="EDF2F8"/>
          </w:tcPr>
          <w:p>
            <w:pPr>
              <w:spacing w:after="0"/>
              <w:rPr>
                <w:sz w:val="10"/>
                <w:szCs w:val="10"/>
                <w:color w:val="auto"/>
              </w:rPr>
            </w:pPr>
          </w:p>
        </w:tc>
        <w:tc>
          <w:tcPr>
            <w:tcW w:w="180" w:type="dxa"/>
            <w:vAlign w:val="bottom"/>
            <w:shd w:val="clear" w:color="auto" w:fill="EDF2F8"/>
          </w:tcPr>
          <w:p>
            <w:pPr>
              <w:spacing w:after="0"/>
              <w:rPr>
                <w:sz w:val="10"/>
                <w:szCs w:val="10"/>
                <w:color w:val="auto"/>
              </w:rPr>
            </w:pPr>
          </w:p>
        </w:tc>
        <w:tc>
          <w:tcPr>
            <w:tcW w:w="4220" w:type="dxa"/>
            <w:vAlign w:val="bottom"/>
            <w:tcBorders>
              <w:right w:val="single" w:sz="8" w:color="4F81BD"/>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   Increased transparency of our palm- based supply chain through</w:t>
            </w:r>
          </w:p>
        </w:tc>
        <w:tc>
          <w:tcPr>
            <w:tcW w:w="0" w:type="dxa"/>
            <w:vAlign w:val="bottom"/>
          </w:tcPr>
          <w:p>
            <w:pPr>
              <w:spacing w:after="0"/>
              <w:rPr>
                <w:sz w:val="1"/>
                <w:szCs w:val="1"/>
                <w:color w:val="auto"/>
              </w:rPr>
            </w:pPr>
          </w:p>
        </w:tc>
      </w:tr>
      <w:tr>
        <w:trPr>
          <w:trHeight w:val="114"/>
        </w:trPr>
        <w:tc>
          <w:tcPr>
            <w:tcW w:w="4320" w:type="dxa"/>
            <w:vAlign w:val="bottom"/>
            <w:tcBorders>
              <w:left w:val="single" w:sz="8" w:color="4F81BD"/>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   CDP Supply Chain Disclosure Program 2024</w:t>
            </w:r>
          </w:p>
        </w:tc>
        <w:tc>
          <w:tcPr>
            <w:tcW w:w="180" w:type="dxa"/>
            <w:vAlign w:val="bottom"/>
            <w:shd w:val="clear" w:color="auto" w:fill="EDF2F8"/>
          </w:tcPr>
          <w:p>
            <w:pPr>
              <w:spacing w:after="0"/>
              <w:rPr>
                <w:sz w:val="9"/>
                <w:szCs w:val="9"/>
                <w:color w:val="auto"/>
              </w:rPr>
            </w:pPr>
          </w:p>
        </w:tc>
        <w:tc>
          <w:tcPr>
            <w:tcW w:w="4220" w:type="dxa"/>
            <w:vAlign w:val="bottom"/>
            <w:tcBorders>
              <w:right w:val="single" w:sz="8" w:color="4F81BD"/>
            </w:tcBorders>
            <w:vMerge w:val="continue"/>
            <w:shd w:val="clear" w:color="auto" w:fill="EDF2F8"/>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320" w:type="dxa"/>
            <w:vAlign w:val="bottom"/>
            <w:tcBorders>
              <w:left w:val="single" w:sz="8" w:color="4F81BD"/>
              <w:right w:val="single" w:sz="8" w:color="4F81BD"/>
            </w:tcBorders>
            <w:vMerge w:val="continue"/>
            <w:shd w:val="clear" w:color="auto" w:fill="EDF2F8"/>
          </w:tcPr>
          <w:p>
            <w:pPr>
              <w:spacing w:after="0"/>
              <w:rPr>
                <w:sz w:val="10"/>
                <w:szCs w:val="10"/>
                <w:color w:val="auto"/>
              </w:rPr>
            </w:pPr>
          </w:p>
        </w:tc>
        <w:tc>
          <w:tcPr>
            <w:tcW w:w="180" w:type="dxa"/>
            <w:vAlign w:val="bottom"/>
            <w:shd w:val="clear" w:color="auto" w:fill="EDF2F8"/>
          </w:tcPr>
          <w:p>
            <w:pPr>
              <w:spacing w:after="0"/>
              <w:rPr>
                <w:sz w:val="10"/>
                <w:szCs w:val="10"/>
                <w:color w:val="auto"/>
              </w:rPr>
            </w:pPr>
          </w:p>
        </w:tc>
        <w:tc>
          <w:tcPr>
            <w:tcW w:w="4220" w:type="dxa"/>
            <w:vAlign w:val="bottom"/>
            <w:tcBorders>
              <w:right w:val="single" w:sz="8" w:color="4F81BD"/>
            </w:tcBorders>
            <w:vMerge w:val="restart"/>
            <w:shd w:val="clear" w:color="auto" w:fill="EDF2F8"/>
          </w:tcPr>
          <w:p>
            <w:pPr>
              <w:ind w:left="300"/>
              <w:spacing w:after="0"/>
              <w:rPr>
                <w:sz w:val="20"/>
                <w:szCs w:val="20"/>
                <w:color w:val="auto"/>
              </w:rPr>
            </w:pPr>
            <w:r>
              <w:rPr>
                <w:rFonts w:ascii="Arial" w:cs="Arial" w:eastAsia="Arial" w:hAnsi="Arial"/>
                <w:sz w:val="13"/>
                <w:szCs w:val="13"/>
                <w:color w:val="auto"/>
              </w:rPr>
              <w:t>our annual transparency and risk mapping assessment</w:t>
            </w:r>
          </w:p>
        </w:tc>
        <w:tc>
          <w:tcPr>
            <w:tcW w:w="0" w:type="dxa"/>
            <w:vAlign w:val="bottom"/>
          </w:tcPr>
          <w:p>
            <w:pPr>
              <w:spacing w:after="0"/>
              <w:rPr>
                <w:sz w:val="1"/>
                <w:szCs w:val="1"/>
                <w:color w:val="auto"/>
              </w:rPr>
            </w:pPr>
          </w:p>
        </w:tc>
      </w:tr>
      <w:tr>
        <w:trPr>
          <w:trHeight w:val="56"/>
        </w:trPr>
        <w:tc>
          <w:tcPr>
            <w:tcW w:w="4320" w:type="dxa"/>
            <w:vAlign w:val="bottom"/>
            <w:tcBorders>
              <w:left w:val="single" w:sz="8" w:color="4F81BD"/>
              <w:right w:val="single" w:sz="8" w:color="4F81BD"/>
            </w:tcBorders>
            <w:shd w:val="clear" w:color="auto" w:fill="EDF2F8"/>
          </w:tcPr>
          <w:p>
            <w:pPr>
              <w:spacing w:after="0"/>
              <w:rPr>
                <w:sz w:val="4"/>
                <w:szCs w:val="4"/>
                <w:color w:val="auto"/>
              </w:rPr>
            </w:pPr>
          </w:p>
        </w:tc>
        <w:tc>
          <w:tcPr>
            <w:tcW w:w="180" w:type="dxa"/>
            <w:vAlign w:val="bottom"/>
            <w:shd w:val="clear" w:color="auto" w:fill="EDF2F8"/>
          </w:tcPr>
          <w:p>
            <w:pPr>
              <w:spacing w:after="0"/>
              <w:rPr>
                <w:sz w:val="4"/>
                <w:szCs w:val="4"/>
                <w:color w:val="auto"/>
              </w:rPr>
            </w:pPr>
          </w:p>
        </w:tc>
        <w:tc>
          <w:tcPr>
            <w:tcW w:w="4220" w:type="dxa"/>
            <w:vAlign w:val="bottom"/>
            <w:tcBorders>
              <w:right w:val="single" w:sz="8" w:color="4F81BD"/>
            </w:tcBorders>
            <w:vMerge w:val="continue"/>
            <w:shd w:val="clear" w:color="auto" w:fill="EDF2F8"/>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ind w:left="520"/>
              <w:spacing w:after="0"/>
              <w:rPr>
                <w:sz w:val="20"/>
                <w:szCs w:val="20"/>
                <w:color w:val="auto"/>
              </w:rPr>
            </w:pPr>
            <w:r>
              <w:rPr>
                <w:rFonts w:ascii="Arial" w:cs="Arial" w:eastAsia="Arial" w:hAnsi="Arial"/>
                <w:sz w:val="13"/>
                <w:szCs w:val="13"/>
                <w:color w:val="auto"/>
              </w:rPr>
              <w:t>•   Climate – Performance band score of B (management)</w:t>
            </w: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   Member of the Action for Sustainable Derivatives (ASD), a new</w:t>
            </w:r>
          </w:p>
        </w:tc>
        <w:tc>
          <w:tcPr>
            <w:tcW w:w="0" w:type="dxa"/>
            <w:vAlign w:val="bottom"/>
          </w:tcPr>
          <w:p>
            <w:pPr>
              <w:spacing w:after="0"/>
              <w:rPr>
                <w:sz w:val="1"/>
                <w:szCs w:val="1"/>
                <w:color w:val="auto"/>
              </w:rPr>
            </w:pPr>
          </w:p>
        </w:tc>
      </w:tr>
      <w:tr>
        <w:trPr>
          <w:trHeight w:val="56"/>
        </w:trPr>
        <w:tc>
          <w:tcPr>
            <w:tcW w:w="4320" w:type="dxa"/>
            <w:vAlign w:val="bottom"/>
            <w:tcBorders>
              <w:left w:val="single" w:sz="8" w:color="4F81BD"/>
              <w:right w:val="single" w:sz="8" w:color="4F81BD"/>
            </w:tcBorders>
            <w:shd w:val="clear" w:color="auto" w:fill="EDF2F8"/>
          </w:tcPr>
          <w:p>
            <w:pPr>
              <w:spacing w:after="0"/>
              <w:rPr>
                <w:sz w:val="4"/>
                <w:szCs w:val="4"/>
                <w:color w:val="auto"/>
              </w:rPr>
            </w:pPr>
          </w:p>
        </w:tc>
        <w:tc>
          <w:tcPr>
            <w:tcW w:w="180" w:type="dxa"/>
            <w:vAlign w:val="bottom"/>
            <w:shd w:val="clear" w:color="auto" w:fill="EDF2F8"/>
          </w:tcPr>
          <w:p>
            <w:pPr>
              <w:spacing w:after="0"/>
              <w:rPr>
                <w:sz w:val="4"/>
                <w:szCs w:val="4"/>
                <w:color w:val="auto"/>
              </w:rPr>
            </w:pPr>
          </w:p>
        </w:tc>
        <w:tc>
          <w:tcPr>
            <w:tcW w:w="4220" w:type="dxa"/>
            <w:vAlign w:val="bottom"/>
            <w:tcBorders>
              <w:right w:val="single" w:sz="8" w:color="4F81BD"/>
            </w:tcBorders>
            <w:vMerge w:val="continue"/>
            <w:shd w:val="clear" w:color="auto" w:fill="EDF2F8"/>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ind w:left="520"/>
              <w:spacing w:after="0"/>
              <w:rPr>
                <w:sz w:val="20"/>
                <w:szCs w:val="20"/>
                <w:color w:val="auto"/>
              </w:rPr>
            </w:pPr>
            <w:r>
              <w:rPr>
                <w:rFonts w:ascii="Arial" w:cs="Arial" w:eastAsia="Arial" w:hAnsi="Arial"/>
                <w:sz w:val="13"/>
                <w:szCs w:val="13"/>
                <w:color w:val="auto"/>
              </w:rPr>
              <w:t>•   Water Security – Performance band score of B</w:t>
            </w: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collaborative initiative that is working to maximize sustainability</w:t>
            </w: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ind w:left="740"/>
              <w:spacing w:after="0"/>
              <w:rPr>
                <w:sz w:val="20"/>
                <w:szCs w:val="20"/>
                <w:color w:val="auto"/>
              </w:rPr>
            </w:pPr>
            <w:r>
              <w:rPr>
                <w:rFonts w:ascii="Arial" w:cs="Arial" w:eastAsia="Arial" w:hAnsi="Arial"/>
                <w:sz w:val="13"/>
                <w:szCs w:val="13"/>
                <w:color w:val="auto"/>
              </w:rPr>
              <w:t>(management)</w:t>
            </w: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throughout the palm supply chain</w:t>
            </w:r>
          </w:p>
        </w:tc>
        <w:tc>
          <w:tcPr>
            <w:tcW w:w="0" w:type="dxa"/>
            <w:vAlign w:val="bottom"/>
          </w:tcPr>
          <w:p>
            <w:pPr>
              <w:spacing w:after="0"/>
              <w:rPr>
                <w:sz w:val="1"/>
                <w:szCs w:val="1"/>
                <w:color w:val="auto"/>
              </w:rPr>
            </w:pPr>
          </w:p>
        </w:tc>
      </w:tr>
      <w:tr>
        <w:trPr>
          <w:trHeight w:val="248"/>
        </w:trPr>
        <w:tc>
          <w:tcPr>
            <w:tcW w:w="4320" w:type="dxa"/>
            <w:vAlign w:val="bottom"/>
            <w:tcBorders>
              <w:left w:val="single" w:sz="8" w:color="4F81BD"/>
              <w:right w:val="single" w:sz="8" w:color="4F81BD"/>
            </w:tcBorders>
            <w:shd w:val="clear" w:color="auto" w:fill="EDF2F8"/>
          </w:tcPr>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4F81BD"/>
              </w:rPr>
              <w:t>EcoVadis Supply Chain CSR Assessment</w:t>
            </w:r>
            <w:r>
              <w:rPr>
                <w:rFonts w:ascii="Arial" w:cs="Arial" w:eastAsia="Arial" w:hAnsi="Arial"/>
                <w:sz w:val="13"/>
                <w:szCs w:val="13"/>
                <w:color w:val="auto"/>
              </w:rPr>
              <w:t xml:space="preserve"> –</w:t>
            </w:r>
          </w:p>
        </w:tc>
        <w:tc>
          <w:tcPr>
            <w:tcW w:w="180" w:type="dxa"/>
            <w:vAlign w:val="bottom"/>
            <w:shd w:val="clear" w:color="auto" w:fill="EDF2F8"/>
          </w:tcPr>
          <w:p>
            <w:pPr>
              <w:spacing w:after="0"/>
              <w:rPr>
                <w:sz w:val="21"/>
                <w:szCs w:val="21"/>
                <w:color w:val="auto"/>
              </w:rPr>
            </w:pPr>
          </w:p>
        </w:tc>
        <w:tc>
          <w:tcPr>
            <w:tcW w:w="4220" w:type="dxa"/>
            <w:vAlign w:val="bottom"/>
            <w:tcBorders>
              <w:right w:val="single" w:sz="8" w:color="4F81BD"/>
            </w:tcBorders>
            <w:shd w:val="clear" w:color="auto" w:fill="EDF2F8"/>
          </w:tcPr>
          <w:p>
            <w:pPr>
              <w:ind w:left="80"/>
              <w:spacing w:after="0"/>
              <w:rPr>
                <w:sz w:val="20"/>
                <w:szCs w:val="20"/>
                <w:color w:val="auto"/>
              </w:rPr>
            </w:pPr>
            <w:r>
              <w:rPr>
                <w:rFonts w:ascii="Arial" w:cs="Arial" w:eastAsia="Arial" w:hAnsi="Arial"/>
                <w:sz w:val="13"/>
                <w:szCs w:val="13"/>
                <w:color w:val="auto"/>
              </w:rPr>
              <w:t>•   Palm Grievance Procedure and tracking system</w:t>
            </w:r>
          </w:p>
        </w:tc>
        <w:tc>
          <w:tcPr>
            <w:tcW w:w="0" w:type="dxa"/>
            <w:vAlign w:val="bottom"/>
          </w:tcPr>
          <w:p>
            <w:pPr>
              <w:spacing w:after="0"/>
              <w:rPr>
                <w:sz w:val="1"/>
                <w:szCs w:val="1"/>
                <w:color w:val="auto"/>
              </w:rPr>
            </w:pPr>
          </w:p>
        </w:tc>
      </w:tr>
      <w:tr>
        <w:trPr>
          <w:trHeight w:val="175"/>
        </w:trPr>
        <w:tc>
          <w:tcPr>
            <w:tcW w:w="4320" w:type="dxa"/>
            <w:vAlign w:val="bottom"/>
            <w:tcBorders>
              <w:left w:val="single" w:sz="8" w:color="4F81BD"/>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Gold medal ranking status</w:t>
            </w:r>
          </w:p>
        </w:tc>
        <w:tc>
          <w:tcPr>
            <w:tcW w:w="180" w:type="dxa"/>
            <w:vAlign w:val="bottom"/>
            <w:vMerge w:val="restart"/>
            <w:shd w:val="clear" w:color="auto" w:fill="EDF2F8"/>
          </w:tcPr>
          <w:p>
            <w:pPr>
              <w:ind w:left="40"/>
              <w:spacing w:after="0"/>
              <w:rPr>
                <w:sz w:val="20"/>
                <w:szCs w:val="20"/>
                <w:color w:val="auto"/>
              </w:rPr>
            </w:pPr>
            <w:r>
              <w:rPr>
                <w:rFonts w:ascii="Arial" w:cs="Arial" w:eastAsia="Arial" w:hAnsi="Arial"/>
                <w:sz w:val="13"/>
                <w:szCs w:val="13"/>
                <w:color w:val="auto"/>
              </w:rPr>
              <w:t>•</w:t>
            </w:r>
          </w:p>
        </w:tc>
        <w:tc>
          <w:tcPr>
            <w:tcW w:w="4220" w:type="dxa"/>
            <w:vAlign w:val="bottom"/>
            <w:tcBorders>
              <w:right w:val="single" w:sz="8" w:color="4F81BD"/>
            </w:tcBorders>
            <w:vMerge w:val="restart"/>
            <w:shd w:val="clear" w:color="auto" w:fill="EDF2F8"/>
          </w:tcPr>
          <w:p>
            <w:pPr>
              <w:ind w:left="80"/>
              <w:spacing w:after="0"/>
              <w:rPr>
                <w:sz w:val="20"/>
                <w:szCs w:val="20"/>
                <w:color w:val="auto"/>
              </w:rPr>
            </w:pPr>
            <w:r>
              <w:rPr>
                <w:rFonts w:ascii="Arial" w:cs="Arial" w:eastAsia="Arial" w:hAnsi="Arial"/>
                <w:sz w:val="13"/>
                <w:szCs w:val="13"/>
                <w:b w:val="1"/>
                <w:bCs w:val="1"/>
                <w:color w:val="4F81BD"/>
              </w:rPr>
              <w:t>Risk Oversight</w:t>
            </w:r>
          </w:p>
        </w:tc>
        <w:tc>
          <w:tcPr>
            <w:tcW w:w="0" w:type="dxa"/>
            <w:vAlign w:val="bottom"/>
          </w:tcPr>
          <w:p>
            <w:pPr>
              <w:spacing w:after="0"/>
              <w:rPr>
                <w:sz w:val="1"/>
                <w:szCs w:val="1"/>
                <w:color w:val="auto"/>
              </w:rPr>
            </w:pPr>
          </w:p>
        </w:tc>
      </w:tr>
      <w:tr>
        <w:trPr>
          <w:trHeight w:val="64"/>
        </w:trPr>
        <w:tc>
          <w:tcPr>
            <w:tcW w:w="4320" w:type="dxa"/>
            <w:vAlign w:val="bottom"/>
            <w:tcBorders>
              <w:left w:val="single" w:sz="8" w:color="4F81BD"/>
              <w:right w:val="single" w:sz="8" w:color="4F81BD"/>
            </w:tcBorders>
            <w:shd w:val="clear" w:color="auto" w:fill="EDF2F8"/>
          </w:tcPr>
          <w:p>
            <w:pPr>
              <w:spacing w:after="0"/>
              <w:rPr>
                <w:sz w:val="5"/>
                <w:szCs w:val="5"/>
                <w:color w:val="auto"/>
              </w:rPr>
            </w:pPr>
          </w:p>
        </w:tc>
        <w:tc>
          <w:tcPr>
            <w:tcW w:w="180" w:type="dxa"/>
            <w:vAlign w:val="bottom"/>
            <w:vMerge w:val="continue"/>
            <w:shd w:val="clear" w:color="auto" w:fill="EDF2F8"/>
          </w:tcPr>
          <w:p>
            <w:pPr>
              <w:spacing w:after="0"/>
              <w:rPr>
                <w:sz w:val="5"/>
                <w:szCs w:val="5"/>
                <w:color w:val="auto"/>
              </w:rPr>
            </w:pPr>
          </w:p>
        </w:tc>
        <w:tc>
          <w:tcPr>
            <w:tcW w:w="4220" w:type="dxa"/>
            <w:vAlign w:val="bottom"/>
            <w:tcBorders>
              <w:right w:val="single" w:sz="8" w:color="4F81BD"/>
            </w:tcBorders>
            <w:vMerge w:val="continue"/>
            <w:shd w:val="clear" w:color="auto" w:fill="EDF2F8"/>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320" w:type="dxa"/>
            <w:vAlign w:val="bottom"/>
            <w:tcBorders>
              <w:left w:val="single" w:sz="8" w:color="4F81BD"/>
              <w:right w:val="single" w:sz="8" w:color="4F81BD"/>
            </w:tcBorders>
            <w:shd w:val="clear" w:color="auto" w:fill="EDF2F8"/>
          </w:tcPr>
          <w:p>
            <w:pPr>
              <w:spacing w:after="0"/>
              <w:rPr>
                <w:sz w:val="19"/>
                <w:szCs w:val="19"/>
                <w:color w:val="auto"/>
              </w:rPr>
            </w:pPr>
          </w:p>
        </w:tc>
        <w:tc>
          <w:tcPr>
            <w:tcW w:w="180" w:type="dxa"/>
            <w:vAlign w:val="bottom"/>
            <w:shd w:val="clear" w:color="auto" w:fill="EDF2F8"/>
          </w:tcPr>
          <w:p>
            <w:pPr>
              <w:spacing w:after="0"/>
              <w:rPr>
                <w:sz w:val="19"/>
                <w:szCs w:val="19"/>
                <w:color w:val="auto"/>
              </w:rPr>
            </w:pPr>
          </w:p>
        </w:tc>
        <w:tc>
          <w:tcPr>
            <w:tcW w:w="4220" w:type="dxa"/>
            <w:vAlign w:val="bottom"/>
            <w:tcBorders>
              <w:right w:val="single" w:sz="8" w:color="4F81BD"/>
            </w:tcBorders>
            <w:shd w:val="clear" w:color="auto" w:fill="EDF2F8"/>
          </w:tcPr>
          <w:p>
            <w:pPr>
              <w:ind w:left="80"/>
              <w:spacing w:after="0"/>
              <w:rPr>
                <w:sz w:val="20"/>
                <w:szCs w:val="20"/>
                <w:color w:val="auto"/>
              </w:rPr>
            </w:pPr>
            <w:r>
              <w:rPr>
                <w:rFonts w:ascii="Arial" w:cs="Arial" w:eastAsia="Arial" w:hAnsi="Arial"/>
                <w:sz w:val="13"/>
                <w:szCs w:val="13"/>
                <w:color w:val="auto"/>
              </w:rPr>
              <w:t>•   As part of oversight of our cyber security and information</w:t>
            </w: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spacing w:after="0"/>
              <w:rPr>
                <w:sz w:val="15"/>
                <w:szCs w:val="15"/>
                <w:color w:val="auto"/>
              </w:rPr>
            </w:pP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technology systems, employee training on cyber security risks</w:t>
            </w: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spacing w:after="0"/>
              <w:rPr>
                <w:sz w:val="15"/>
                <w:szCs w:val="15"/>
                <w:color w:val="auto"/>
              </w:rPr>
            </w:pP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was required of all Innospec Directors and employees who have</w:t>
            </w: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spacing w:after="0"/>
              <w:rPr>
                <w:sz w:val="15"/>
                <w:szCs w:val="15"/>
                <w:color w:val="auto"/>
              </w:rPr>
            </w:pP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access to our information technology resources</w:t>
            </w:r>
          </w:p>
        </w:tc>
        <w:tc>
          <w:tcPr>
            <w:tcW w:w="0" w:type="dxa"/>
            <w:vAlign w:val="bottom"/>
          </w:tcPr>
          <w:p>
            <w:pPr>
              <w:spacing w:after="0"/>
              <w:rPr>
                <w:sz w:val="1"/>
                <w:szCs w:val="1"/>
                <w:color w:val="auto"/>
              </w:rPr>
            </w:pPr>
          </w:p>
        </w:tc>
      </w:tr>
      <w:tr>
        <w:trPr>
          <w:trHeight w:val="245"/>
        </w:trPr>
        <w:tc>
          <w:tcPr>
            <w:tcW w:w="4320" w:type="dxa"/>
            <w:vAlign w:val="bottom"/>
            <w:tcBorders>
              <w:left w:val="single" w:sz="8" w:color="4F81BD"/>
              <w:right w:val="single" w:sz="8" w:color="4F81BD"/>
            </w:tcBorders>
            <w:shd w:val="clear" w:color="auto" w:fill="EDF2F8"/>
          </w:tcPr>
          <w:p>
            <w:pPr>
              <w:spacing w:after="0"/>
              <w:rPr>
                <w:sz w:val="21"/>
                <w:szCs w:val="21"/>
                <w:color w:val="auto"/>
              </w:rPr>
            </w:pPr>
          </w:p>
        </w:tc>
        <w:tc>
          <w:tcPr>
            <w:tcW w:w="180" w:type="dxa"/>
            <w:vAlign w:val="bottom"/>
            <w:shd w:val="clear" w:color="auto" w:fill="EDF2F8"/>
          </w:tcPr>
          <w:p>
            <w:pPr>
              <w:spacing w:after="0"/>
              <w:rPr>
                <w:sz w:val="21"/>
                <w:szCs w:val="21"/>
                <w:color w:val="auto"/>
              </w:rPr>
            </w:pPr>
          </w:p>
        </w:tc>
        <w:tc>
          <w:tcPr>
            <w:tcW w:w="4220" w:type="dxa"/>
            <w:vAlign w:val="bottom"/>
            <w:tcBorders>
              <w:right w:val="single" w:sz="8" w:color="4F81BD"/>
            </w:tcBorders>
            <w:shd w:val="clear" w:color="auto" w:fill="EDF2F8"/>
          </w:tcPr>
          <w:p>
            <w:pPr>
              <w:ind w:left="80"/>
              <w:spacing w:after="0"/>
              <w:rPr>
                <w:sz w:val="20"/>
                <w:szCs w:val="20"/>
                <w:color w:val="auto"/>
              </w:rPr>
            </w:pPr>
            <w:r>
              <w:rPr>
                <w:rFonts w:ascii="Arial" w:cs="Arial" w:eastAsia="Arial" w:hAnsi="Arial"/>
                <w:sz w:val="13"/>
                <w:szCs w:val="13"/>
                <w:color w:val="auto"/>
              </w:rPr>
              <w:t>•   For each of 2019, 2020, 2021, 2023 and 2025 the Board</w:t>
            </w: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spacing w:after="0"/>
              <w:rPr>
                <w:sz w:val="15"/>
                <w:szCs w:val="15"/>
                <w:color w:val="auto"/>
              </w:rPr>
            </w:pP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retained NCC Group (“NCC”) to perform cyber security reviews</w:t>
            </w: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spacing w:after="0"/>
              <w:rPr>
                <w:sz w:val="15"/>
                <w:szCs w:val="15"/>
                <w:color w:val="auto"/>
              </w:rPr>
            </w:pP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against NIST CSF Framework. NCC reports its findings directly</w:t>
            </w:r>
          </w:p>
        </w:tc>
        <w:tc>
          <w:tcPr>
            <w:tcW w:w="0" w:type="dxa"/>
            <w:vAlign w:val="bottom"/>
          </w:tcPr>
          <w:p>
            <w:pPr>
              <w:spacing w:after="0"/>
              <w:rPr>
                <w:sz w:val="1"/>
                <w:szCs w:val="1"/>
                <w:color w:val="auto"/>
              </w:rPr>
            </w:pPr>
          </w:p>
        </w:tc>
      </w:tr>
      <w:tr>
        <w:trPr>
          <w:trHeight w:val="178"/>
        </w:trPr>
        <w:tc>
          <w:tcPr>
            <w:tcW w:w="4320" w:type="dxa"/>
            <w:vAlign w:val="bottom"/>
            <w:tcBorders>
              <w:left w:val="single" w:sz="8" w:color="4F81BD"/>
              <w:right w:val="single" w:sz="8" w:color="4F81BD"/>
            </w:tcBorders>
            <w:shd w:val="clear" w:color="auto" w:fill="EDF2F8"/>
          </w:tcPr>
          <w:p>
            <w:pPr>
              <w:spacing w:after="0"/>
              <w:rPr>
                <w:sz w:val="15"/>
                <w:szCs w:val="15"/>
                <w:color w:val="auto"/>
              </w:rPr>
            </w:pPr>
          </w:p>
        </w:tc>
        <w:tc>
          <w:tcPr>
            <w:tcW w:w="180" w:type="dxa"/>
            <w:vAlign w:val="bottom"/>
            <w:shd w:val="clear" w:color="auto" w:fill="EDF2F8"/>
          </w:tcPr>
          <w:p>
            <w:pPr>
              <w:spacing w:after="0"/>
              <w:rPr>
                <w:sz w:val="15"/>
                <w:szCs w:val="15"/>
                <w:color w:val="auto"/>
              </w:rPr>
            </w:pPr>
          </w:p>
        </w:tc>
        <w:tc>
          <w:tcPr>
            <w:tcW w:w="4220" w:type="dxa"/>
            <w:vAlign w:val="bottom"/>
            <w:tcBorders>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to the Board. Going forward the company is working towards</w:t>
            </w:r>
          </w:p>
        </w:tc>
        <w:tc>
          <w:tcPr>
            <w:tcW w:w="0" w:type="dxa"/>
            <w:vAlign w:val="bottom"/>
          </w:tcPr>
          <w:p>
            <w:pPr>
              <w:spacing w:after="0"/>
              <w:rPr>
                <w:sz w:val="1"/>
                <w:szCs w:val="1"/>
                <w:color w:val="auto"/>
              </w:rPr>
            </w:pPr>
          </w:p>
        </w:tc>
      </w:tr>
      <w:tr>
        <w:trPr>
          <w:trHeight w:val="183"/>
        </w:trPr>
        <w:tc>
          <w:tcPr>
            <w:tcW w:w="4320" w:type="dxa"/>
            <w:vAlign w:val="bottom"/>
            <w:tcBorders>
              <w:left w:val="single" w:sz="8" w:color="4F81BD"/>
              <w:bottom w:val="single" w:sz="8" w:color="EDF2F8"/>
              <w:right w:val="single" w:sz="8" w:color="4F81BD"/>
            </w:tcBorders>
            <w:shd w:val="clear" w:color="auto" w:fill="EDF2F8"/>
          </w:tcPr>
          <w:p>
            <w:pPr>
              <w:spacing w:after="0"/>
              <w:rPr>
                <w:sz w:val="15"/>
                <w:szCs w:val="15"/>
                <w:color w:val="auto"/>
              </w:rPr>
            </w:pPr>
          </w:p>
        </w:tc>
        <w:tc>
          <w:tcPr>
            <w:tcW w:w="180" w:type="dxa"/>
            <w:vAlign w:val="bottom"/>
            <w:tcBorders>
              <w:bottom w:val="single" w:sz="8" w:color="EDF2F8"/>
            </w:tcBorders>
            <w:shd w:val="clear" w:color="auto" w:fill="EDF2F8"/>
          </w:tcPr>
          <w:p>
            <w:pPr>
              <w:spacing w:after="0"/>
              <w:rPr>
                <w:sz w:val="15"/>
                <w:szCs w:val="15"/>
                <w:color w:val="auto"/>
              </w:rPr>
            </w:pPr>
          </w:p>
        </w:tc>
        <w:tc>
          <w:tcPr>
            <w:tcW w:w="4220" w:type="dxa"/>
            <w:vAlign w:val="bottom"/>
            <w:tcBorders>
              <w:bottom w:val="single" w:sz="8" w:color="EDF2F8"/>
              <w:right w:val="single" w:sz="8" w:color="4F81BD"/>
            </w:tcBorders>
            <w:shd w:val="clear" w:color="auto" w:fill="EDF2F8"/>
          </w:tcPr>
          <w:p>
            <w:pPr>
              <w:ind w:left="300"/>
              <w:spacing w:after="0"/>
              <w:rPr>
                <w:sz w:val="20"/>
                <w:szCs w:val="20"/>
                <w:color w:val="auto"/>
              </w:rPr>
            </w:pPr>
            <w:r>
              <w:rPr>
                <w:rFonts w:ascii="Arial" w:cs="Arial" w:eastAsia="Arial" w:hAnsi="Arial"/>
                <w:sz w:val="13"/>
                <w:szCs w:val="13"/>
                <w:color w:val="auto"/>
              </w:rPr>
              <w:t>attaining ISO27001.</w:t>
            </w:r>
          </w:p>
        </w:tc>
        <w:tc>
          <w:tcPr>
            <w:tcW w:w="0" w:type="dxa"/>
            <w:vAlign w:val="bottom"/>
          </w:tcPr>
          <w:p>
            <w:pPr>
              <w:spacing w:after="0"/>
              <w:rPr>
                <w:sz w:val="1"/>
                <w:szCs w:val="1"/>
                <w:color w:val="auto"/>
              </w:rPr>
            </w:pPr>
          </w:p>
        </w:tc>
      </w:tr>
      <w:tr>
        <w:trPr>
          <w:trHeight w:val="20"/>
        </w:trPr>
        <w:tc>
          <w:tcPr>
            <w:tcW w:w="4320" w:type="dxa"/>
            <w:vAlign w:val="bottom"/>
            <w:tcBorders>
              <w:left w:val="single" w:sz="8" w:color="4F81BD"/>
              <w:right w:val="single" w:sz="8" w:color="4F81BD"/>
            </w:tcBorders>
            <w:shd w:val="clear" w:color="auto" w:fill="4F81BD"/>
          </w:tcPr>
          <w:p>
            <w:pPr>
              <w:spacing w:after="0" w:line="20" w:lineRule="exact"/>
              <w:rPr>
                <w:sz w:val="1"/>
                <w:szCs w:val="1"/>
                <w:color w:val="auto"/>
              </w:rPr>
            </w:pPr>
          </w:p>
        </w:tc>
        <w:tc>
          <w:tcPr>
            <w:tcW w:w="180" w:type="dxa"/>
            <w:vAlign w:val="bottom"/>
            <w:shd w:val="clear" w:color="auto" w:fill="4F81BD"/>
          </w:tcPr>
          <w:p>
            <w:pPr>
              <w:spacing w:after="0" w:line="20" w:lineRule="exact"/>
              <w:rPr>
                <w:sz w:val="1"/>
                <w:szCs w:val="1"/>
                <w:color w:val="auto"/>
              </w:rPr>
            </w:pPr>
          </w:p>
        </w:tc>
        <w:tc>
          <w:tcPr>
            <w:tcW w:w="4220" w:type="dxa"/>
            <w:vAlign w:val="bottom"/>
            <w:tcBorders>
              <w:right w:val="single" w:sz="8" w:color="4F81BD"/>
            </w:tcBorders>
            <w:shd w:val="clear" w:color="auto" w:fill="4F81B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3231515</wp:posOffset>
            </wp:positionV>
            <wp:extent cx="297180" cy="290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0" w:name="page31"/>
    <w:bookmarkEnd w:id="30"/>
    <w:p>
      <w:pPr>
        <w:spacing w:after="0" w:line="114" w:lineRule="exact"/>
        <w:rPr>
          <w:sz w:val="20"/>
          <w:szCs w:val="20"/>
          <w:color w:val="auto"/>
        </w:rPr>
      </w:pPr>
    </w:p>
    <w:tbl>
      <w:tblPr>
        <w:tblLayout w:type="fixed"/>
        <w:tblInd w:w="210" w:type="dxa"/>
        <w:tblCellMar>
          <w:top w:w="0" w:type="dxa"/>
          <w:left w:w="0" w:type="dxa"/>
          <w:bottom w:w="0" w:type="dxa"/>
          <w:right w:w="0" w:type="dxa"/>
        </w:tblCellMar>
      </w:tblPr>
      <w:tr>
        <w:trPr>
          <w:trHeight w:val="245"/>
        </w:trPr>
        <w:tc>
          <w:tcPr>
            <w:tcW w:w="4360" w:type="dxa"/>
            <w:vAlign w:val="bottom"/>
            <w:tcBorders>
              <w:left w:val="single" w:sz="8" w:color="9E318D"/>
              <w:right w:val="single" w:sz="8" w:color="9E318D"/>
            </w:tcBorders>
            <w:shd w:val="clear" w:color="auto" w:fill="9E318D"/>
          </w:tcPr>
          <w:p>
            <w:pPr>
              <w:ind w:left="1140"/>
              <w:spacing w:after="0"/>
              <w:rPr>
                <w:sz w:val="20"/>
                <w:szCs w:val="20"/>
                <w:color w:val="auto"/>
              </w:rPr>
            </w:pPr>
            <w:r>
              <w:rPr>
                <w:rFonts w:ascii="Arial" w:cs="Arial" w:eastAsia="Arial" w:hAnsi="Arial"/>
                <w:sz w:val="16"/>
                <w:szCs w:val="16"/>
                <w:b w:val="1"/>
                <w:bCs w:val="1"/>
                <w:color w:val="FFFFFF"/>
              </w:rPr>
              <w:t>Health, Safety &amp; Wellbeing</w:t>
            </w:r>
          </w:p>
        </w:tc>
        <w:tc>
          <w:tcPr>
            <w:tcW w:w="4320" w:type="dxa"/>
            <w:vAlign w:val="bottom"/>
            <w:tcBorders>
              <w:right w:val="single" w:sz="8" w:color="9E318D"/>
            </w:tcBorders>
            <w:shd w:val="clear" w:color="auto" w:fill="9E318D"/>
          </w:tcPr>
          <w:p>
            <w:pPr>
              <w:ind w:left="1180"/>
              <w:spacing w:after="0"/>
              <w:rPr>
                <w:sz w:val="20"/>
                <w:szCs w:val="20"/>
                <w:color w:val="auto"/>
              </w:rPr>
            </w:pPr>
            <w:r>
              <w:rPr>
                <w:rFonts w:ascii="Arial" w:cs="Arial" w:eastAsia="Arial" w:hAnsi="Arial"/>
                <w:sz w:val="16"/>
                <w:szCs w:val="16"/>
                <w:b w:val="1"/>
                <w:bCs w:val="1"/>
                <w:color w:val="FFFFFF"/>
              </w:rPr>
              <w:t>Community Engagement</w:t>
            </w:r>
          </w:p>
        </w:tc>
        <w:tc>
          <w:tcPr>
            <w:tcW w:w="0" w:type="dxa"/>
            <w:vAlign w:val="bottom"/>
          </w:tcPr>
          <w:p>
            <w:pPr>
              <w:spacing w:after="0"/>
              <w:rPr>
                <w:sz w:val="1"/>
                <w:szCs w:val="1"/>
                <w:color w:val="auto"/>
              </w:rPr>
            </w:pPr>
          </w:p>
        </w:tc>
      </w:tr>
      <w:tr>
        <w:trPr>
          <w:trHeight w:val="201"/>
        </w:trPr>
        <w:tc>
          <w:tcPr>
            <w:tcW w:w="4360" w:type="dxa"/>
            <w:vAlign w:val="bottom"/>
            <w:tcBorders>
              <w:left w:val="single" w:sz="8" w:color="9E318D"/>
              <w:right w:val="single" w:sz="8" w:color="9E318D"/>
            </w:tcBorders>
          </w:tcPr>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9E318D"/>
              </w:rPr>
              <w:t>Active near miss incident reporting program</w:t>
            </w:r>
            <w:r>
              <w:rPr>
                <w:rFonts w:ascii="Arial" w:cs="Arial" w:eastAsia="Arial" w:hAnsi="Arial"/>
                <w:sz w:val="13"/>
                <w:szCs w:val="13"/>
                <w:color w:val="auto"/>
              </w:rPr>
              <w:t xml:space="preserve"> (defined as a</w:t>
            </w:r>
          </w:p>
        </w:tc>
        <w:tc>
          <w:tcPr>
            <w:tcW w:w="4320" w:type="dxa"/>
            <w:vAlign w:val="bottom"/>
            <w:tcBorders>
              <w:right w:val="single" w:sz="8" w:color="9E318D"/>
            </w:tcBorders>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9E318D"/>
              </w:rPr>
              <w:t>Over $791,000</w:t>
            </w:r>
            <w:r>
              <w:rPr>
                <w:rFonts w:ascii="Arial" w:cs="Arial" w:eastAsia="Arial" w:hAnsi="Arial"/>
                <w:sz w:val="13"/>
                <w:szCs w:val="13"/>
                <w:color w:val="auto"/>
              </w:rPr>
              <w:t xml:space="preserve"> social value in 2024 supporting 210 charities and</w:t>
            </w:r>
          </w:p>
        </w:tc>
        <w:tc>
          <w:tcPr>
            <w:tcW w:w="0" w:type="dxa"/>
            <w:vAlign w:val="bottom"/>
          </w:tcPr>
          <w:p>
            <w:pPr>
              <w:spacing w:after="0"/>
              <w:rPr>
                <w:sz w:val="1"/>
                <w:szCs w:val="1"/>
                <w:color w:val="auto"/>
              </w:rPr>
            </w:pPr>
          </w:p>
        </w:tc>
      </w:tr>
      <w:tr>
        <w:trPr>
          <w:trHeight w:val="175"/>
        </w:trPr>
        <w:tc>
          <w:tcPr>
            <w:tcW w:w="4360" w:type="dxa"/>
            <w:vAlign w:val="bottom"/>
            <w:tcBorders>
              <w:left w:val="single" w:sz="8" w:color="9E318D"/>
              <w:right w:val="single" w:sz="8" w:color="9E318D"/>
            </w:tcBorders>
          </w:tcPr>
          <w:p>
            <w:pPr>
              <w:ind w:left="300"/>
              <w:spacing w:after="0"/>
              <w:rPr>
                <w:sz w:val="20"/>
                <w:szCs w:val="20"/>
                <w:color w:val="auto"/>
              </w:rPr>
            </w:pPr>
            <w:r>
              <w:rPr>
                <w:rFonts w:ascii="Arial" w:cs="Arial" w:eastAsia="Arial" w:hAnsi="Arial"/>
                <w:sz w:val="13"/>
                <w:szCs w:val="13"/>
                <w:color w:val="auto"/>
              </w:rPr>
              <w:t>learning event that did not cause harm but had the potential to</w:t>
            </w:r>
          </w:p>
        </w:tc>
        <w:tc>
          <w:tcPr>
            <w:tcW w:w="4320" w:type="dxa"/>
            <w:vAlign w:val="bottom"/>
            <w:tcBorders>
              <w:right w:val="single" w:sz="8" w:color="9E318D"/>
            </w:tcBorders>
          </w:tcPr>
          <w:p>
            <w:pPr>
              <w:ind w:left="280"/>
              <w:spacing w:after="0"/>
              <w:rPr>
                <w:sz w:val="20"/>
                <w:szCs w:val="20"/>
                <w:color w:val="auto"/>
              </w:rPr>
            </w:pPr>
            <w:r>
              <w:rPr>
                <w:rFonts w:ascii="Arial" w:cs="Arial" w:eastAsia="Arial" w:hAnsi="Arial"/>
                <w:sz w:val="13"/>
                <w:szCs w:val="13"/>
                <w:color w:val="auto"/>
              </w:rPr>
              <w:t>good causes</w:t>
            </w:r>
          </w:p>
        </w:tc>
        <w:tc>
          <w:tcPr>
            <w:tcW w:w="0" w:type="dxa"/>
            <w:vAlign w:val="bottom"/>
          </w:tcPr>
          <w:p>
            <w:pPr>
              <w:spacing w:after="0"/>
              <w:rPr>
                <w:sz w:val="1"/>
                <w:szCs w:val="1"/>
                <w:color w:val="auto"/>
              </w:rPr>
            </w:pPr>
          </w:p>
        </w:tc>
      </w:tr>
      <w:tr>
        <w:trPr>
          <w:trHeight w:val="178"/>
        </w:trPr>
        <w:tc>
          <w:tcPr>
            <w:tcW w:w="4360" w:type="dxa"/>
            <w:vAlign w:val="bottom"/>
            <w:tcBorders>
              <w:left w:val="single" w:sz="8" w:color="9E318D"/>
              <w:right w:val="single" w:sz="8" w:color="9E318D"/>
            </w:tcBorders>
          </w:tcPr>
          <w:p>
            <w:pPr>
              <w:ind w:left="300"/>
              <w:spacing w:after="0"/>
              <w:rPr>
                <w:sz w:val="20"/>
                <w:szCs w:val="20"/>
                <w:color w:val="auto"/>
              </w:rPr>
            </w:pPr>
            <w:r>
              <w:rPr>
                <w:rFonts w:ascii="Arial" w:cs="Arial" w:eastAsia="Arial" w:hAnsi="Arial"/>
                <w:sz w:val="13"/>
                <w:szCs w:val="13"/>
                <w:color w:val="auto"/>
              </w:rPr>
              <w:t>cause injury or loss), with 13,633 near misses raised in 2024, up</w:t>
            </w:r>
          </w:p>
        </w:tc>
        <w:tc>
          <w:tcPr>
            <w:tcW w:w="432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9E318D"/>
              </w:rPr>
              <w:t>Innospec Cares</w:t>
            </w:r>
            <w:r>
              <w:rPr>
                <w:rFonts w:ascii="Arial" w:cs="Arial" w:eastAsia="Arial" w:hAnsi="Arial"/>
                <w:sz w:val="13"/>
                <w:szCs w:val="13"/>
                <w:color w:val="auto"/>
              </w:rPr>
              <w:t>, our global charitable program that enables</w:t>
            </w:r>
          </w:p>
        </w:tc>
        <w:tc>
          <w:tcPr>
            <w:tcW w:w="0" w:type="dxa"/>
            <w:vAlign w:val="bottom"/>
          </w:tcPr>
          <w:p>
            <w:pPr>
              <w:spacing w:after="0"/>
              <w:rPr>
                <w:sz w:val="1"/>
                <w:szCs w:val="1"/>
                <w:color w:val="auto"/>
              </w:rPr>
            </w:pPr>
          </w:p>
        </w:tc>
      </w:tr>
      <w:tr>
        <w:trPr>
          <w:trHeight w:val="59"/>
        </w:trPr>
        <w:tc>
          <w:tcPr>
            <w:tcW w:w="4360" w:type="dxa"/>
            <w:vAlign w:val="bottom"/>
            <w:tcBorders>
              <w:left w:val="single" w:sz="8" w:color="9E318D"/>
              <w:right w:val="single" w:sz="8" w:color="9E318D"/>
            </w:tcBorders>
            <w:vMerge w:val="restart"/>
          </w:tcPr>
          <w:p>
            <w:pPr>
              <w:ind w:left="300"/>
              <w:spacing w:after="0"/>
              <w:rPr>
                <w:sz w:val="20"/>
                <w:szCs w:val="20"/>
                <w:color w:val="auto"/>
              </w:rPr>
            </w:pPr>
            <w:r>
              <w:rPr>
                <w:rFonts w:ascii="Arial" w:cs="Arial" w:eastAsia="Arial" w:hAnsi="Arial"/>
                <w:sz w:val="13"/>
                <w:szCs w:val="13"/>
                <w:color w:val="auto"/>
              </w:rPr>
              <w:t>2% on 2023</w:t>
            </w:r>
          </w:p>
        </w:tc>
        <w:tc>
          <w:tcPr>
            <w:tcW w:w="4320" w:type="dxa"/>
            <w:vAlign w:val="bottom"/>
            <w:tcBorders>
              <w:right w:val="single" w:sz="8" w:color="9E318D"/>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360" w:type="dxa"/>
            <w:vAlign w:val="bottom"/>
            <w:tcBorders>
              <w:left w:val="single" w:sz="8" w:color="9E318D"/>
              <w:right w:val="single" w:sz="8" w:color="9E318D"/>
            </w:tcBorders>
            <w:vMerge w:val="continue"/>
          </w:tcPr>
          <w:p>
            <w:pPr>
              <w:spacing w:after="0"/>
              <w:rPr>
                <w:sz w:val="10"/>
                <w:szCs w:val="10"/>
                <w:color w:val="auto"/>
              </w:rPr>
            </w:pPr>
          </w:p>
        </w:tc>
        <w:tc>
          <w:tcPr>
            <w:tcW w:w="4320" w:type="dxa"/>
            <w:vAlign w:val="bottom"/>
            <w:tcBorders>
              <w:right w:val="single" w:sz="8" w:color="9E318D"/>
            </w:tcBorders>
            <w:vMerge w:val="restart"/>
          </w:tcPr>
          <w:p>
            <w:pPr>
              <w:ind w:left="280"/>
              <w:spacing w:after="0"/>
              <w:rPr>
                <w:sz w:val="20"/>
                <w:szCs w:val="20"/>
                <w:color w:val="auto"/>
              </w:rPr>
            </w:pPr>
            <w:r>
              <w:rPr>
                <w:rFonts w:ascii="Arial" w:cs="Arial" w:eastAsia="Arial" w:hAnsi="Arial"/>
                <w:sz w:val="13"/>
                <w:szCs w:val="13"/>
                <w:color w:val="auto"/>
              </w:rPr>
              <w:t>employees to support their chosen charitable organizations</w:t>
            </w:r>
          </w:p>
        </w:tc>
        <w:tc>
          <w:tcPr>
            <w:tcW w:w="0" w:type="dxa"/>
            <w:vAlign w:val="bottom"/>
          </w:tcPr>
          <w:p>
            <w:pPr>
              <w:spacing w:after="0"/>
              <w:rPr>
                <w:sz w:val="1"/>
                <w:szCs w:val="1"/>
                <w:color w:val="auto"/>
              </w:rPr>
            </w:pPr>
          </w:p>
        </w:tc>
      </w:tr>
      <w:tr>
        <w:trPr>
          <w:trHeight w:val="56"/>
        </w:trPr>
        <w:tc>
          <w:tcPr>
            <w:tcW w:w="4360" w:type="dxa"/>
            <w:vAlign w:val="bottom"/>
            <w:tcBorders>
              <w:left w:val="single" w:sz="8" w:color="9E318D"/>
              <w:right w:val="single" w:sz="8" w:color="9E318D"/>
            </w:tcBorders>
          </w:tcPr>
          <w:p>
            <w:pPr>
              <w:spacing w:after="0"/>
              <w:rPr>
                <w:sz w:val="4"/>
                <w:szCs w:val="4"/>
                <w:color w:val="auto"/>
              </w:rPr>
            </w:pPr>
          </w:p>
        </w:tc>
        <w:tc>
          <w:tcPr>
            <w:tcW w:w="432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4360" w:type="dxa"/>
            <w:vAlign w:val="bottom"/>
            <w:tcBorders>
              <w:left w:val="single" w:sz="8" w:color="9E318D"/>
              <w:right w:val="single" w:sz="8" w:color="9E318D"/>
            </w:tcBorders>
          </w:tcPr>
          <w:p>
            <w:pPr>
              <w:ind w:left="80"/>
              <w:spacing w:after="0"/>
              <w:rPr>
                <w:sz w:val="20"/>
                <w:szCs w:val="20"/>
                <w:color w:val="auto"/>
              </w:rPr>
            </w:pPr>
            <w:r>
              <w:rPr>
                <w:rFonts w:ascii="Arial" w:cs="Arial" w:eastAsia="Arial" w:hAnsi="Arial"/>
                <w:sz w:val="13"/>
                <w:szCs w:val="13"/>
                <w:color w:val="auto"/>
              </w:rPr>
              <w:t xml:space="preserve">•   Innospec 2024 </w:t>
            </w:r>
            <w:r>
              <w:rPr>
                <w:rFonts w:ascii="Arial" w:cs="Arial" w:eastAsia="Arial" w:hAnsi="Arial"/>
                <w:sz w:val="13"/>
                <w:szCs w:val="13"/>
                <w:b w:val="1"/>
                <w:bCs w:val="1"/>
                <w:color w:val="9E318D"/>
              </w:rPr>
              <w:t>Employee Reportable Lost Time Accident</w:t>
            </w:r>
          </w:p>
        </w:tc>
        <w:tc>
          <w:tcPr>
            <w:tcW w:w="4320" w:type="dxa"/>
            <w:vAlign w:val="bottom"/>
            <w:tcBorders>
              <w:right w:val="single" w:sz="8" w:color="9E318D"/>
            </w:tcBorders>
          </w:tcPr>
          <w:p>
            <w:pPr>
              <w:ind w:left="280"/>
              <w:spacing w:after="0"/>
              <w:rPr>
                <w:sz w:val="20"/>
                <w:szCs w:val="20"/>
                <w:color w:val="auto"/>
              </w:rPr>
            </w:pPr>
            <w:r>
              <w:rPr>
                <w:rFonts w:ascii="Arial" w:cs="Arial" w:eastAsia="Arial" w:hAnsi="Arial"/>
                <w:sz w:val="13"/>
                <w:szCs w:val="13"/>
                <w:color w:val="auto"/>
              </w:rPr>
              <w:t>through financial giving and volunteering days</w:t>
            </w:r>
          </w:p>
        </w:tc>
        <w:tc>
          <w:tcPr>
            <w:tcW w:w="0" w:type="dxa"/>
            <w:vAlign w:val="bottom"/>
          </w:tcPr>
          <w:p>
            <w:pPr>
              <w:spacing w:after="0"/>
              <w:rPr>
                <w:sz w:val="1"/>
                <w:szCs w:val="1"/>
                <w:color w:val="auto"/>
              </w:rPr>
            </w:pPr>
          </w:p>
        </w:tc>
      </w:tr>
      <w:tr>
        <w:trPr>
          <w:trHeight w:val="185"/>
        </w:trPr>
        <w:tc>
          <w:tcPr>
            <w:tcW w:w="4360" w:type="dxa"/>
            <w:vAlign w:val="bottom"/>
            <w:tcBorders>
              <w:left w:val="single" w:sz="8" w:color="9E318D"/>
              <w:right w:val="single" w:sz="8" w:color="9E318D"/>
            </w:tcBorders>
          </w:tcPr>
          <w:p>
            <w:pPr>
              <w:ind w:left="300"/>
              <w:spacing w:after="0"/>
              <w:rPr>
                <w:sz w:val="20"/>
                <w:szCs w:val="20"/>
                <w:color w:val="auto"/>
              </w:rPr>
            </w:pPr>
            <w:r>
              <w:rPr>
                <w:rFonts w:ascii="Arial" w:cs="Arial" w:eastAsia="Arial" w:hAnsi="Arial"/>
                <w:sz w:val="13"/>
                <w:szCs w:val="13"/>
                <w:b w:val="1"/>
                <w:bCs w:val="1"/>
                <w:color w:val="9E318D"/>
              </w:rPr>
              <w:t xml:space="preserve">Frequency Rate </w:t>
            </w:r>
            <w:r>
              <w:rPr>
                <w:rFonts w:ascii="Arial" w:cs="Arial" w:eastAsia="Arial" w:hAnsi="Arial"/>
                <w:sz w:val="13"/>
                <w:szCs w:val="13"/>
                <w:color w:val="000000"/>
              </w:rPr>
              <w:t>of 0.32 per 100,000 hours.</w:t>
            </w:r>
          </w:p>
        </w:tc>
        <w:tc>
          <w:tcPr>
            <w:tcW w:w="432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9E318D"/>
              </w:rPr>
              <w:t>1,558 employee volunteering hours</w:t>
            </w:r>
            <w:r>
              <w:rPr>
                <w:rFonts w:ascii="Arial" w:cs="Arial" w:eastAsia="Arial" w:hAnsi="Arial"/>
                <w:sz w:val="13"/>
                <w:szCs w:val="13"/>
                <w:color w:val="auto"/>
              </w:rPr>
              <w:t xml:space="preserve"> worked for good causes</w:t>
            </w:r>
          </w:p>
        </w:tc>
        <w:tc>
          <w:tcPr>
            <w:tcW w:w="0" w:type="dxa"/>
            <w:vAlign w:val="bottom"/>
          </w:tcPr>
          <w:p>
            <w:pPr>
              <w:spacing w:after="0"/>
              <w:rPr>
                <w:sz w:val="1"/>
                <w:szCs w:val="1"/>
                <w:color w:val="auto"/>
              </w:rPr>
            </w:pPr>
          </w:p>
        </w:tc>
      </w:tr>
      <w:tr>
        <w:trPr>
          <w:trHeight w:val="67"/>
        </w:trPr>
        <w:tc>
          <w:tcPr>
            <w:tcW w:w="4360" w:type="dxa"/>
            <w:vAlign w:val="bottom"/>
            <w:tcBorders>
              <w:left w:val="single" w:sz="8" w:color="9E318D"/>
              <w:right w:val="single" w:sz="8" w:color="9E318D"/>
            </w:tcBorders>
            <w:vMerge w:val="restart"/>
          </w:tcPr>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color w:val="9E318D"/>
              </w:rPr>
              <w:t>Process safety</w:t>
            </w:r>
            <w:r>
              <w:rPr>
                <w:rFonts w:ascii="Arial" w:cs="Arial" w:eastAsia="Arial" w:hAnsi="Arial"/>
                <w:sz w:val="13"/>
                <w:szCs w:val="13"/>
                <w:color w:val="auto"/>
              </w:rPr>
              <w:t xml:space="preserve"> systems, procedures and leadership targeting the</w:t>
            </w:r>
          </w:p>
        </w:tc>
        <w:tc>
          <w:tcPr>
            <w:tcW w:w="4320" w:type="dxa"/>
            <w:vAlign w:val="bottom"/>
            <w:tcBorders>
              <w:right w:val="single" w:sz="8" w:color="9E318D"/>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360" w:type="dxa"/>
            <w:vAlign w:val="bottom"/>
            <w:tcBorders>
              <w:left w:val="single" w:sz="8" w:color="9E318D"/>
              <w:right w:val="single" w:sz="8" w:color="9E318D"/>
            </w:tcBorders>
            <w:vMerge w:val="continue"/>
          </w:tcPr>
          <w:p>
            <w:pPr>
              <w:spacing w:after="0"/>
              <w:rPr>
                <w:sz w:val="14"/>
                <w:szCs w:val="14"/>
                <w:color w:val="auto"/>
              </w:rPr>
            </w:pPr>
          </w:p>
        </w:tc>
        <w:tc>
          <w:tcPr>
            <w:tcW w:w="4320" w:type="dxa"/>
            <w:vAlign w:val="bottom"/>
            <w:tcBorders>
              <w:right w:val="single" w:sz="8" w:color="9E318D"/>
            </w:tcBorders>
            <w:vMerge w:val="restart"/>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9E318D"/>
              </w:rPr>
              <w:t>Over $2.3 million</w:t>
            </w:r>
            <w:r>
              <w:rPr>
                <w:rFonts w:ascii="Arial" w:cs="Arial" w:eastAsia="Arial" w:hAnsi="Arial"/>
                <w:sz w:val="13"/>
                <w:szCs w:val="13"/>
                <w:color w:val="auto"/>
              </w:rPr>
              <w:t xml:space="preserve"> raised for the PenFed Foundation Military</w:t>
            </w:r>
          </w:p>
        </w:tc>
        <w:tc>
          <w:tcPr>
            <w:tcW w:w="0" w:type="dxa"/>
            <w:vAlign w:val="bottom"/>
          </w:tcPr>
          <w:p>
            <w:pPr>
              <w:spacing w:after="0"/>
              <w:rPr>
                <w:sz w:val="1"/>
                <w:szCs w:val="1"/>
                <w:color w:val="auto"/>
              </w:rPr>
            </w:pPr>
          </w:p>
        </w:tc>
      </w:tr>
      <w:tr>
        <w:trPr>
          <w:trHeight w:val="59"/>
        </w:trPr>
        <w:tc>
          <w:tcPr>
            <w:tcW w:w="4360" w:type="dxa"/>
            <w:vAlign w:val="bottom"/>
            <w:tcBorders>
              <w:left w:val="single" w:sz="8" w:color="9E318D"/>
              <w:right w:val="single" w:sz="8" w:color="9E318D"/>
            </w:tcBorders>
            <w:vMerge w:val="restart"/>
          </w:tcPr>
          <w:p>
            <w:pPr>
              <w:ind w:left="300"/>
              <w:spacing w:after="0"/>
              <w:rPr>
                <w:sz w:val="20"/>
                <w:szCs w:val="20"/>
                <w:color w:val="auto"/>
              </w:rPr>
            </w:pPr>
            <w:r>
              <w:rPr>
                <w:rFonts w:ascii="Arial" w:cs="Arial" w:eastAsia="Arial" w:hAnsi="Arial"/>
                <w:sz w:val="13"/>
                <w:szCs w:val="13"/>
                <w:color w:val="auto"/>
              </w:rPr>
              <w:t>prevention of major accident hazard events</w:t>
            </w:r>
          </w:p>
        </w:tc>
        <w:tc>
          <w:tcPr>
            <w:tcW w:w="4320" w:type="dxa"/>
            <w:vAlign w:val="bottom"/>
            <w:tcBorders>
              <w:right w:val="single" w:sz="8" w:color="9E318D"/>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360" w:type="dxa"/>
            <w:vAlign w:val="bottom"/>
            <w:tcBorders>
              <w:left w:val="single" w:sz="8" w:color="9E318D"/>
              <w:right w:val="single" w:sz="8" w:color="9E318D"/>
            </w:tcBorders>
            <w:vMerge w:val="continue"/>
          </w:tcPr>
          <w:p>
            <w:pPr>
              <w:spacing w:after="0"/>
              <w:rPr>
                <w:sz w:val="10"/>
                <w:szCs w:val="10"/>
                <w:color w:val="auto"/>
              </w:rPr>
            </w:pPr>
          </w:p>
        </w:tc>
        <w:tc>
          <w:tcPr>
            <w:tcW w:w="4320" w:type="dxa"/>
            <w:vAlign w:val="bottom"/>
            <w:tcBorders>
              <w:right w:val="single" w:sz="8" w:color="9E318D"/>
            </w:tcBorders>
            <w:vMerge w:val="restart"/>
          </w:tcPr>
          <w:p>
            <w:pPr>
              <w:ind w:left="280"/>
              <w:spacing w:after="0"/>
              <w:rPr>
                <w:sz w:val="20"/>
                <w:szCs w:val="20"/>
                <w:color w:val="auto"/>
              </w:rPr>
            </w:pPr>
            <w:r>
              <w:rPr>
                <w:rFonts w:ascii="Arial" w:cs="Arial" w:eastAsia="Arial" w:hAnsi="Arial"/>
                <w:sz w:val="13"/>
                <w:szCs w:val="13"/>
                <w:color w:val="auto"/>
              </w:rPr>
              <w:t>Heroes Fund since 2007</w:t>
            </w:r>
          </w:p>
        </w:tc>
        <w:tc>
          <w:tcPr>
            <w:tcW w:w="0" w:type="dxa"/>
            <w:vAlign w:val="bottom"/>
          </w:tcPr>
          <w:p>
            <w:pPr>
              <w:spacing w:after="0"/>
              <w:rPr>
                <w:sz w:val="1"/>
                <w:szCs w:val="1"/>
                <w:color w:val="auto"/>
              </w:rPr>
            </w:pPr>
          </w:p>
        </w:tc>
      </w:tr>
      <w:tr>
        <w:trPr>
          <w:trHeight w:val="56"/>
        </w:trPr>
        <w:tc>
          <w:tcPr>
            <w:tcW w:w="4360" w:type="dxa"/>
            <w:vAlign w:val="bottom"/>
            <w:tcBorders>
              <w:left w:val="single" w:sz="8" w:color="9E318D"/>
              <w:right w:val="single" w:sz="8" w:color="9E318D"/>
            </w:tcBorders>
          </w:tcPr>
          <w:p>
            <w:pPr>
              <w:spacing w:after="0"/>
              <w:rPr>
                <w:sz w:val="4"/>
                <w:szCs w:val="4"/>
                <w:color w:val="auto"/>
              </w:rPr>
            </w:pPr>
          </w:p>
        </w:tc>
        <w:tc>
          <w:tcPr>
            <w:tcW w:w="432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360" w:type="dxa"/>
            <w:vAlign w:val="bottom"/>
            <w:tcBorders>
              <w:left w:val="single" w:sz="8" w:color="9E318D"/>
              <w:right w:val="single" w:sz="8" w:color="9E318D"/>
            </w:tcBorders>
          </w:tcPr>
          <w:p>
            <w:pPr>
              <w:ind w:left="80"/>
              <w:spacing w:after="0"/>
              <w:rPr>
                <w:sz w:val="20"/>
                <w:szCs w:val="20"/>
                <w:color w:val="auto"/>
              </w:rPr>
            </w:pPr>
            <w:r>
              <w:rPr>
                <w:rFonts w:ascii="Arial" w:cs="Arial" w:eastAsia="Arial" w:hAnsi="Arial"/>
                <w:sz w:val="13"/>
                <w:szCs w:val="13"/>
                <w:color w:val="auto"/>
              </w:rPr>
              <w:t xml:space="preserve">•   Corporate behavioral safety program </w:t>
            </w:r>
            <w:r>
              <w:rPr>
                <w:rFonts w:ascii="Arial" w:cs="Arial" w:eastAsia="Arial" w:hAnsi="Arial"/>
                <w:sz w:val="13"/>
                <w:szCs w:val="13"/>
                <w:b w:val="1"/>
                <w:bCs w:val="1"/>
                <w:color w:val="9E318D"/>
              </w:rPr>
              <w:t>Journey to Zero Harm</w:t>
            </w:r>
            <w:r>
              <w:rPr>
                <w:rFonts w:ascii="Arial" w:cs="Arial" w:eastAsia="Arial" w:hAnsi="Arial"/>
                <w:sz w:val="13"/>
                <w:szCs w:val="13"/>
                <w:color w:val="auto"/>
              </w:rPr>
              <w:t xml:space="preserve"> rolled</w:t>
            </w:r>
          </w:p>
        </w:tc>
        <w:tc>
          <w:tcPr>
            <w:tcW w:w="4320" w:type="dxa"/>
            <w:vAlign w:val="bottom"/>
            <w:tcBorders>
              <w:right w:val="single" w:sz="8" w:color="9E318D"/>
            </w:tcBorders>
          </w:tcPr>
          <w:p>
            <w:pPr>
              <w:ind w:left="40"/>
              <w:spacing w:after="0"/>
              <w:rPr>
                <w:sz w:val="20"/>
                <w:szCs w:val="20"/>
                <w:color w:val="auto"/>
              </w:rPr>
            </w:pPr>
            <w:r>
              <w:rPr>
                <w:rFonts w:ascii="Arial" w:cs="Arial" w:eastAsia="Arial" w:hAnsi="Arial"/>
                <w:sz w:val="13"/>
                <w:szCs w:val="13"/>
                <w:color w:val="auto"/>
              </w:rPr>
              <w:t>•   Supporting the next generation of scientists and engineers through</w:t>
            </w:r>
          </w:p>
        </w:tc>
        <w:tc>
          <w:tcPr>
            <w:tcW w:w="0" w:type="dxa"/>
            <w:vAlign w:val="bottom"/>
          </w:tcPr>
          <w:p>
            <w:pPr>
              <w:spacing w:after="0"/>
              <w:rPr>
                <w:sz w:val="1"/>
                <w:szCs w:val="1"/>
                <w:color w:val="auto"/>
              </w:rPr>
            </w:pPr>
          </w:p>
        </w:tc>
      </w:tr>
      <w:tr>
        <w:trPr>
          <w:trHeight w:val="175"/>
        </w:trPr>
        <w:tc>
          <w:tcPr>
            <w:tcW w:w="4360" w:type="dxa"/>
            <w:vAlign w:val="bottom"/>
            <w:tcBorders>
              <w:left w:val="single" w:sz="8" w:color="9E318D"/>
              <w:right w:val="single" w:sz="8" w:color="9E318D"/>
            </w:tcBorders>
          </w:tcPr>
          <w:p>
            <w:pPr>
              <w:ind w:left="300"/>
              <w:spacing w:after="0"/>
              <w:rPr>
                <w:sz w:val="20"/>
                <w:szCs w:val="20"/>
                <w:color w:val="auto"/>
              </w:rPr>
            </w:pPr>
            <w:r>
              <w:rPr>
                <w:rFonts w:ascii="Arial" w:cs="Arial" w:eastAsia="Arial" w:hAnsi="Arial"/>
                <w:sz w:val="13"/>
                <w:szCs w:val="13"/>
                <w:color w:val="auto"/>
              </w:rPr>
              <w:t>out to all employees globally</w:t>
            </w:r>
          </w:p>
        </w:tc>
        <w:tc>
          <w:tcPr>
            <w:tcW w:w="4320" w:type="dxa"/>
            <w:vAlign w:val="bottom"/>
            <w:tcBorders>
              <w:right w:val="single" w:sz="8" w:color="9E318D"/>
            </w:tcBorders>
            <w:vMerge w:val="restart"/>
          </w:tcPr>
          <w:p>
            <w:pPr>
              <w:ind w:left="280"/>
              <w:spacing w:after="0"/>
              <w:rPr>
                <w:sz w:val="20"/>
                <w:szCs w:val="20"/>
                <w:color w:val="auto"/>
              </w:rPr>
            </w:pPr>
            <w:r>
              <w:rPr>
                <w:rFonts w:ascii="Arial" w:cs="Arial" w:eastAsia="Arial" w:hAnsi="Arial"/>
                <w:sz w:val="13"/>
                <w:szCs w:val="13"/>
                <w:b w:val="1"/>
                <w:bCs w:val="1"/>
                <w:color w:val="9E318D"/>
              </w:rPr>
              <w:t>engagement with schools and educational centers</w:t>
            </w:r>
          </w:p>
        </w:tc>
        <w:tc>
          <w:tcPr>
            <w:tcW w:w="0" w:type="dxa"/>
            <w:vAlign w:val="bottom"/>
          </w:tcPr>
          <w:p>
            <w:pPr>
              <w:spacing w:after="0"/>
              <w:rPr>
                <w:sz w:val="1"/>
                <w:szCs w:val="1"/>
                <w:color w:val="auto"/>
              </w:rPr>
            </w:pPr>
          </w:p>
        </w:tc>
      </w:tr>
      <w:tr>
        <w:trPr>
          <w:trHeight w:val="53"/>
        </w:trPr>
        <w:tc>
          <w:tcPr>
            <w:tcW w:w="4360" w:type="dxa"/>
            <w:vAlign w:val="bottom"/>
            <w:tcBorders>
              <w:left w:val="single" w:sz="8" w:color="9E318D"/>
              <w:right w:val="single" w:sz="8" w:color="9E318D"/>
            </w:tcBorders>
            <w:vMerge w:val="restart"/>
          </w:tcPr>
          <w:p>
            <w:pPr>
              <w:ind w:left="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9E318D"/>
              </w:rPr>
              <w:t>Wellbeing support, training and advice</w:t>
            </w:r>
            <w:r>
              <w:rPr>
                <w:rFonts w:ascii="Arial" w:cs="Arial" w:eastAsia="Arial" w:hAnsi="Arial"/>
                <w:sz w:val="13"/>
                <w:szCs w:val="13"/>
                <w:color w:val="auto"/>
              </w:rPr>
              <w:t xml:space="preserve"> offered to employees</w:t>
            </w:r>
          </w:p>
        </w:tc>
        <w:tc>
          <w:tcPr>
            <w:tcW w:w="4320" w:type="dxa"/>
            <w:vAlign w:val="bottom"/>
            <w:tcBorders>
              <w:right w:val="single" w:sz="8" w:color="9E318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60" w:type="dxa"/>
            <w:vAlign w:val="bottom"/>
            <w:tcBorders>
              <w:left w:val="single" w:sz="8" w:color="9E318D"/>
              <w:bottom w:val="single" w:sz="8" w:color="9E318D"/>
              <w:right w:val="single" w:sz="8" w:color="9E318D"/>
            </w:tcBorders>
            <w:vMerge w:val="continue"/>
          </w:tcPr>
          <w:p>
            <w:pPr>
              <w:spacing w:after="0"/>
              <w:rPr>
                <w:sz w:val="16"/>
                <w:szCs w:val="16"/>
                <w:color w:val="auto"/>
              </w:rPr>
            </w:pPr>
          </w:p>
        </w:tc>
        <w:tc>
          <w:tcPr>
            <w:tcW w:w="4320" w:type="dxa"/>
            <w:vAlign w:val="bottom"/>
            <w:tcBorders>
              <w:bottom w:val="single" w:sz="8" w:color="9E318D"/>
              <w:right w:val="single" w:sz="8" w:color="9E318D"/>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FFFFFF"/>
        </w:rPr>
        <w:t>Sustainable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-130175</wp:posOffset>
            </wp:positionV>
            <wp:extent cx="5508625" cy="7213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08625" cy="721360"/>
                    </a:xfrm>
                    <a:prstGeom prst="rect">
                      <a:avLst/>
                    </a:prstGeom>
                    <a:noFill/>
                  </pic:spPr>
                </pic:pic>
              </a:graphicData>
            </a:graphic>
          </wp:anchor>
        </w:drawing>
      </w:r>
    </w:p>
    <w:p>
      <w:pPr>
        <w:spacing w:after="0" w:line="40" w:lineRule="exact"/>
        <w:rPr>
          <w:sz w:val="20"/>
          <w:szCs w:val="20"/>
          <w:color w:val="auto"/>
        </w:rPr>
      </w:pPr>
    </w:p>
    <w:p>
      <w:pPr>
        <w:ind w:left="280" w:right="3659"/>
        <w:spacing w:after="0" w:line="375"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4FAA55"/>
        </w:rPr>
        <w:t>$47.8 million</w:t>
      </w:r>
      <w:r>
        <w:rPr>
          <w:rFonts w:ascii="Arial" w:cs="Arial" w:eastAsia="Arial" w:hAnsi="Arial"/>
          <w:sz w:val="13"/>
          <w:szCs w:val="13"/>
          <w:color w:val="auto"/>
        </w:rPr>
        <w:t xml:space="preserve"> investment in product development and application up 15% on 2023 • </w:t>
      </w:r>
      <w:r>
        <w:rPr>
          <w:rFonts w:ascii="Arial" w:cs="Arial" w:eastAsia="Arial" w:hAnsi="Arial"/>
          <w:sz w:val="13"/>
          <w:szCs w:val="13"/>
          <w:b w:val="1"/>
          <w:bCs w:val="1"/>
          <w:color w:val="4FAA55"/>
        </w:rPr>
        <w:t>354 people</w:t>
      </w:r>
      <w:r>
        <w:rPr>
          <w:rFonts w:ascii="Arial" w:cs="Arial" w:eastAsia="Arial" w:hAnsi="Arial"/>
          <w:sz w:val="13"/>
          <w:szCs w:val="13"/>
          <w:color w:val="auto"/>
        </w:rPr>
        <w:t xml:space="preserve"> working globally in Research &amp; Technology and Technical Support</w:t>
      </w:r>
    </w:p>
    <w:p>
      <w:pPr>
        <w:spacing w:after="0" w:line="1" w:lineRule="exact"/>
        <w:rPr>
          <w:sz w:val="20"/>
          <w:szCs w:val="20"/>
          <w:color w:val="auto"/>
        </w:rPr>
      </w:pPr>
    </w:p>
    <w:p>
      <w:pPr>
        <w:jc w:val="both"/>
        <w:ind w:left="500" w:right="259" w:hanging="219"/>
        <w:spacing w:after="0" w:line="330" w:lineRule="auto"/>
        <w:tabs>
          <w:tab w:leader="none" w:pos="480" w:val="left"/>
        </w:tabs>
        <w:rPr>
          <w:sz w:val="20"/>
          <w:szCs w:val="20"/>
          <w:color w:val="auto"/>
        </w:rPr>
      </w:pPr>
      <w:r>
        <w:rPr>
          <w:rFonts w:ascii="Arial" w:cs="Arial" w:eastAsia="Arial" w:hAnsi="Arial"/>
          <w:sz w:val="13"/>
          <w:szCs w:val="13"/>
          <w:color w:val="auto"/>
        </w:rPr>
        <w:t>•</w:t>
        <w:tab/>
        <w:t xml:space="preserve">Provision of </w:t>
      </w:r>
      <w:r>
        <w:rPr>
          <w:rFonts w:ascii="Arial" w:cs="Arial" w:eastAsia="Arial" w:hAnsi="Arial"/>
          <w:sz w:val="13"/>
          <w:szCs w:val="13"/>
          <w:b w:val="1"/>
          <w:bCs w:val="1"/>
          <w:color w:val="4FAA55"/>
        </w:rPr>
        <w:t>safe, sustainable products</w:t>
      </w:r>
      <w:r>
        <w:rPr>
          <w:rFonts w:ascii="Arial" w:cs="Arial" w:eastAsia="Arial" w:hAnsi="Arial"/>
          <w:sz w:val="13"/>
          <w:szCs w:val="13"/>
          <w:color w:val="auto"/>
        </w:rPr>
        <w:t xml:space="preserve"> designed to meet the needs of society, while minimizing their environmental impact in manufacture and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4993640</wp:posOffset>
            </wp:positionV>
            <wp:extent cx="297180" cy="290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1" w:name="page32"/>
    <w:bookmarkEnd w:id="31"/>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Working towards the UN Sustainable Development Goals</w:t>
      </w:r>
    </w:p>
    <w:p>
      <w:pPr>
        <w:spacing w:after="0" w:line="195"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Innospec recognizes that the private sector plays an important role in advancing the United Nations Sustainable Development Goals (“SDGs”) which address the world’s most pressing economic, social and environmental challenges. In 2024, we conducted a review of our activities, mapping them against the SDGs and found that we directly contribute to 14 of the goals. Of these we have identified five that align most closely to our operations; Quality Education, Affordable and Clean Energy, Decent Work and Economic Growth, Responsible Consumption and Production, and Life on Land. The UN SDGs have been used to guide our materiality assessment and the evolution of our Sustainability strategy and agenda. We will continue to evolve our existing sustainability initiatives to maximize our contribution.</w:t>
      </w:r>
    </w:p>
    <w:p>
      <w:pPr>
        <w:spacing w:after="0" w:line="112" w:lineRule="exact"/>
        <w:rPr>
          <w:sz w:val="20"/>
          <w:szCs w:val="20"/>
          <w:color w:val="auto"/>
        </w:rPr>
      </w:pPr>
    </w:p>
    <w:tbl>
      <w:tblPr>
        <w:tblLayout w:type="fixed"/>
        <w:tblInd w:w="210" w:type="dxa"/>
        <w:tblCellMar>
          <w:top w:w="0" w:type="dxa"/>
          <w:left w:w="0" w:type="dxa"/>
          <w:bottom w:w="0" w:type="dxa"/>
          <w:right w:w="0" w:type="dxa"/>
        </w:tblCellMar>
      </w:tblPr>
      <w:tr>
        <w:trPr>
          <w:trHeight w:val="245"/>
        </w:trPr>
        <w:tc>
          <w:tcPr>
            <w:tcW w:w="4360" w:type="dxa"/>
            <w:vAlign w:val="bottom"/>
            <w:tcBorders>
              <w:left w:val="single" w:sz="8" w:color="4F81BD"/>
              <w:right w:val="single" w:sz="8" w:color="4F81BD"/>
            </w:tcBorders>
            <w:shd w:val="clear" w:color="auto" w:fill="4F81BD"/>
          </w:tcPr>
          <w:p>
            <w:pPr>
              <w:ind w:left="560"/>
              <w:spacing w:after="0"/>
              <w:rPr>
                <w:sz w:val="20"/>
                <w:szCs w:val="20"/>
                <w:color w:val="auto"/>
              </w:rPr>
            </w:pPr>
            <w:r>
              <w:rPr>
                <w:rFonts w:ascii="Arial" w:cs="Arial" w:eastAsia="Arial" w:hAnsi="Arial"/>
                <w:sz w:val="18"/>
                <w:szCs w:val="18"/>
                <w:b w:val="1"/>
                <w:bCs w:val="1"/>
                <w:color w:val="FFFFFF"/>
              </w:rPr>
              <w:t>SDGs we contribute the most towards</w:t>
            </w:r>
          </w:p>
        </w:tc>
        <w:tc>
          <w:tcPr>
            <w:tcW w:w="4320" w:type="dxa"/>
            <w:vAlign w:val="bottom"/>
            <w:tcBorders>
              <w:right w:val="single" w:sz="8" w:color="4F81BD"/>
            </w:tcBorders>
            <w:shd w:val="clear" w:color="auto" w:fill="4F81BD"/>
          </w:tcPr>
          <w:p>
            <w:pPr>
              <w:ind w:left="680"/>
              <w:spacing w:after="0"/>
              <w:rPr>
                <w:sz w:val="20"/>
                <w:szCs w:val="20"/>
                <w:color w:val="auto"/>
              </w:rPr>
            </w:pPr>
            <w:r>
              <w:rPr>
                <w:rFonts w:ascii="Arial" w:cs="Arial" w:eastAsia="Arial" w:hAnsi="Arial"/>
                <w:sz w:val="18"/>
                <w:szCs w:val="18"/>
                <w:b w:val="1"/>
                <w:bCs w:val="1"/>
                <w:color w:val="FFFFFF"/>
              </w:rPr>
              <w:t>Other SDGs we contribute towards</w:t>
            </w:r>
          </w:p>
        </w:tc>
      </w:tr>
      <w:tr>
        <w:trPr>
          <w:trHeight w:val="3931"/>
        </w:trPr>
        <w:tc>
          <w:tcPr>
            <w:tcW w:w="4360" w:type="dxa"/>
            <w:vAlign w:val="bottom"/>
            <w:tcBorders>
              <w:left w:val="single" w:sz="8" w:color="4F81BD"/>
              <w:bottom w:val="single" w:sz="8" w:color="4F81BD"/>
              <w:right w:val="single" w:sz="8" w:color="4F81BD"/>
            </w:tcBorders>
          </w:tcPr>
          <w:p>
            <w:pPr>
              <w:spacing w:after="0"/>
              <w:rPr>
                <w:sz w:val="24"/>
                <w:szCs w:val="24"/>
                <w:color w:val="auto"/>
              </w:rPr>
            </w:pPr>
          </w:p>
        </w:tc>
        <w:tc>
          <w:tcPr>
            <w:tcW w:w="4320" w:type="dxa"/>
            <w:vAlign w:val="bottom"/>
            <w:tcBorders>
              <w:bottom w:val="single" w:sz="8" w:color="4F81BD"/>
              <w:right w:val="single" w:sz="8" w:color="4F81BD"/>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-2488565</wp:posOffset>
            </wp:positionV>
            <wp:extent cx="5211445" cy="22840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1445" cy="2284095"/>
                    </a:xfrm>
                    <a:prstGeom prst="rect">
                      <a:avLst/>
                    </a:prstGeom>
                    <a:noFill/>
                  </pic:spPr>
                </pic:pic>
              </a:graphicData>
            </a:graphic>
          </wp:anchor>
        </w:drawing>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Corporate Social Responsibility Reporting</w:t>
      </w:r>
    </w:p>
    <w:p>
      <w:pPr>
        <w:spacing w:after="0" w:line="195"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As part of Innospec’s ongoing commitment to being open and transparent around our performance, our latest 2024 Sustainability Report was independently assessed to a moderate level of assurance, to the globally recognized AccountAbility’s AA1000 Assurance Standard 2018.</w:t>
      </w:r>
    </w:p>
    <w:p>
      <w:pPr>
        <w:spacing w:after="0" w:line="8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 xml:space="preserve">The 2024 Sustainability Report, along with further information on our Sustainability program and performance, is available at </w:t>
      </w:r>
      <w:r>
        <w:rPr>
          <w:rFonts w:ascii="Arial" w:cs="Arial" w:eastAsia="Arial" w:hAnsi="Arial"/>
          <w:sz w:val="15"/>
          <w:szCs w:val="15"/>
          <w:b w:val="1"/>
          <w:bCs w:val="1"/>
          <w:i w:val="1"/>
          <w:iCs w:val="1"/>
          <w:color w:val="4F81BD"/>
        </w:rPr>
        <w:t>https://innospecsustainability.com</w:t>
      </w:r>
      <w:r>
        <w:rPr>
          <w:rFonts w:ascii="Arial" w:cs="Arial" w:eastAsia="Arial" w:hAnsi="Arial"/>
          <w:sz w:val="15"/>
          <w:szCs w:val="15"/>
          <w:color w:val="000000"/>
        </w:rPr>
        <w:t>, but does not constitute part of, and is not incorporated by reference into, this Proxy</w:t>
      </w:r>
      <w:r>
        <w:rPr>
          <w:rFonts w:ascii="Arial" w:cs="Arial" w:eastAsia="Arial" w:hAnsi="Arial"/>
          <w:sz w:val="15"/>
          <w:szCs w:val="15"/>
          <w:b w:val="1"/>
          <w:bCs w:val="1"/>
          <w:i w:val="1"/>
          <w:iCs w:val="1"/>
          <w:color w:val="4F81BD"/>
        </w:rPr>
        <w:t xml:space="preserve"> </w:t>
      </w:r>
      <w:r>
        <w:rPr>
          <w:rFonts w:ascii="Arial" w:cs="Arial" w:eastAsia="Arial" w:hAnsi="Arial"/>
          <w:sz w:val="15"/>
          <w:szCs w:val="15"/>
          <w:color w:val="000000"/>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2490470</wp:posOffset>
            </wp:positionV>
            <wp:extent cx="297180" cy="290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2" w:name="page33"/>
    <w:bookmarkEnd w:id="32"/>
    <w:p>
      <w:pPr>
        <w:spacing w:after="0" w:line="78" w:lineRule="exact"/>
        <w:rPr>
          <w:sz w:val="20"/>
          <w:szCs w:val="20"/>
          <w:color w:val="auto"/>
        </w:rPr>
      </w:pPr>
    </w:p>
    <w:p>
      <w:pPr>
        <w:ind w:left="200"/>
        <w:spacing w:after="0"/>
        <w:rPr>
          <w:sz w:val="20"/>
          <w:szCs w:val="20"/>
          <w:color w:val="auto"/>
        </w:rPr>
      </w:pPr>
      <w:r>
        <w:rPr>
          <w:rFonts w:ascii="Arial" w:cs="Arial" w:eastAsia="Arial" w:hAnsi="Arial"/>
          <w:sz w:val="26"/>
          <w:szCs w:val="26"/>
          <w:b w:val="1"/>
          <w:bCs w:val="1"/>
          <w:color w:val="874796"/>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137160</wp:posOffset>
            </wp:positionV>
            <wp:extent cx="1414145" cy="28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14145" cy="285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200"/>
        <w:spacing w:after="0" w:line="258" w:lineRule="auto"/>
        <w:rPr>
          <w:sz w:val="20"/>
          <w:szCs w:val="20"/>
          <w:color w:val="auto"/>
        </w:rPr>
      </w:pPr>
      <w:r>
        <w:rPr>
          <w:rFonts w:ascii="Arial" w:cs="Arial" w:eastAsia="Arial" w:hAnsi="Arial"/>
          <w:sz w:val="15"/>
          <w:szCs w:val="15"/>
          <w:i w:val="1"/>
          <w:iCs w:val="1"/>
          <w:color w:val="874796"/>
        </w:rPr>
        <w:t>We work hard to make the company an attractive career choice for both new recruits and existing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187960</wp:posOffset>
            </wp:positionV>
            <wp:extent cx="1414145" cy="28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14145" cy="28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179"/>
        <w:spacing w:after="0" w:line="258" w:lineRule="auto"/>
        <w:rPr>
          <w:sz w:val="20"/>
          <w:szCs w:val="20"/>
          <w:color w:val="auto"/>
        </w:rPr>
      </w:pPr>
      <w:r>
        <w:rPr>
          <w:rFonts w:ascii="Arial" w:cs="Arial" w:eastAsia="Arial" w:hAnsi="Arial"/>
          <w:sz w:val="15"/>
          <w:szCs w:val="15"/>
          <w:color w:val="auto"/>
        </w:rPr>
        <w:t>Human capital management is critical to Innospec’s ongoing business success. Our aim is to create an engaged and motivated workforce where employees are inspired by leadership, engaged in purpose-driven, meaningful work and have opportunities for growth and development.</w:t>
      </w:r>
    </w:p>
    <w:p>
      <w:pPr>
        <w:spacing w:after="0" w:line="82" w:lineRule="exact"/>
        <w:rPr>
          <w:sz w:val="20"/>
          <w:szCs w:val="20"/>
          <w:color w:val="auto"/>
        </w:rPr>
      </w:pPr>
    </w:p>
    <w:p>
      <w:pPr>
        <w:jc w:val="both"/>
        <w:ind w:right="199"/>
        <w:spacing w:after="0" w:line="264" w:lineRule="auto"/>
        <w:rPr>
          <w:sz w:val="20"/>
          <w:szCs w:val="20"/>
          <w:color w:val="auto"/>
        </w:rPr>
      </w:pPr>
      <w:r>
        <w:rPr>
          <w:rFonts w:ascii="Arial" w:cs="Arial" w:eastAsia="Arial" w:hAnsi="Arial"/>
          <w:sz w:val="15"/>
          <w:szCs w:val="15"/>
          <w:color w:val="auto"/>
        </w:rPr>
        <w:t>An effective approach to human capital management requires that we invest in talent, development, culture, and employee engagement. We aim to create an environment where our employees are encouraged to make positive contributions and fulfill their potential.</w:t>
      </w:r>
    </w:p>
    <w:p>
      <w:pPr>
        <w:spacing w:after="0" w:line="108" w:lineRule="exact"/>
        <w:rPr>
          <w:sz w:val="20"/>
          <w:szCs w:val="20"/>
          <w:color w:val="auto"/>
        </w:rPr>
      </w:pPr>
    </w:p>
    <w:p>
      <w:pPr>
        <w:sectPr>
          <w:pgSz w:w="11900" w:h="16838" w:orient="portrait"/>
          <w:cols w:equalWidth="0" w:num="2">
            <w:col w:w="2300" w:space="320"/>
            <w:col w:w="6399"/>
          </w:cols>
          <w:pgMar w:left="1440" w:top="1440" w:right="1440" w:bottom="1440" w:gutter="0" w:footer="0" w:header="0"/>
          <w:type w:val="continuous"/>
        </w:sectPr>
      </w:pPr>
    </w:p>
    <w:p>
      <w:pPr>
        <w:ind w:left="200"/>
        <w:spacing w:after="0"/>
        <w:rPr>
          <w:sz w:val="20"/>
          <w:szCs w:val="20"/>
          <w:color w:val="auto"/>
        </w:rPr>
      </w:pPr>
      <w:r>
        <w:rPr>
          <w:rFonts w:ascii="Arial" w:cs="Arial" w:eastAsia="Arial" w:hAnsi="Arial"/>
          <w:sz w:val="19"/>
          <w:szCs w:val="19"/>
          <w:b w:val="1"/>
          <w:bCs w:val="1"/>
          <w:color w:val="auto"/>
        </w:rPr>
        <w:t>Core Values &amp; Culture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Our core values are:</w:t>
      </w:r>
    </w:p>
    <w:p>
      <w:pPr>
        <w:spacing w:after="0" w:line="128"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b w:val="1"/>
          <w:bCs w:val="1"/>
          <w:color w:val="7918D3"/>
        </w:rPr>
        <w:t xml:space="preserve">Responsible Growth: </w:t>
      </w:r>
      <w:r>
        <w:rPr>
          <w:rFonts w:ascii="Arial" w:cs="Arial" w:eastAsia="Arial" w:hAnsi="Arial"/>
          <w:sz w:val="15"/>
          <w:szCs w:val="15"/>
          <w:color w:val="000000"/>
        </w:rPr>
        <w:t>Financial stability and growth are essential to maintain our goal of making a positive contribution towards a</w:t>
      </w:r>
      <w:r>
        <w:rPr>
          <w:rFonts w:ascii="Arial" w:cs="Arial" w:eastAsia="Arial" w:hAnsi="Arial"/>
          <w:sz w:val="15"/>
          <w:szCs w:val="15"/>
          <w:b w:val="1"/>
          <w:bCs w:val="1"/>
          <w:color w:val="7918D3"/>
        </w:rPr>
        <w:t xml:space="preserve"> </w:t>
      </w:r>
      <w:r>
        <w:rPr>
          <w:rFonts w:ascii="Arial" w:cs="Arial" w:eastAsia="Arial" w:hAnsi="Arial"/>
          <w:sz w:val="15"/>
          <w:szCs w:val="15"/>
          <w:color w:val="000000"/>
        </w:rPr>
        <w:t>more sustainable future. Generating economic benefits for our employees, stockholders, and local communities — encouraging ongoing innovation in our product portfolio alongside excellent customer service, financial stability and responsible growth, will allow our business to be competitive and sustainable.</w:t>
      </w:r>
    </w:p>
    <w:p>
      <w:pPr>
        <w:spacing w:after="0" w:line="94"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b w:val="1"/>
          <w:bCs w:val="1"/>
          <w:color w:val="7918D3"/>
        </w:rPr>
        <w:t xml:space="preserve">Caring for People: </w:t>
      </w:r>
      <w:r>
        <w:rPr>
          <w:rFonts w:ascii="Arial" w:cs="Arial" w:eastAsia="Arial" w:hAnsi="Arial"/>
          <w:sz w:val="15"/>
          <w:szCs w:val="15"/>
          <w:color w:val="000000"/>
        </w:rPr>
        <w:t>We strive to create a safe and caring culture where our employees are supported and encouraged to make</w:t>
      </w:r>
      <w:r>
        <w:rPr>
          <w:rFonts w:ascii="Arial" w:cs="Arial" w:eastAsia="Arial" w:hAnsi="Arial"/>
          <w:sz w:val="15"/>
          <w:szCs w:val="15"/>
          <w:b w:val="1"/>
          <w:bCs w:val="1"/>
          <w:color w:val="7918D3"/>
        </w:rPr>
        <w:t xml:space="preserve"> </w:t>
      </w:r>
      <w:r>
        <w:rPr>
          <w:rFonts w:ascii="Arial" w:cs="Arial" w:eastAsia="Arial" w:hAnsi="Arial"/>
          <w:sz w:val="15"/>
          <w:szCs w:val="15"/>
          <w:color w:val="000000"/>
        </w:rPr>
        <w:t>positive contributions. Our continued success depends on keeping people safe, promoting a healthy lifestyle, protecting human rights, improving education, training and maintaining good relations with our neighbors.</w:t>
      </w:r>
    </w:p>
    <w:p>
      <w:pPr>
        <w:spacing w:after="0" w:line="77"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b w:val="1"/>
          <w:bCs w:val="1"/>
          <w:color w:val="7918D3"/>
        </w:rPr>
        <w:t xml:space="preserve">Conserving &amp; Protecting the Environment: </w:t>
      </w:r>
      <w:r>
        <w:rPr>
          <w:rFonts w:ascii="Arial" w:cs="Arial" w:eastAsia="Arial" w:hAnsi="Arial"/>
          <w:sz w:val="15"/>
          <w:szCs w:val="15"/>
          <w:color w:val="000000"/>
        </w:rPr>
        <w:t>We aim to use resources as efficiently as practicable and minimizing the impact of our</w:t>
      </w:r>
      <w:r>
        <w:rPr>
          <w:rFonts w:ascii="Arial" w:cs="Arial" w:eastAsia="Arial" w:hAnsi="Arial"/>
          <w:sz w:val="15"/>
          <w:szCs w:val="15"/>
          <w:b w:val="1"/>
          <w:bCs w:val="1"/>
          <w:color w:val="7918D3"/>
        </w:rPr>
        <w:t xml:space="preserve"> </w:t>
      </w:r>
      <w:r>
        <w:rPr>
          <w:rFonts w:ascii="Arial" w:cs="Arial" w:eastAsia="Arial" w:hAnsi="Arial"/>
          <w:sz w:val="15"/>
          <w:szCs w:val="15"/>
          <w:color w:val="000000"/>
        </w:rPr>
        <w:t>operations on the environment. We look to supply safe, sustainable products, designed to meet the needs of society now and in the future while minimizing their environmental impact.</w:t>
      </w:r>
    </w:p>
    <w:p>
      <w:pPr>
        <w:spacing w:after="0" w:line="88"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b w:val="1"/>
          <w:bCs w:val="1"/>
          <w:color w:val="7918D3"/>
        </w:rPr>
        <w:t xml:space="preserve">Leading by Example: </w:t>
      </w:r>
      <w:r>
        <w:rPr>
          <w:rFonts w:ascii="Arial" w:cs="Arial" w:eastAsia="Arial" w:hAnsi="Arial"/>
          <w:sz w:val="15"/>
          <w:szCs w:val="15"/>
          <w:color w:val="000000"/>
        </w:rPr>
        <w:t>We understand that honest, ethical and transparent conduct is vital to our success and reputation. Every</w:t>
      </w:r>
      <w:r>
        <w:rPr>
          <w:rFonts w:ascii="Arial" w:cs="Arial" w:eastAsia="Arial" w:hAnsi="Arial"/>
          <w:sz w:val="15"/>
          <w:szCs w:val="15"/>
          <w:b w:val="1"/>
          <w:bCs w:val="1"/>
          <w:color w:val="7918D3"/>
        </w:rPr>
        <w:t xml:space="preserve"> </w:t>
      </w:r>
      <w:r>
        <w:rPr>
          <w:rFonts w:ascii="Arial" w:cs="Arial" w:eastAsia="Arial" w:hAnsi="Arial"/>
          <w:sz w:val="15"/>
          <w:szCs w:val="15"/>
          <w:color w:val="000000"/>
        </w:rPr>
        <w:t>employee plays an essential part in complying with local and national laws, rules and regulations. We uphold a high standard of corporate and business integrity across all of our activities.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At Innospec, we encourage our people to aspire to a culture that is: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7918D3"/>
        </w:rPr>
        <w:t>Confident</w:t>
      </w:r>
    </w:p>
    <w:p>
      <w:pPr>
        <w:spacing w:after="0" w:line="128"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We know what is expected of us and take responsibility for our own workload. We assume responsibility for making decisions and are flexible in our dealings with people. We take additional responsibility to meet customer needs and enhance performance.</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7918D3"/>
        </w:rPr>
        <w:t>Informed</w:t>
      </w:r>
    </w:p>
    <w:p>
      <w:pPr>
        <w:spacing w:after="0" w:line="117"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We take pride in being good at what we do and actively seek to enhance our knowledge and skills to help improve performance. We use our expertise co-operatively to meet customer needs and enhance our performance. We respect each other and listen carefully to understand others’ points of view.</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7918D3"/>
        </w:rPr>
        <w:t>Clear</w:t>
      </w:r>
    </w:p>
    <w:p>
      <w:pPr>
        <w:spacing w:after="0" w:line="128" w:lineRule="exact"/>
        <w:rPr>
          <w:sz w:val="20"/>
          <w:szCs w:val="20"/>
          <w:color w:val="auto"/>
        </w:rPr>
      </w:pPr>
    </w:p>
    <w:p>
      <w:pPr>
        <w:jc w:val="both"/>
        <w:ind w:left="200" w:right="119"/>
        <w:spacing w:after="0" w:line="281" w:lineRule="auto"/>
        <w:rPr>
          <w:sz w:val="20"/>
          <w:szCs w:val="20"/>
          <w:color w:val="auto"/>
        </w:rPr>
      </w:pPr>
      <w:r>
        <w:rPr>
          <w:rFonts w:ascii="Arial" w:cs="Arial" w:eastAsia="Arial" w:hAnsi="Arial"/>
          <w:sz w:val="15"/>
          <w:szCs w:val="15"/>
          <w:color w:val="auto"/>
        </w:rPr>
        <w:t>As an organization, we are open and transparent. We encourage and welcome feedback and we support people to deal with any unwelcome messages.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2164080</wp:posOffset>
            </wp:positionV>
            <wp:extent cx="297180" cy="290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3" w:name="page34"/>
    <w:bookmarkEnd w:id="33"/>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7918D3"/>
        </w:rPr>
        <w:t>Innovative</w:t>
      </w:r>
    </w:p>
    <w:p>
      <w:pPr>
        <w:spacing w:after="0" w:line="128" w:lineRule="exact"/>
        <w:rPr>
          <w:sz w:val="20"/>
          <w:szCs w:val="20"/>
          <w:color w:val="auto"/>
        </w:rPr>
      </w:pPr>
    </w:p>
    <w:p>
      <w:pPr>
        <w:jc w:val="both"/>
        <w:ind w:left="200" w:right="119"/>
        <w:spacing w:after="0" w:line="281" w:lineRule="auto"/>
        <w:rPr>
          <w:sz w:val="20"/>
          <w:szCs w:val="20"/>
          <w:color w:val="auto"/>
        </w:rPr>
      </w:pPr>
      <w:r>
        <w:rPr>
          <w:rFonts w:ascii="Arial" w:cs="Arial" w:eastAsia="Arial" w:hAnsi="Arial"/>
          <w:sz w:val="15"/>
          <w:szCs w:val="15"/>
          <w:color w:val="auto"/>
        </w:rPr>
        <w:t>Our people are forward thinking and inspired. We enjoy challenges and encourage new ideas. We seek continual improvement, and care about treating people well through periods of change.</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7918D3"/>
        </w:rPr>
        <w:t>Dynamic</w:t>
      </w:r>
    </w:p>
    <w:p>
      <w:pPr>
        <w:spacing w:after="0" w:line="128"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We are performance driven, enthusiastic and quick to respond. We set clear targets and objectives and take satisfaction in achieving them. We want to be part of a successful team and business, and we make decisions quickly and implement them.</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00AFEF"/>
        </w:rPr>
        <w:t>Employee Engagement</w:t>
      </w:r>
    </w:p>
    <w:p>
      <w:pPr>
        <w:spacing w:after="0" w:line="195"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b w:val="1"/>
          <w:bCs w:val="1"/>
          <w:color w:val="00AFEF"/>
        </w:rPr>
        <w:t xml:space="preserve">Attracting Talent. </w:t>
      </w:r>
      <w:r>
        <w:rPr>
          <w:rFonts w:ascii="Arial" w:cs="Arial" w:eastAsia="Arial" w:hAnsi="Arial"/>
          <w:sz w:val="15"/>
          <w:szCs w:val="15"/>
          <w:color w:val="000000"/>
        </w:rPr>
        <w:t>We believe our hardworking team of employees is our greatest asset. We employ approximately 2,469 people</w:t>
      </w:r>
      <w:r>
        <w:rPr>
          <w:rFonts w:ascii="Arial" w:cs="Arial" w:eastAsia="Arial" w:hAnsi="Arial"/>
          <w:sz w:val="15"/>
          <w:szCs w:val="15"/>
          <w:b w:val="1"/>
          <w:bCs w:val="1"/>
          <w:color w:val="00AFEF"/>
        </w:rPr>
        <w:t xml:space="preserve"> </w:t>
      </w:r>
      <w:r>
        <w:rPr>
          <w:rFonts w:ascii="Arial" w:cs="Arial" w:eastAsia="Arial" w:hAnsi="Arial"/>
          <w:sz w:val="15"/>
          <w:szCs w:val="15"/>
          <w:color w:val="000000"/>
        </w:rPr>
        <w:t>across 23 countries, and we believe that the skills, commitment and enthusiasm of our employees helps us to deliver long-term growth for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57785</wp:posOffset>
            </wp:positionV>
            <wp:extent cx="1414145" cy="28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14145" cy="285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99" w:lineRule="exact"/>
        <w:rPr>
          <w:sz w:val="20"/>
          <w:szCs w:val="20"/>
          <w:color w:val="auto"/>
        </w:rPr>
      </w:pPr>
    </w:p>
    <w:p>
      <w:pPr>
        <w:jc w:val="both"/>
        <w:ind w:left="200"/>
        <w:spacing w:after="0" w:line="258" w:lineRule="auto"/>
        <w:rPr>
          <w:sz w:val="20"/>
          <w:szCs w:val="20"/>
          <w:color w:val="auto"/>
        </w:rPr>
      </w:pPr>
      <w:r>
        <w:rPr>
          <w:rFonts w:ascii="Arial" w:cs="Arial" w:eastAsia="Arial" w:hAnsi="Arial"/>
          <w:sz w:val="15"/>
          <w:szCs w:val="15"/>
          <w:color w:val="auto"/>
        </w:rPr>
        <w:t>Across our sites, we provide local support and opportunities for the next generation of talent in our industry by offering a range of placements, internships, work experience, and apprenticeships. We strive to attract and retain the best talent in a changing and competitive working environment.</w:t>
      </w:r>
    </w:p>
    <w:p>
      <w:pPr>
        <w:spacing w:after="0" w:line="94" w:lineRule="exact"/>
        <w:rPr>
          <w:sz w:val="20"/>
          <w:szCs w:val="20"/>
          <w:color w:val="auto"/>
        </w:rPr>
      </w:pPr>
    </w:p>
    <w:p>
      <w:pPr>
        <w:jc w:val="both"/>
        <w:ind w:left="200"/>
        <w:spacing w:after="0" w:line="258" w:lineRule="auto"/>
        <w:rPr>
          <w:sz w:val="20"/>
          <w:szCs w:val="20"/>
          <w:color w:val="auto"/>
        </w:rPr>
      </w:pPr>
      <w:r>
        <w:rPr>
          <w:rFonts w:ascii="Arial" w:cs="Arial" w:eastAsia="Arial" w:hAnsi="Arial"/>
          <w:sz w:val="15"/>
          <w:szCs w:val="15"/>
          <w:b w:val="1"/>
          <w:bCs w:val="1"/>
          <w:color w:val="00AFEF"/>
        </w:rPr>
        <w:t xml:space="preserve">Pay and benefits. </w:t>
      </w:r>
      <w:r>
        <w:rPr>
          <w:rFonts w:ascii="Arial" w:cs="Arial" w:eastAsia="Arial" w:hAnsi="Arial"/>
          <w:sz w:val="15"/>
          <w:szCs w:val="15"/>
          <w:color w:val="000000"/>
        </w:rPr>
        <w:t>We offer what we believe are competitive reward and recognition programs,</w:t>
      </w:r>
      <w:r>
        <w:rPr>
          <w:rFonts w:ascii="Arial" w:cs="Arial" w:eastAsia="Arial" w:hAnsi="Arial"/>
          <w:sz w:val="15"/>
          <w:szCs w:val="15"/>
          <w:b w:val="1"/>
          <w:bCs w:val="1"/>
          <w:color w:val="00AFEF"/>
        </w:rPr>
        <w:t xml:space="preserve"> </w:t>
      </w:r>
      <w:r>
        <w:rPr>
          <w:rFonts w:ascii="Arial" w:cs="Arial" w:eastAsia="Arial" w:hAnsi="Arial"/>
          <w:sz w:val="15"/>
          <w:szCs w:val="15"/>
          <w:color w:val="000000"/>
        </w:rPr>
        <w:t>based on both business-wide and individual performance. Our packages have been designed to attract and retain the best employees, reward achievement, and encourage our teams to deliver superior performance for our customers and our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239"/>
        <w:spacing w:after="0" w:line="255" w:lineRule="auto"/>
        <w:rPr>
          <w:sz w:val="20"/>
          <w:szCs w:val="20"/>
          <w:color w:val="auto"/>
        </w:rPr>
      </w:pPr>
      <w:r>
        <w:rPr>
          <w:rFonts w:ascii="Arial" w:cs="Arial" w:eastAsia="Arial" w:hAnsi="Arial"/>
          <w:sz w:val="15"/>
          <w:szCs w:val="15"/>
          <w:i w:val="1"/>
          <w:iCs w:val="1"/>
          <w:color w:val="00AFEF"/>
        </w:rPr>
        <w:t>We have a very high level of staff retention, with 33% and 54% of our employees serving greater than 10 years and 5 years,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189865</wp:posOffset>
            </wp:positionV>
            <wp:extent cx="1414145" cy="285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14145" cy="28575"/>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6480" w:space="300"/>
            <w:col w:w="2239"/>
          </w:cols>
          <w:pgMar w:left="1440" w:top="1440" w:right="1440" w:bottom="1440" w:gutter="0" w:footer="0" w:header="0"/>
          <w:type w:val="continuous"/>
        </w:sectPr>
      </w:pPr>
    </w:p>
    <w:p>
      <w:pPr>
        <w:jc w:val="both"/>
        <w:ind w:left="200" w:right="119"/>
        <w:spacing w:after="0" w:line="256" w:lineRule="auto"/>
        <w:rPr>
          <w:sz w:val="20"/>
          <w:szCs w:val="20"/>
          <w:color w:val="auto"/>
        </w:rPr>
      </w:pPr>
      <w:r>
        <w:rPr>
          <w:rFonts w:ascii="Arial" w:cs="Arial" w:eastAsia="Arial" w:hAnsi="Arial"/>
          <w:sz w:val="15"/>
          <w:szCs w:val="15"/>
          <w:color w:val="auto"/>
        </w:rPr>
        <w:t>In addition to our Company wide performance incentive plans, we encourage our employees to share in the long-term success of our Company with incentive programs, such as our Global Sharesave plan. This plan gives employees the opportunity to participate in a savings plan linked to an option to buy shares in Innospec at a discount and, therefore, benefit from any growth in the share price over the savings period. We also provide a range of other benefits in line with the market practice in each location we operate in, including insurance and pension arrangements.</w:t>
      </w:r>
    </w:p>
    <w:p>
      <w:pPr>
        <w:spacing w:after="0" w:line="71"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b w:val="1"/>
          <w:bCs w:val="1"/>
          <w:color w:val="00AFEF"/>
        </w:rPr>
        <w:t xml:space="preserve">Performance Management Framework. </w:t>
      </w:r>
      <w:r>
        <w:rPr>
          <w:rFonts w:ascii="Arial" w:cs="Arial" w:eastAsia="Arial" w:hAnsi="Arial"/>
          <w:sz w:val="15"/>
          <w:szCs w:val="15"/>
          <w:color w:val="000000"/>
        </w:rPr>
        <w:t>We conduct an annual performance management process across the organization.</w:t>
      </w:r>
      <w:r>
        <w:rPr>
          <w:rFonts w:ascii="Arial" w:cs="Arial" w:eastAsia="Arial" w:hAnsi="Arial"/>
          <w:sz w:val="15"/>
          <w:szCs w:val="15"/>
          <w:b w:val="1"/>
          <w:bCs w:val="1"/>
          <w:color w:val="00AFEF"/>
        </w:rPr>
        <w:t xml:space="preserve"> </w:t>
      </w:r>
      <w:r>
        <w:rPr>
          <w:rFonts w:ascii="Arial" w:cs="Arial" w:eastAsia="Arial" w:hAnsi="Arial"/>
          <w:sz w:val="15"/>
          <w:szCs w:val="15"/>
          <w:color w:val="000000"/>
        </w:rPr>
        <w:t>Together with their line managers, employees agree upon annual objectives, and, at the end of the year, review with their line manager their performance against those objectives and their overall performance. The results of each annual performance review affect performance bonus amounts, pay, adjustment and career advancement decisions.</w:t>
      </w:r>
    </w:p>
    <w:p>
      <w:pPr>
        <w:spacing w:after="0" w:line="82"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b w:val="1"/>
          <w:bCs w:val="1"/>
          <w:color w:val="00AFEF"/>
        </w:rPr>
        <w:t xml:space="preserve">Senior Leadership Communications and Transparency. </w:t>
      </w:r>
      <w:r>
        <w:rPr>
          <w:rFonts w:ascii="Arial" w:cs="Arial" w:eastAsia="Arial" w:hAnsi="Arial"/>
          <w:sz w:val="15"/>
          <w:szCs w:val="15"/>
          <w:color w:val="000000"/>
        </w:rPr>
        <w:t>We actively seek opportunities for regular engagement and</w:t>
      </w:r>
      <w:r>
        <w:rPr>
          <w:rFonts w:ascii="Arial" w:cs="Arial" w:eastAsia="Arial" w:hAnsi="Arial"/>
          <w:sz w:val="15"/>
          <w:szCs w:val="15"/>
          <w:b w:val="1"/>
          <w:bCs w:val="1"/>
          <w:color w:val="00AFEF"/>
        </w:rPr>
        <w:t xml:space="preserve"> </w:t>
      </w:r>
      <w:r>
        <w:rPr>
          <w:rFonts w:ascii="Arial" w:cs="Arial" w:eastAsia="Arial" w:hAnsi="Arial"/>
          <w:sz w:val="15"/>
          <w:szCs w:val="15"/>
          <w:color w:val="000000"/>
        </w:rPr>
        <w:t>communication by our CEO and other Senior Executives with our broader employee population. Communications are through a variety of means including written communications, webcasts and conference calls. For example, we hold a CEO Call at least once a year, during which the CEO and CFO discuss current issues and developments in the business, including a Q&amp;A session answering questions raised by employees. The CEO Call is accessible to all employees across the Company. In addition to the CEO Calls, each financial quarter, following the quarterly financial results announcement, the CEO and CFO provide a written review of the financial results to all employees.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Diversity and Inclusion</w:t>
      </w:r>
    </w:p>
    <w:p>
      <w:pPr>
        <w:spacing w:after="0" w:line="195"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Innospec aims to attract and retain the best people by making employment decisions that are based on merit, performance, ability, and contribution to the Company. As part of our Global HR Policies, our diversity and equal opportunities policy means that current and prospective employees receive equal opportunities irrespective of sex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2016760</wp:posOffset>
            </wp:positionV>
            <wp:extent cx="297180" cy="290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4" w:name="page35"/>
    <w:bookmarkEnd w:id="34"/>
    <w:p>
      <w:pPr>
        <w:spacing w:after="0" w:line="100"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or gender (including pregnancy, childbirth and pregnancy-related conditions), gender identity or expression, genetic information, marital status, sexual orientation, race, color, ethnic or national origin, age, disability, religion, creed or belief or any other characteristic protected by applicable local legislation.</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FF0000"/>
        </w:rPr>
        <w:t>Health and Safety</w:t>
      </w:r>
    </w:p>
    <w:p>
      <w:pPr>
        <w:spacing w:after="0" w:line="195"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b w:val="1"/>
          <w:bCs w:val="1"/>
          <w:color w:val="FF0000"/>
        </w:rPr>
        <w:t xml:space="preserve">Objectives. </w:t>
      </w:r>
      <w:r>
        <w:rPr>
          <w:rFonts w:ascii="Arial" w:cs="Arial" w:eastAsia="Arial" w:hAnsi="Arial"/>
          <w:sz w:val="15"/>
          <w:szCs w:val="15"/>
          <w:color w:val="000000"/>
        </w:rPr>
        <w:t>We prioritize the safety of employees, communities and everyone involved in the manufacture, use or disposal of our</w:t>
      </w:r>
      <w:r>
        <w:rPr>
          <w:rFonts w:ascii="Arial" w:cs="Arial" w:eastAsia="Arial" w:hAnsi="Arial"/>
          <w:sz w:val="15"/>
          <w:szCs w:val="15"/>
          <w:b w:val="1"/>
          <w:bCs w:val="1"/>
          <w:color w:val="FF0000"/>
        </w:rPr>
        <w:t xml:space="preserve"> </w:t>
      </w:r>
      <w:r>
        <w:rPr>
          <w:rFonts w:ascii="Arial" w:cs="Arial" w:eastAsia="Arial" w:hAnsi="Arial"/>
          <w:sz w:val="15"/>
          <w:szCs w:val="15"/>
          <w:color w:val="000000"/>
        </w:rPr>
        <w:t>products. We set high standards for process and occupational safety, which is managed by our network of Safety, Health and Environment (“SHE”) professionals throughout the business. SHE is a top priority for Innospec with our three core objectives being:</w:t>
      </w:r>
    </w:p>
    <w:p>
      <w:pPr>
        <w:spacing w:after="0" w:line="71" w:lineRule="exact"/>
        <w:rPr>
          <w:sz w:val="20"/>
          <w:szCs w:val="20"/>
          <w:color w:val="auto"/>
        </w:rPr>
      </w:pPr>
    </w:p>
    <w:tbl>
      <w:tblPr>
        <w:tblLayout w:type="fixed"/>
        <w:tblInd w:w="260" w:type="dxa"/>
        <w:tblCellMar>
          <w:top w:w="0" w:type="dxa"/>
          <w:left w:w="0" w:type="dxa"/>
          <w:bottom w:w="0" w:type="dxa"/>
          <w:right w:w="0" w:type="dxa"/>
        </w:tblCellMar>
      </w:tblPr>
      <w:tr>
        <w:trPr>
          <w:trHeight w:val="243"/>
        </w:trPr>
        <w:tc>
          <w:tcPr>
            <w:tcW w:w="5760" w:type="dxa"/>
            <w:vAlign w:val="bottom"/>
            <w:gridSpan w:val="2"/>
          </w:tcPr>
          <w:p>
            <w:pPr>
              <w:spacing w:after="0"/>
              <w:rPr>
                <w:sz w:val="20"/>
                <w:szCs w:val="20"/>
                <w:color w:val="auto"/>
              </w:rPr>
            </w:pPr>
            <w:r>
              <w:rPr>
                <w:rFonts w:ascii="Arial" w:cs="Arial" w:eastAsia="Arial" w:hAnsi="Arial"/>
                <w:sz w:val="13"/>
                <w:szCs w:val="13"/>
                <w:color w:val="auto"/>
              </w:rPr>
              <w:t>•   No one gets hurt</w:t>
            </w:r>
          </w:p>
        </w:tc>
        <w:tc>
          <w:tcPr>
            <w:tcW w:w="2840" w:type="dxa"/>
            <w:vAlign w:val="bottom"/>
            <w:tcBorders>
              <w:top w:val="single" w:sz="8" w:color="FF0000"/>
            </w:tcBorders>
          </w:tcPr>
          <w:p>
            <w:pPr>
              <w:jc w:val="center"/>
              <w:spacing w:after="0"/>
              <w:rPr>
                <w:sz w:val="20"/>
                <w:szCs w:val="20"/>
                <w:color w:val="auto"/>
              </w:rPr>
            </w:pPr>
            <w:r>
              <w:rPr>
                <w:rFonts w:ascii="Arial" w:cs="Arial" w:eastAsia="Arial" w:hAnsi="Arial"/>
                <w:sz w:val="15"/>
                <w:szCs w:val="15"/>
                <w:i w:val="1"/>
                <w:iCs w:val="1"/>
                <w:color w:val="FF0000"/>
                <w:w w:val="99"/>
              </w:rPr>
              <w:t>It is our goal to make sure that</w:t>
            </w:r>
          </w:p>
        </w:tc>
        <w:tc>
          <w:tcPr>
            <w:tcW w:w="0" w:type="dxa"/>
            <w:vAlign w:val="bottom"/>
          </w:tcPr>
          <w:p>
            <w:pPr>
              <w:spacing w:after="0"/>
              <w:rPr>
                <w:sz w:val="1"/>
                <w:szCs w:val="1"/>
                <w:color w:val="auto"/>
              </w:rPr>
            </w:pPr>
          </w:p>
        </w:tc>
      </w:tr>
      <w:tr>
        <w:trPr>
          <w:trHeight w:val="178"/>
        </w:trPr>
        <w:tc>
          <w:tcPr>
            <w:tcW w:w="140" w:type="dxa"/>
            <w:vAlign w:val="bottom"/>
          </w:tcPr>
          <w:p>
            <w:pPr>
              <w:spacing w:after="0"/>
              <w:rPr>
                <w:sz w:val="20"/>
                <w:szCs w:val="20"/>
                <w:color w:val="auto"/>
              </w:rPr>
            </w:pPr>
            <w:r>
              <w:rPr>
                <w:rFonts w:ascii="Arial" w:cs="Arial" w:eastAsia="Arial" w:hAnsi="Arial"/>
                <w:sz w:val="13"/>
                <w:szCs w:val="13"/>
                <w:color w:val="auto"/>
              </w:rPr>
              <w:t>•</w:t>
            </w:r>
          </w:p>
        </w:tc>
        <w:tc>
          <w:tcPr>
            <w:tcW w:w="5620" w:type="dxa"/>
            <w:vAlign w:val="bottom"/>
          </w:tcPr>
          <w:p>
            <w:pPr>
              <w:ind w:left="80"/>
              <w:spacing w:after="0"/>
              <w:rPr>
                <w:sz w:val="20"/>
                <w:szCs w:val="20"/>
                <w:color w:val="auto"/>
              </w:rPr>
            </w:pPr>
            <w:r>
              <w:rPr>
                <w:rFonts w:ascii="Arial" w:cs="Arial" w:eastAsia="Arial" w:hAnsi="Arial"/>
                <w:sz w:val="13"/>
                <w:szCs w:val="13"/>
                <w:color w:val="auto"/>
              </w:rPr>
              <w:t>We don’t negatively impact our neighbors</w:t>
            </w:r>
          </w:p>
        </w:tc>
        <w:tc>
          <w:tcPr>
            <w:tcW w:w="2840" w:type="dxa"/>
            <w:vAlign w:val="bottom"/>
          </w:tcPr>
          <w:p>
            <w:pPr>
              <w:jc w:val="center"/>
              <w:spacing w:after="0"/>
              <w:rPr>
                <w:sz w:val="20"/>
                <w:szCs w:val="20"/>
                <w:color w:val="auto"/>
              </w:rPr>
            </w:pPr>
            <w:r>
              <w:rPr>
                <w:rFonts w:ascii="Arial" w:cs="Arial" w:eastAsia="Arial" w:hAnsi="Arial"/>
                <w:sz w:val="15"/>
                <w:szCs w:val="15"/>
                <w:i w:val="1"/>
                <w:iCs w:val="1"/>
                <w:color w:val="FF0000"/>
                <w:w w:val="98"/>
              </w:rPr>
              <w:t>everybody returns home safe at</w:t>
            </w:r>
          </w:p>
        </w:tc>
        <w:tc>
          <w:tcPr>
            <w:tcW w:w="0" w:type="dxa"/>
            <w:vAlign w:val="bottom"/>
          </w:tcPr>
          <w:p>
            <w:pPr>
              <w:spacing w:after="0"/>
              <w:rPr>
                <w:sz w:val="1"/>
                <w:szCs w:val="1"/>
                <w:color w:val="auto"/>
              </w:rPr>
            </w:pPr>
          </w:p>
        </w:tc>
      </w:tr>
      <w:tr>
        <w:trPr>
          <w:trHeight w:val="194"/>
        </w:trPr>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5620" w:type="dxa"/>
            <w:vAlign w:val="bottom"/>
            <w:vMerge w:val="restart"/>
          </w:tcPr>
          <w:p>
            <w:pPr>
              <w:ind w:left="80"/>
              <w:spacing w:after="0"/>
              <w:rPr>
                <w:sz w:val="20"/>
                <w:szCs w:val="20"/>
                <w:color w:val="auto"/>
              </w:rPr>
            </w:pPr>
            <w:r>
              <w:rPr>
                <w:rFonts w:ascii="Arial" w:cs="Arial" w:eastAsia="Arial" w:hAnsi="Arial"/>
                <w:sz w:val="13"/>
                <w:szCs w:val="13"/>
                <w:color w:val="auto"/>
              </w:rPr>
              <w:t>We leave only the gentlest footprints on our environment</w:t>
            </w:r>
          </w:p>
        </w:tc>
        <w:tc>
          <w:tcPr>
            <w:tcW w:w="2840" w:type="dxa"/>
            <w:vAlign w:val="bottom"/>
          </w:tcPr>
          <w:p>
            <w:pPr>
              <w:jc w:val="center"/>
              <w:spacing w:after="0"/>
              <w:rPr>
                <w:sz w:val="20"/>
                <w:szCs w:val="20"/>
                <w:color w:val="auto"/>
              </w:rPr>
            </w:pPr>
            <w:r>
              <w:rPr>
                <w:rFonts w:ascii="Arial" w:cs="Arial" w:eastAsia="Arial" w:hAnsi="Arial"/>
                <w:sz w:val="15"/>
                <w:szCs w:val="15"/>
                <w:i w:val="1"/>
                <w:iCs w:val="1"/>
                <w:color w:val="FF0000"/>
                <w:w w:val="97"/>
              </w:rPr>
              <w:t>the end of the working day.</w:t>
            </w:r>
          </w:p>
        </w:tc>
        <w:tc>
          <w:tcPr>
            <w:tcW w:w="0" w:type="dxa"/>
            <w:vAlign w:val="bottom"/>
          </w:tcPr>
          <w:p>
            <w:pPr>
              <w:spacing w:after="0"/>
              <w:rPr>
                <w:sz w:val="1"/>
                <w:szCs w:val="1"/>
                <w:color w:val="auto"/>
              </w:rPr>
            </w:pPr>
          </w:p>
        </w:tc>
      </w:tr>
      <w:tr>
        <w:trPr>
          <w:trHeight w:val="66"/>
        </w:trPr>
        <w:tc>
          <w:tcPr>
            <w:tcW w:w="140" w:type="dxa"/>
            <w:vAlign w:val="bottom"/>
            <w:vMerge w:val="continue"/>
          </w:tcPr>
          <w:p>
            <w:pPr>
              <w:spacing w:after="0"/>
              <w:rPr>
                <w:sz w:val="5"/>
                <w:szCs w:val="5"/>
                <w:color w:val="auto"/>
              </w:rPr>
            </w:pPr>
          </w:p>
        </w:tc>
        <w:tc>
          <w:tcPr>
            <w:tcW w:w="5620" w:type="dxa"/>
            <w:vAlign w:val="bottom"/>
            <w:vMerge w:val="continue"/>
          </w:tcPr>
          <w:p>
            <w:pPr>
              <w:spacing w:after="0"/>
              <w:rPr>
                <w:sz w:val="5"/>
                <w:szCs w:val="5"/>
                <w:color w:val="auto"/>
              </w:rPr>
            </w:pPr>
          </w:p>
        </w:tc>
        <w:tc>
          <w:tcPr>
            <w:tcW w:w="2840" w:type="dxa"/>
            <w:vAlign w:val="bottom"/>
            <w:tcBorders>
              <w:bottom w:val="single" w:sz="8" w:color="FF000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b w:val="1"/>
          <w:bCs w:val="1"/>
          <w:color w:val="FF0000"/>
        </w:rPr>
        <w:t xml:space="preserve">Leadership. </w:t>
      </w:r>
      <w:r>
        <w:rPr>
          <w:rFonts w:ascii="Arial" w:cs="Arial" w:eastAsia="Arial" w:hAnsi="Arial"/>
          <w:sz w:val="15"/>
          <w:szCs w:val="15"/>
          <w:color w:val="000000"/>
        </w:rPr>
        <w:t>The Company periodically reviews the Corporate SHE structure and organization so that we have the optimum</w:t>
      </w:r>
      <w:r>
        <w:rPr>
          <w:rFonts w:ascii="Arial" w:cs="Arial" w:eastAsia="Arial" w:hAnsi="Arial"/>
          <w:sz w:val="15"/>
          <w:szCs w:val="15"/>
          <w:b w:val="1"/>
          <w:bCs w:val="1"/>
          <w:color w:val="FF0000"/>
        </w:rPr>
        <w:t xml:space="preserve"> </w:t>
      </w:r>
      <w:r>
        <w:rPr>
          <w:rFonts w:ascii="Arial" w:cs="Arial" w:eastAsia="Arial" w:hAnsi="Arial"/>
          <w:sz w:val="15"/>
          <w:szCs w:val="15"/>
          <w:color w:val="000000"/>
        </w:rPr>
        <w:t>resources and correct approach. We strive to embed SHE in our culture by having leadership that comes from executive management. Our Responsible Care Executive Committee (known as RESPECT) comprises members of the senior leadership team and is led by the CEO. RESPECT is responsible for setting the group’s SHE policies and objectives across the global business. It also monitors ongoing performance in these areas throughout the year. Through this structure, we have established a strong culture of safety within our organization. The RESPECT committee reports to the Board and conducts a major review of objectives and performance annually alongside quarterly interim reviews.</w:t>
      </w:r>
    </w:p>
    <w:p>
      <w:pPr>
        <w:spacing w:after="0" w:line="97" w:lineRule="exact"/>
        <w:rPr>
          <w:sz w:val="20"/>
          <w:szCs w:val="20"/>
          <w:color w:val="auto"/>
        </w:rPr>
      </w:pPr>
    </w:p>
    <w:p>
      <w:pPr>
        <w:jc w:val="both"/>
        <w:ind w:left="200" w:right="139"/>
        <w:spacing w:after="0" w:line="291" w:lineRule="auto"/>
        <w:rPr>
          <w:sz w:val="20"/>
          <w:szCs w:val="20"/>
          <w:color w:val="auto"/>
        </w:rPr>
      </w:pPr>
      <w:r>
        <w:rPr>
          <w:rFonts w:ascii="Arial" w:cs="Arial" w:eastAsia="Arial" w:hAnsi="Arial"/>
          <w:sz w:val="14"/>
          <w:szCs w:val="14"/>
          <w:b w:val="1"/>
          <w:bCs w:val="1"/>
          <w:color w:val="FF0000"/>
        </w:rPr>
        <w:t xml:space="preserve">Training. </w:t>
      </w:r>
      <w:r>
        <w:rPr>
          <w:rFonts w:ascii="Arial" w:cs="Arial" w:eastAsia="Arial" w:hAnsi="Arial"/>
          <w:sz w:val="14"/>
          <w:szCs w:val="14"/>
          <w:color w:val="000000"/>
        </w:rPr>
        <w:t>Training is an essential part of our health and safety strategy. To minimize the risk of accident or injury, we give our</w:t>
      </w:r>
      <w:r>
        <w:rPr>
          <w:rFonts w:ascii="Arial" w:cs="Arial" w:eastAsia="Arial" w:hAnsi="Arial"/>
          <w:sz w:val="14"/>
          <w:szCs w:val="14"/>
          <w:b w:val="1"/>
          <w:bCs w:val="1"/>
          <w:color w:val="FF0000"/>
        </w:rPr>
        <w:t xml:space="preserve"> </w:t>
      </w:r>
      <w:r>
        <w:rPr>
          <w:rFonts w:ascii="Arial" w:cs="Arial" w:eastAsia="Arial" w:hAnsi="Arial"/>
          <w:sz w:val="14"/>
          <w:szCs w:val="14"/>
          <w:color w:val="000000"/>
        </w:rPr>
        <w:t>employees the information they need, delivered effectively and at the appropriate time. Our ongoing training programs demonstrate our commitment to targeting zero accidents, making sure that safety is always front of mind and that we continually raise standards.</w:t>
      </w:r>
    </w:p>
    <w:p>
      <w:pPr>
        <w:spacing w:after="0" w:line="60"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Every year, employees across our sites take part in a variety of site-specific training courses to enable them to be competent and safe in their roles.</w:t>
      </w:r>
    </w:p>
    <w:p>
      <w:pPr>
        <w:spacing w:after="0" w:line="75" w:lineRule="exact"/>
        <w:rPr>
          <w:sz w:val="20"/>
          <w:szCs w:val="20"/>
          <w:color w:val="auto"/>
        </w:rPr>
      </w:pPr>
    </w:p>
    <w:p>
      <w:pPr>
        <w:jc w:val="both"/>
        <w:ind w:left="200" w:right="139"/>
        <w:spacing w:after="0" w:line="268" w:lineRule="auto"/>
        <w:rPr>
          <w:sz w:val="20"/>
          <w:szCs w:val="20"/>
          <w:color w:val="auto"/>
        </w:rPr>
      </w:pPr>
      <w:r>
        <w:rPr>
          <w:rFonts w:ascii="Arial" w:cs="Arial" w:eastAsia="Arial" w:hAnsi="Arial"/>
          <w:sz w:val="15"/>
          <w:szCs w:val="15"/>
          <w:b w:val="1"/>
          <w:bCs w:val="1"/>
          <w:color w:val="auto"/>
        </w:rPr>
        <w:t xml:space="preserve">A copy of the Company’s Safety, Health and Environment Policy can be found on the “Sustainability” section of the Company’s website at </w:t>
      </w:r>
      <w:r>
        <w:rPr>
          <w:rFonts w:ascii="Arial" w:cs="Arial" w:eastAsia="Arial" w:hAnsi="Arial"/>
          <w:sz w:val="15"/>
          <w:szCs w:val="15"/>
          <w:b w:val="1"/>
          <w:bCs w:val="1"/>
          <w:i w:val="1"/>
          <w:iCs w:val="1"/>
          <w:color w:val="4F81BD"/>
        </w:rPr>
        <w:t>https://innospecsustainability.com</w:t>
      </w:r>
      <w:r>
        <w:rPr>
          <w:rFonts w:ascii="Arial" w:cs="Arial" w:eastAsia="Arial" w:hAnsi="Arial"/>
          <w:sz w:val="15"/>
          <w:szCs w:val="15"/>
          <w:b w:val="1"/>
          <w:bCs w:val="1"/>
          <w:color w:val="auto"/>
        </w:rPr>
        <w:t>, but does not constitute part of, and is not incorporated by reference into, this Proxy Statement.</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Development and Training</w:t>
      </w:r>
    </w:p>
    <w:p>
      <w:pPr>
        <w:spacing w:after="0" w:line="195"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As an organization, we are committed to making Innospec a great company to work for and we invest, as appropriate, in the development of our employees to meet this ambition.</w:t>
      </w:r>
    </w:p>
    <w:p>
      <w:pPr>
        <w:spacing w:after="0" w:line="64"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Our employees are offered both internal and external training, where appropriate, to support their continued development and to meet the needs of our business. Where relevant, we support our employees’ ongoing professional training and development to encourage their progression within our business.</w:t>
      </w:r>
    </w:p>
    <w:p>
      <w:pPr>
        <w:spacing w:after="0" w:line="88"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The Board is also actively involved in reviewing and approving executive compensation, selections and succession plans so that we have leadership in place with the requisite skills and experience to deliver results the right way. The CEO periodically provides the Board with an assessment of each Senior Executive that has the potential to be a successor for the CEO position, as well as perspectives on potential candidates for other senior management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2331720</wp:posOffset>
            </wp:positionV>
            <wp:extent cx="297180" cy="290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5" w:name="page36"/>
    <w:bookmarkEnd w:id="35"/>
    <w:p>
      <w:pPr>
        <w:spacing w:after="0" w:line="100" w:lineRule="exact"/>
        <w:rPr>
          <w:sz w:val="20"/>
          <w:szCs w:val="20"/>
          <w:color w:val="auto"/>
        </w:rPr>
      </w:pPr>
    </w:p>
    <w:p>
      <w:pPr>
        <w:jc w:val="both"/>
        <w:ind w:left="200" w:right="139"/>
        <w:spacing w:after="0" w:line="261" w:lineRule="auto"/>
        <w:rPr>
          <w:sz w:val="20"/>
          <w:szCs w:val="20"/>
          <w:color w:val="auto"/>
        </w:rPr>
      </w:pPr>
      <w:r>
        <w:rPr>
          <w:rFonts w:ascii="Arial" w:cs="Arial" w:eastAsia="Arial" w:hAnsi="Arial"/>
          <w:sz w:val="15"/>
          <w:szCs w:val="15"/>
          <w:b w:val="1"/>
          <w:bCs w:val="1"/>
          <w:color w:val="auto"/>
        </w:rPr>
        <w:t xml:space="preserve">Further information on our human capital management initiatives is available in our annual Environmental, Social &amp; Governance Report, available online in the “Sustainability” section of the Company’s website at </w:t>
      </w:r>
      <w:r>
        <w:rPr>
          <w:rFonts w:ascii="Arial" w:cs="Arial" w:eastAsia="Arial" w:hAnsi="Arial"/>
          <w:sz w:val="15"/>
          <w:szCs w:val="15"/>
          <w:b w:val="1"/>
          <w:bCs w:val="1"/>
          <w:i w:val="1"/>
          <w:iCs w:val="1"/>
          <w:color w:val="4F81BD"/>
        </w:rPr>
        <w:t>https://innospecsustainability.com</w:t>
      </w:r>
      <w:r>
        <w:rPr>
          <w:rFonts w:ascii="Arial" w:cs="Arial" w:eastAsia="Arial" w:hAnsi="Arial"/>
          <w:sz w:val="15"/>
          <w:szCs w:val="15"/>
          <w:b w:val="1"/>
          <w:bCs w:val="1"/>
          <w:color w:val="000000"/>
        </w:rPr>
        <w:t>, but does not constitute part of, and is not incorporated by reference into, this Proxy</w:t>
      </w:r>
      <w:r>
        <w:rPr>
          <w:rFonts w:ascii="Arial" w:cs="Arial" w:eastAsia="Arial" w:hAnsi="Arial"/>
          <w:sz w:val="15"/>
          <w:szCs w:val="15"/>
          <w:b w:val="1"/>
          <w:bCs w:val="1"/>
          <w:i w:val="1"/>
          <w:iCs w:val="1"/>
          <w:color w:val="4F81BD"/>
        </w:rPr>
        <w:t xml:space="preserve"> </w:t>
      </w:r>
      <w:r>
        <w:rPr>
          <w:rFonts w:ascii="Arial" w:cs="Arial" w:eastAsia="Arial" w:hAnsi="Arial"/>
          <w:sz w:val="15"/>
          <w:szCs w:val="15"/>
          <w:b w:val="1"/>
          <w:bCs w:val="1"/>
          <w:color w:val="000000"/>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6915785</wp:posOffset>
            </wp:positionV>
            <wp:extent cx="297180" cy="290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6" w:name="page37"/>
    <w:bookmarkEnd w:id="36"/>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874796"/>
        </w:rPr>
        <w:t>PROPOSAL 1 – ELECTION OF TWO CLASS I DIRECTORS</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874796"/>
        </w:rPr>
        <w:t>(Item 1 on the Proxy Card)</w:t>
      </w:r>
    </w:p>
    <w:p>
      <w:pPr>
        <w:spacing w:after="0" w:line="103"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The first proposal to be voted on at the meeting is the election of two Class I Directors. The directors elected at this meeting will serve until the 2029 Annual Meeting of Stockholders. The Board has nominated Elizabeth K. Arnold and Claudia P. Poccia, current Class I Directors, whose terms expire at the upcoming Annual Meeting of Stockholders, for election to the Board.</w:t>
      </w:r>
    </w:p>
    <w:p>
      <w:pPr>
        <w:sectPr>
          <w:pgSz w:w="11900" w:h="16838" w:orient="portrait"/>
          <w:cols w:equalWidth="0" w:num="1">
            <w:col w:w="9019"/>
          </w:cols>
          <w:pgMar w:left="1440" w:top="1440" w:right="1440" w:bottom="1440" w:gutter="0" w:footer="0" w:header="0"/>
        </w:sectPr>
      </w:pPr>
    </w:p>
    <w:p>
      <w:pPr>
        <w:spacing w:after="0" w:line="88" w:lineRule="exact"/>
        <w:rPr>
          <w:sz w:val="20"/>
          <w:szCs w:val="20"/>
          <w:color w:val="auto"/>
        </w:rPr>
      </w:pPr>
    </w:p>
    <w:p>
      <w:pPr>
        <w:jc w:val="both"/>
        <w:ind w:left="200"/>
        <w:spacing w:after="0" w:line="254" w:lineRule="auto"/>
        <w:rPr>
          <w:sz w:val="20"/>
          <w:szCs w:val="20"/>
          <w:color w:val="auto"/>
        </w:rPr>
      </w:pPr>
      <w:r>
        <w:rPr>
          <w:rFonts w:ascii="Arial" w:cs="Arial" w:eastAsia="Arial" w:hAnsi="Arial"/>
          <w:sz w:val="15"/>
          <w:szCs w:val="15"/>
          <w:color w:val="auto"/>
        </w:rPr>
        <w:t>The Bylaws of the Company provide that the number of directors shall be not less than three nor more than twelve members, the exact number of which shall be determined from time to time by resolution adopted by the Board, and that the Board shall be divided into three classes, designated Class I, Class II and Class III. Each class shall consist, as nearly as may be possible, of one-third of the total number of Directors constituting the entire Board.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FFFFFF"/>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-254000</wp:posOffset>
            </wp:positionV>
            <wp:extent cx="1584325" cy="12090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84325" cy="12090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FFFFFF"/>
        </w:rPr>
        <w:t>recommends that you</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FFFFFF"/>
        </w:rPr>
        <w:t xml:space="preserve">vote </w:t>
      </w:r>
      <w:r>
        <w:rPr>
          <w:rFonts w:ascii="Arial" w:cs="Arial" w:eastAsia="Arial" w:hAnsi="Arial"/>
          <w:sz w:val="21"/>
          <w:szCs w:val="21"/>
          <w:b w:val="1"/>
          <w:bCs w:val="1"/>
          <w:color w:val="FFFFFF"/>
        </w:rPr>
        <w:t>“FOR”</w:t>
      </w:r>
      <w:r>
        <w:rPr>
          <w:rFonts w:ascii="Arial" w:cs="Arial" w:eastAsia="Arial" w:hAnsi="Arial"/>
          <w:sz w:val="21"/>
          <w:szCs w:val="21"/>
          <w:color w:val="FFFFFF"/>
        </w:rPr>
        <w:t xml:space="preserve"> each</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FFFFFF"/>
        </w:rPr>
        <w:t>Director nominee.</w:t>
      </w:r>
    </w:p>
    <w:p>
      <w:pPr>
        <w:spacing w:after="0" w:line="200" w:lineRule="exact"/>
        <w:rPr>
          <w:sz w:val="20"/>
          <w:szCs w:val="20"/>
          <w:color w:val="auto"/>
        </w:rPr>
      </w:pPr>
    </w:p>
    <w:p>
      <w:pPr>
        <w:sectPr>
          <w:pgSz w:w="11900" w:h="16838" w:orient="portrait"/>
          <w:cols w:equalWidth="0" w:num="2">
            <w:col w:w="6160" w:space="400"/>
            <w:col w:w="245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below chart includes this year’s nominees included in Proposal 1, along with their age, tenure, principal occupation and committee membership:</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1340" w:type="dxa"/>
            <w:vAlign w:val="bottom"/>
            <w:shd w:val="clear" w:color="auto" w:fill="874796"/>
          </w:tcPr>
          <w:p>
            <w:pPr>
              <w:spacing w:after="0"/>
              <w:rPr>
                <w:sz w:val="17"/>
                <w:szCs w:val="17"/>
                <w:color w:val="auto"/>
              </w:rPr>
            </w:pPr>
          </w:p>
        </w:tc>
        <w:tc>
          <w:tcPr>
            <w:tcW w:w="580" w:type="dxa"/>
            <w:vAlign w:val="bottom"/>
            <w:shd w:val="clear" w:color="auto" w:fill="874796"/>
          </w:tcPr>
          <w:p>
            <w:pPr>
              <w:spacing w:after="0"/>
              <w:rPr>
                <w:sz w:val="17"/>
                <w:szCs w:val="17"/>
                <w:color w:val="auto"/>
              </w:rPr>
            </w:pPr>
          </w:p>
        </w:tc>
        <w:tc>
          <w:tcPr>
            <w:tcW w:w="1080" w:type="dxa"/>
            <w:vAlign w:val="bottom"/>
            <w:shd w:val="clear" w:color="auto" w:fill="874796"/>
          </w:tcPr>
          <w:p>
            <w:pPr>
              <w:spacing w:after="0"/>
              <w:rPr>
                <w:sz w:val="17"/>
                <w:szCs w:val="17"/>
                <w:color w:val="auto"/>
              </w:rPr>
            </w:pPr>
          </w:p>
        </w:tc>
        <w:tc>
          <w:tcPr>
            <w:tcW w:w="800" w:type="dxa"/>
            <w:vAlign w:val="bottom"/>
            <w:shd w:val="clear" w:color="auto" w:fill="874796"/>
          </w:tcPr>
          <w:p>
            <w:pPr>
              <w:jc w:val="right"/>
              <w:ind w:right="33"/>
              <w:spacing w:after="0"/>
              <w:rPr>
                <w:sz w:val="20"/>
                <w:szCs w:val="20"/>
                <w:color w:val="auto"/>
              </w:rPr>
            </w:pPr>
            <w:r>
              <w:rPr>
                <w:rFonts w:ascii="Arial" w:cs="Arial" w:eastAsia="Arial" w:hAnsi="Arial"/>
                <w:sz w:val="13"/>
                <w:szCs w:val="13"/>
                <w:b w:val="1"/>
                <w:bCs w:val="1"/>
                <w:color w:val="FFFFFF"/>
              </w:rPr>
              <w:t>Director</w:t>
            </w:r>
          </w:p>
        </w:tc>
        <w:tc>
          <w:tcPr>
            <w:tcW w:w="1320" w:type="dxa"/>
            <w:vAlign w:val="bottom"/>
            <w:shd w:val="clear" w:color="auto" w:fill="874796"/>
          </w:tcPr>
          <w:p>
            <w:pPr>
              <w:ind w:left="540"/>
              <w:spacing w:after="0"/>
              <w:rPr>
                <w:sz w:val="20"/>
                <w:szCs w:val="20"/>
                <w:color w:val="auto"/>
              </w:rPr>
            </w:pPr>
            <w:r>
              <w:rPr>
                <w:rFonts w:ascii="Arial" w:cs="Arial" w:eastAsia="Arial" w:hAnsi="Arial"/>
                <w:sz w:val="13"/>
                <w:szCs w:val="13"/>
                <w:b w:val="1"/>
                <w:bCs w:val="1"/>
                <w:color w:val="FFFFFF"/>
              </w:rPr>
              <w:t>Board</w:t>
            </w:r>
          </w:p>
        </w:tc>
        <w:tc>
          <w:tcPr>
            <w:tcW w:w="1240" w:type="dxa"/>
            <w:vAlign w:val="bottom"/>
            <w:shd w:val="clear" w:color="auto" w:fill="874796"/>
          </w:tcPr>
          <w:p>
            <w:pPr>
              <w:jc w:val="center"/>
              <w:ind w:left="133"/>
              <w:spacing w:after="0"/>
              <w:rPr>
                <w:sz w:val="20"/>
                <w:szCs w:val="20"/>
                <w:color w:val="auto"/>
              </w:rPr>
            </w:pPr>
            <w:r>
              <w:rPr>
                <w:rFonts w:ascii="Arial" w:cs="Arial" w:eastAsia="Arial" w:hAnsi="Arial"/>
                <w:sz w:val="13"/>
                <w:szCs w:val="13"/>
                <w:b w:val="1"/>
                <w:bCs w:val="1"/>
                <w:color w:val="FFFFFF"/>
              </w:rPr>
              <w:t>Principal</w:t>
            </w:r>
          </w:p>
        </w:tc>
        <w:tc>
          <w:tcPr>
            <w:tcW w:w="2320" w:type="dxa"/>
            <w:vAlign w:val="bottom"/>
            <w:shd w:val="clear" w:color="auto" w:fill="874796"/>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40" w:type="dxa"/>
            <w:vAlign w:val="bottom"/>
            <w:shd w:val="clear" w:color="auto" w:fill="874796"/>
          </w:tcPr>
          <w:p>
            <w:pPr>
              <w:spacing w:after="0"/>
              <w:rPr>
                <w:sz w:val="17"/>
                <w:szCs w:val="17"/>
                <w:color w:val="auto"/>
              </w:rPr>
            </w:pPr>
          </w:p>
        </w:tc>
        <w:tc>
          <w:tcPr>
            <w:tcW w:w="580" w:type="dxa"/>
            <w:vAlign w:val="bottom"/>
            <w:shd w:val="clear" w:color="auto" w:fill="874796"/>
          </w:tcPr>
          <w:p>
            <w:pPr>
              <w:jc w:val="center"/>
              <w:spacing w:after="0"/>
              <w:rPr>
                <w:sz w:val="20"/>
                <w:szCs w:val="20"/>
                <w:color w:val="auto"/>
              </w:rPr>
            </w:pPr>
            <w:r>
              <w:rPr>
                <w:rFonts w:ascii="Arial" w:cs="Arial" w:eastAsia="Arial" w:hAnsi="Arial"/>
                <w:sz w:val="13"/>
                <w:szCs w:val="13"/>
                <w:b w:val="1"/>
                <w:bCs w:val="1"/>
                <w:color w:val="FFFFFF"/>
              </w:rPr>
              <w:t>Age</w:t>
            </w:r>
          </w:p>
        </w:tc>
        <w:tc>
          <w:tcPr>
            <w:tcW w:w="1080" w:type="dxa"/>
            <w:vAlign w:val="bottom"/>
            <w:shd w:val="clear" w:color="auto" w:fill="874796"/>
          </w:tcPr>
          <w:p>
            <w:pPr>
              <w:jc w:val="center"/>
              <w:spacing w:after="0"/>
              <w:rPr>
                <w:sz w:val="20"/>
                <w:szCs w:val="20"/>
                <w:color w:val="auto"/>
              </w:rPr>
            </w:pPr>
            <w:r>
              <w:rPr>
                <w:rFonts w:ascii="Arial" w:cs="Arial" w:eastAsia="Arial" w:hAnsi="Arial"/>
                <w:sz w:val="13"/>
                <w:szCs w:val="13"/>
                <w:b w:val="1"/>
                <w:bCs w:val="1"/>
                <w:color w:val="FFFFFF"/>
              </w:rPr>
              <w:t>Independent</w:t>
            </w:r>
          </w:p>
        </w:tc>
        <w:tc>
          <w:tcPr>
            <w:tcW w:w="800" w:type="dxa"/>
            <w:vAlign w:val="bottom"/>
            <w:shd w:val="clear" w:color="auto" w:fill="874796"/>
          </w:tcPr>
          <w:p>
            <w:pPr>
              <w:jc w:val="right"/>
              <w:ind w:right="113"/>
              <w:spacing w:after="0"/>
              <w:rPr>
                <w:sz w:val="20"/>
                <w:szCs w:val="20"/>
                <w:color w:val="auto"/>
              </w:rPr>
            </w:pPr>
            <w:r>
              <w:rPr>
                <w:rFonts w:ascii="Arial" w:cs="Arial" w:eastAsia="Arial" w:hAnsi="Arial"/>
                <w:sz w:val="13"/>
                <w:szCs w:val="13"/>
                <w:b w:val="1"/>
                <w:bCs w:val="1"/>
                <w:color w:val="FFFFFF"/>
              </w:rPr>
              <w:t>Since</w:t>
            </w:r>
          </w:p>
        </w:tc>
        <w:tc>
          <w:tcPr>
            <w:tcW w:w="1320" w:type="dxa"/>
            <w:vAlign w:val="bottom"/>
            <w:shd w:val="clear" w:color="auto" w:fill="874796"/>
          </w:tcPr>
          <w:p>
            <w:pPr>
              <w:ind w:left="300"/>
              <w:spacing w:after="0"/>
              <w:rPr>
                <w:sz w:val="20"/>
                <w:szCs w:val="20"/>
                <w:color w:val="auto"/>
              </w:rPr>
            </w:pPr>
            <w:r>
              <w:rPr>
                <w:rFonts w:ascii="Arial" w:cs="Arial" w:eastAsia="Arial" w:hAnsi="Arial"/>
                <w:sz w:val="13"/>
                <w:szCs w:val="13"/>
                <w:b w:val="1"/>
                <w:bCs w:val="1"/>
                <w:color w:val="FFFFFF"/>
              </w:rPr>
              <w:t>Committee(s)</w:t>
            </w:r>
          </w:p>
        </w:tc>
        <w:tc>
          <w:tcPr>
            <w:tcW w:w="1240" w:type="dxa"/>
            <w:vAlign w:val="bottom"/>
            <w:shd w:val="clear" w:color="auto" w:fill="874796"/>
          </w:tcPr>
          <w:p>
            <w:pPr>
              <w:jc w:val="center"/>
              <w:ind w:left="133"/>
              <w:spacing w:after="0"/>
              <w:rPr>
                <w:sz w:val="20"/>
                <w:szCs w:val="20"/>
                <w:color w:val="auto"/>
              </w:rPr>
            </w:pPr>
            <w:r>
              <w:rPr>
                <w:rFonts w:ascii="Arial" w:cs="Arial" w:eastAsia="Arial" w:hAnsi="Arial"/>
                <w:sz w:val="13"/>
                <w:szCs w:val="13"/>
                <w:b w:val="1"/>
                <w:bCs w:val="1"/>
                <w:color w:val="FFFFFF"/>
              </w:rPr>
              <w:t>Occupation</w:t>
            </w:r>
          </w:p>
        </w:tc>
        <w:tc>
          <w:tcPr>
            <w:tcW w:w="2320" w:type="dxa"/>
            <w:vAlign w:val="bottom"/>
            <w:shd w:val="clear" w:color="auto" w:fill="874796"/>
          </w:tcPr>
          <w:p>
            <w:pPr>
              <w:ind w:left="240"/>
              <w:spacing w:after="0"/>
              <w:rPr>
                <w:sz w:val="20"/>
                <w:szCs w:val="20"/>
                <w:color w:val="auto"/>
              </w:rPr>
            </w:pPr>
            <w:r>
              <w:rPr>
                <w:rFonts w:ascii="Arial" w:cs="Arial" w:eastAsia="Arial" w:hAnsi="Arial"/>
                <w:sz w:val="13"/>
                <w:szCs w:val="13"/>
                <w:b w:val="1"/>
                <w:bCs w:val="1"/>
                <w:color w:val="FFFFFF"/>
              </w:rPr>
              <w:t>Other Public Board Position(s)</w:t>
            </w:r>
          </w:p>
        </w:tc>
        <w:tc>
          <w:tcPr>
            <w:tcW w:w="0" w:type="dxa"/>
            <w:vAlign w:val="bottom"/>
          </w:tcPr>
          <w:p>
            <w:pPr>
              <w:spacing w:after="0"/>
              <w:rPr>
                <w:sz w:val="1"/>
                <w:szCs w:val="1"/>
                <w:color w:val="auto"/>
              </w:rPr>
            </w:pPr>
          </w:p>
        </w:tc>
      </w:tr>
      <w:tr>
        <w:trPr>
          <w:trHeight w:val="156"/>
        </w:trPr>
        <w:tc>
          <w:tcPr>
            <w:tcW w:w="1340" w:type="dxa"/>
            <w:vAlign w:val="bottom"/>
            <w:vMerge w:val="restart"/>
          </w:tcPr>
          <w:p>
            <w:pPr>
              <w:ind w:left="60"/>
              <w:spacing w:after="0"/>
              <w:rPr>
                <w:sz w:val="20"/>
                <w:szCs w:val="20"/>
                <w:color w:val="auto"/>
              </w:rPr>
            </w:pPr>
            <w:r>
              <w:rPr>
                <w:rFonts w:ascii="Arial" w:cs="Arial" w:eastAsia="Arial" w:hAnsi="Arial"/>
                <w:sz w:val="13"/>
                <w:szCs w:val="13"/>
                <w:color w:val="auto"/>
              </w:rPr>
              <w:t>Elizabeth K. Arnold</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6"/>
              </w:rPr>
              <w:t>61</w:t>
            </w:r>
          </w:p>
        </w:tc>
        <w:tc>
          <w:tcPr>
            <w:tcW w:w="1080" w:type="dxa"/>
            <w:vAlign w:val="bottom"/>
          </w:tcPr>
          <w:p>
            <w:pPr>
              <w:jc w:val="center"/>
              <w:spacing w:after="0" w:line="156" w:lineRule="exact"/>
              <w:rPr>
                <w:sz w:val="20"/>
                <w:szCs w:val="20"/>
                <w:color w:val="auto"/>
              </w:rPr>
            </w:pPr>
            <w:r>
              <w:rPr>
                <w:rFonts w:ascii="MS PGothic" w:cs="MS PGothic" w:eastAsia="MS PGothic" w:hAnsi="MS PGothic"/>
                <w:sz w:val="20"/>
                <w:szCs w:val="20"/>
                <w:color w:val="9CBB58"/>
                <w:w w:val="99"/>
              </w:rPr>
              <w:t>✔</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2020</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Audit Committee</w:t>
            </w:r>
          </w:p>
        </w:tc>
        <w:tc>
          <w:tcPr>
            <w:tcW w:w="1240" w:type="dxa"/>
            <w:vAlign w:val="bottom"/>
            <w:vMerge w:val="restart"/>
          </w:tcPr>
          <w:p>
            <w:pPr>
              <w:ind w:left="160"/>
              <w:spacing w:after="0"/>
              <w:rPr>
                <w:sz w:val="20"/>
                <w:szCs w:val="20"/>
                <w:color w:val="auto"/>
              </w:rPr>
            </w:pPr>
            <w:r>
              <w:rPr>
                <w:rFonts w:ascii="Arial" w:cs="Arial" w:eastAsia="Arial" w:hAnsi="Arial"/>
                <w:sz w:val="13"/>
                <w:szCs w:val="13"/>
                <w:color w:val="auto"/>
              </w:rPr>
              <w:t>Retired</w:t>
            </w:r>
          </w:p>
        </w:tc>
        <w:tc>
          <w:tcPr>
            <w:tcW w:w="2320" w:type="dxa"/>
            <w:vAlign w:val="bottom"/>
            <w:vMerge w:val="restart"/>
          </w:tcPr>
          <w:p>
            <w:pPr>
              <w:ind w:left="160"/>
              <w:spacing w:after="0"/>
              <w:rPr>
                <w:sz w:val="20"/>
                <w:szCs w:val="20"/>
                <w:color w:val="auto"/>
              </w:rPr>
            </w:pPr>
            <w:r>
              <w:rPr>
                <w:rFonts w:ascii="Arial" w:cs="Arial" w:eastAsia="Arial" w:hAnsi="Arial"/>
                <w:sz w:val="13"/>
                <w:szCs w:val="13"/>
                <w:color w:val="auto"/>
              </w:rPr>
              <w:t>FreightCar America Inc. – NED,</w:t>
            </w:r>
          </w:p>
        </w:tc>
        <w:tc>
          <w:tcPr>
            <w:tcW w:w="0" w:type="dxa"/>
            <w:vAlign w:val="bottom"/>
          </w:tcPr>
          <w:p>
            <w:pPr>
              <w:spacing w:after="0"/>
              <w:rPr>
                <w:sz w:val="1"/>
                <w:szCs w:val="1"/>
                <w:color w:val="auto"/>
              </w:rPr>
            </w:pPr>
          </w:p>
        </w:tc>
      </w:tr>
      <w:tr>
        <w:trPr>
          <w:trHeight w:val="42"/>
        </w:trPr>
        <w:tc>
          <w:tcPr>
            <w:tcW w:w="134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2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3"/>
                <w:szCs w:val="13"/>
                <w:color w:val="auto"/>
              </w:rPr>
              <w:t>Nominating,</w:t>
            </w:r>
          </w:p>
        </w:tc>
        <w:tc>
          <w:tcPr>
            <w:tcW w:w="1240" w:type="dxa"/>
            <w:vAlign w:val="bottom"/>
          </w:tcPr>
          <w:p>
            <w:pPr>
              <w:spacing w:after="0"/>
              <w:rPr>
                <w:sz w:val="15"/>
                <w:szCs w:val="15"/>
                <w:color w:val="auto"/>
              </w:rPr>
            </w:pPr>
          </w:p>
        </w:tc>
        <w:tc>
          <w:tcPr>
            <w:tcW w:w="2320" w:type="dxa"/>
            <w:vAlign w:val="bottom"/>
          </w:tcPr>
          <w:p>
            <w:pPr>
              <w:ind w:left="160"/>
              <w:spacing w:after="0"/>
              <w:rPr>
                <w:sz w:val="20"/>
                <w:szCs w:val="20"/>
                <w:color w:val="auto"/>
              </w:rPr>
            </w:pPr>
            <w:r>
              <w:rPr>
                <w:rFonts w:ascii="Arial" w:cs="Arial" w:eastAsia="Arial" w:hAnsi="Arial"/>
                <w:sz w:val="13"/>
                <w:szCs w:val="13"/>
                <w:color w:val="auto"/>
              </w:rPr>
              <w:t>Audit Committee Chair and</w:t>
            </w: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3"/>
                <w:szCs w:val="13"/>
                <w:color w:val="auto"/>
              </w:rPr>
              <w:t>Corporate</w:t>
            </w:r>
          </w:p>
        </w:tc>
        <w:tc>
          <w:tcPr>
            <w:tcW w:w="1240" w:type="dxa"/>
            <w:vAlign w:val="bottom"/>
          </w:tcPr>
          <w:p>
            <w:pPr>
              <w:spacing w:after="0"/>
              <w:rPr>
                <w:sz w:val="15"/>
                <w:szCs w:val="15"/>
                <w:color w:val="auto"/>
              </w:rPr>
            </w:pPr>
          </w:p>
        </w:tc>
        <w:tc>
          <w:tcPr>
            <w:tcW w:w="2320" w:type="dxa"/>
            <w:vAlign w:val="bottom"/>
          </w:tcPr>
          <w:p>
            <w:pPr>
              <w:ind w:left="160"/>
              <w:spacing w:after="0"/>
              <w:rPr>
                <w:sz w:val="20"/>
                <w:szCs w:val="20"/>
                <w:color w:val="auto"/>
              </w:rPr>
            </w:pPr>
            <w:r>
              <w:rPr>
                <w:rFonts w:ascii="Arial" w:cs="Arial" w:eastAsia="Arial" w:hAnsi="Arial"/>
                <w:sz w:val="13"/>
                <w:szCs w:val="13"/>
                <w:color w:val="auto"/>
              </w:rPr>
              <w:t>member of Nominating and</w:t>
            </w: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3"/>
                <w:szCs w:val="13"/>
                <w:color w:val="auto"/>
              </w:rPr>
              <w:t>Governance and</w:t>
            </w:r>
          </w:p>
        </w:tc>
        <w:tc>
          <w:tcPr>
            <w:tcW w:w="1240" w:type="dxa"/>
            <w:vAlign w:val="bottom"/>
          </w:tcPr>
          <w:p>
            <w:pPr>
              <w:spacing w:after="0"/>
              <w:rPr>
                <w:sz w:val="15"/>
                <w:szCs w:val="15"/>
                <w:color w:val="auto"/>
              </w:rPr>
            </w:pPr>
          </w:p>
        </w:tc>
        <w:tc>
          <w:tcPr>
            <w:tcW w:w="2320" w:type="dxa"/>
            <w:vAlign w:val="bottom"/>
          </w:tcPr>
          <w:p>
            <w:pPr>
              <w:ind w:left="160"/>
              <w:spacing w:after="0"/>
              <w:rPr>
                <w:sz w:val="20"/>
                <w:szCs w:val="20"/>
                <w:color w:val="auto"/>
              </w:rPr>
            </w:pPr>
            <w:r>
              <w:rPr>
                <w:rFonts w:ascii="Arial" w:cs="Arial" w:eastAsia="Arial" w:hAnsi="Arial"/>
                <w:sz w:val="13"/>
                <w:szCs w:val="13"/>
                <w:color w:val="auto"/>
              </w:rPr>
              <w:t>Governance and Compensation</w:t>
            </w: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3"/>
                <w:szCs w:val="13"/>
                <w:color w:val="auto"/>
              </w:rPr>
              <w:t>Sustainability</w:t>
            </w:r>
          </w:p>
        </w:tc>
        <w:tc>
          <w:tcPr>
            <w:tcW w:w="1240" w:type="dxa"/>
            <w:vAlign w:val="bottom"/>
          </w:tcPr>
          <w:p>
            <w:pPr>
              <w:spacing w:after="0"/>
              <w:rPr>
                <w:sz w:val="15"/>
                <w:szCs w:val="15"/>
                <w:color w:val="auto"/>
              </w:rPr>
            </w:pPr>
          </w:p>
        </w:tc>
        <w:tc>
          <w:tcPr>
            <w:tcW w:w="2320" w:type="dxa"/>
            <w:vAlign w:val="bottom"/>
          </w:tcPr>
          <w:p>
            <w:pPr>
              <w:ind w:left="160"/>
              <w:spacing w:after="0"/>
              <w:rPr>
                <w:sz w:val="20"/>
                <w:szCs w:val="20"/>
                <w:color w:val="auto"/>
              </w:rPr>
            </w:pPr>
            <w:r>
              <w:rPr>
                <w:rFonts w:ascii="Arial" w:cs="Arial" w:eastAsia="Arial" w:hAnsi="Arial"/>
                <w:sz w:val="13"/>
                <w:szCs w:val="13"/>
                <w:color w:val="auto"/>
              </w:rPr>
              <w:t>Committee</w:t>
            </w:r>
          </w:p>
        </w:tc>
        <w:tc>
          <w:tcPr>
            <w:tcW w:w="0" w:type="dxa"/>
            <w:vAlign w:val="bottom"/>
          </w:tcPr>
          <w:p>
            <w:pPr>
              <w:spacing w:after="0"/>
              <w:rPr>
                <w:sz w:val="1"/>
                <w:szCs w:val="1"/>
                <w:color w:val="auto"/>
              </w:rPr>
            </w:pPr>
          </w:p>
        </w:tc>
      </w:tr>
      <w:tr>
        <w:trPr>
          <w:trHeight w:val="178"/>
        </w:trPr>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9CBB58"/>
                <w:w w:val="90"/>
              </w:rPr>
              <w:t>✔</w:t>
            </w:r>
          </w:p>
        </w:tc>
        <w:tc>
          <w:tcPr>
            <w:tcW w:w="800" w:type="dxa"/>
            <w:vAlign w:val="bottom"/>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3"/>
                <w:szCs w:val="13"/>
                <w:color w:val="auto"/>
              </w:rPr>
              <w:t>Committee</w:t>
            </w:r>
          </w:p>
        </w:tc>
        <w:tc>
          <w:tcPr>
            <w:tcW w:w="12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40" w:type="dxa"/>
            <w:vAlign w:val="bottom"/>
            <w:vMerge w:val="restart"/>
          </w:tcPr>
          <w:p>
            <w:pPr>
              <w:ind w:left="60"/>
              <w:spacing w:after="0"/>
              <w:rPr>
                <w:sz w:val="20"/>
                <w:szCs w:val="20"/>
                <w:color w:val="auto"/>
              </w:rPr>
            </w:pPr>
            <w:r>
              <w:rPr>
                <w:rFonts w:ascii="Arial" w:cs="Arial" w:eastAsia="Arial" w:hAnsi="Arial"/>
                <w:sz w:val="13"/>
                <w:szCs w:val="13"/>
                <w:color w:val="auto"/>
              </w:rPr>
              <w:t>Claudia P. Poccia</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96"/>
              </w:rPr>
              <w:t>66</w:t>
            </w:r>
          </w:p>
        </w:tc>
        <w:tc>
          <w:tcPr>
            <w:tcW w:w="1080" w:type="dxa"/>
            <w:vAlign w:val="bottom"/>
            <w:vMerge w:val="continue"/>
          </w:tcPr>
          <w:p>
            <w:pPr>
              <w:spacing w:after="0"/>
              <w:rPr>
                <w:sz w:val="15"/>
                <w:szCs w:val="15"/>
                <w:color w:val="auto"/>
              </w:rPr>
            </w:pP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2019</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Nominating,</w:t>
            </w:r>
          </w:p>
        </w:tc>
        <w:tc>
          <w:tcPr>
            <w:tcW w:w="1240" w:type="dxa"/>
            <w:vAlign w:val="bottom"/>
            <w:vMerge w:val="restart"/>
          </w:tcPr>
          <w:p>
            <w:pPr>
              <w:ind w:left="160"/>
              <w:spacing w:after="0"/>
              <w:rPr>
                <w:sz w:val="20"/>
                <w:szCs w:val="20"/>
                <w:color w:val="auto"/>
              </w:rPr>
            </w:pPr>
            <w:r>
              <w:rPr>
                <w:rFonts w:ascii="Arial" w:cs="Arial" w:eastAsia="Arial" w:hAnsi="Arial"/>
                <w:sz w:val="13"/>
                <w:szCs w:val="13"/>
                <w:color w:val="auto"/>
              </w:rPr>
              <w:t>CEO</w:t>
            </w:r>
          </w:p>
        </w:tc>
        <w:tc>
          <w:tcPr>
            <w:tcW w:w="2320" w:type="dxa"/>
            <w:vAlign w:val="bottom"/>
            <w:vMerge w:val="restart"/>
          </w:tcPr>
          <w:p>
            <w:pPr>
              <w:ind w:left="16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42"/>
        </w:trPr>
        <w:tc>
          <w:tcPr>
            <w:tcW w:w="134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2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-125095</wp:posOffset>
            </wp:positionV>
            <wp:extent cx="5508625" cy="8204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08625" cy="82042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13"/>
          <w:szCs w:val="13"/>
          <w:color w:val="auto"/>
        </w:rPr>
        <w:t>Corporate</w:t>
      </w:r>
    </w:p>
    <w:p>
      <w:pPr>
        <w:spacing w:after="0" w:line="29"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Governance and</w:t>
      </w:r>
    </w:p>
    <w:p>
      <w:pPr>
        <w:spacing w:after="0" w:line="29"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Sustainability</w:t>
      </w:r>
    </w:p>
    <w:p>
      <w:pPr>
        <w:spacing w:after="0" w:line="29"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Committee (Chair),</w:t>
      </w:r>
    </w:p>
    <w:p>
      <w:pPr>
        <w:spacing w:after="0" w:line="29"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Compensation</w:t>
      </w:r>
    </w:p>
    <w:p>
      <w:pPr>
        <w:spacing w:after="0" w:line="29" w:lineRule="exact"/>
        <w:rPr>
          <w:sz w:val="20"/>
          <w:szCs w:val="20"/>
          <w:color w:val="auto"/>
        </w:rPr>
      </w:pPr>
    </w:p>
    <w:p>
      <w:pPr>
        <w:ind w:left="4100"/>
        <w:spacing w:after="0"/>
        <w:rPr>
          <w:sz w:val="20"/>
          <w:szCs w:val="20"/>
          <w:color w:val="auto"/>
        </w:rPr>
      </w:pPr>
      <w:r>
        <w:rPr>
          <w:rFonts w:ascii="Arial" w:cs="Arial" w:eastAsia="Arial" w:hAnsi="Arial"/>
          <w:sz w:val="13"/>
          <w:szCs w:val="13"/>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31750</wp:posOffset>
            </wp:positionV>
            <wp:extent cx="5508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08625" cy="6985"/>
                    </a:xfrm>
                    <a:prstGeom prst="rect">
                      <a:avLst/>
                    </a:prstGeom>
                    <a:noFill/>
                  </pic:spPr>
                </pic:pic>
              </a:graphicData>
            </a:graphic>
          </wp:anchor>
        </w:drawing>
      </w:r>
    </w:p>
    <w:p>
      <w:pPr>
        <w:spacing w:after="0" w:line="149"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If a nominee becomes unable or unwilling to accept nomination or election, the Board will either select a substitute nominee or reduce the size of the Board. If you have submitted a proxy and a substitute nominee is selected, your shares will be voted for the election of the substitute nominee.</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Board has no reason to believe that any nominee would be unable or unwilling to serve if elected.</w:t>
      </w:r>
    </w:p>
    <w:p>
      <w:pPr>
        <w:spacing w:after="0" w:line="117"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According to the Bylaws and Corporate Governance Guidelines, the Nominating, Corporate Governance and Sustainability Committee recommended to the Board that the Board submit the Class I Directors to the vote of stockholders. The above-named nominees will be elected to the Board on a plurality of the votes of the shares present or represented by proxy at the meeting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1998980</wp:posOffset>
            </wp:positionV>
            <wp:extent cx="297180" cy="290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7" w:name="page38"/>
    <w:bookmarkEnd w:id="37"/>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874796"/>
        </w:rPr>
        <w:t>Our “Majority Vote” Director Resignation Policy</w:t>
      </w:r>
    </w:p>
    <w:p>
      <w:pPr>
        <w:spacing w:after="0" w:line="128" w:lineRule="exact"/>
        <w:rPr>
          <w:sz w:val="20"/>
          <w:szCs w:val="20"/>
          <w:color w:val="auto"/>
        </w:rPr>
      </w:pPr>
    </w:p>
    <w:p>
      <w:pPr>
        <w:jc w:val="both"/>
        <w:ind w:left="200" w:right="119"/>
        <w:spacing w:after="0" w:line="251" w:lineRule="auto"/>
        <w:rPr>
          <w:sz w:val="20"/>
          <w:szCs w:val="20"/>
          <w:color w:val="auto"/>
        </w:rPr>
      </w:pPr>
      <w:r>
        <w:rPr>
          <w:rFonts w:ascii="Arial" w:cs="Arial" w:eastAsia="Arial" w:hAnsi="Arial"/>
          <w:sz w:val="15"/>
          <w:szCs w:val="15"/>
          <w:color w:val="auto"/>
        </w:rPr>
        <w:t>According to the procedure set out in our Corporate Governance Guidelines, in an uncontested election, any nominee for director (including an incumbent director) who receives a greater number of votes “withheld” from his or her election than votes “for” such election, the nominee must offer his or her resignation promptly to the Board following certification of the stockholder vote. Upon receipt of the resignation, the Nominating, Corporate Governance and Sustainability Committee will consider the resignation offer and recommend to the Board whether to accept it. The Board will act on the Nominating, Corporate Governance and Sustainability Committee’s recommendation within 120 days following certification of the stockholder vote. The Nominating, Corporate Governance and Sustainability Committee and the Board may consider any factors they deem relevant in deciding whether to accept a director’s resignation. Thereafter, the Company will promptly disclose the Board’s decision whether to accept the director’s resignation offer (and the reasons for rejecting the resignation offer, if applicable) in a Current Report on Form 8-K furnished to the SEC. This resignation policy does not apply to contested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6055360</wp:posOffset>
            </wp:positionV>
            <wp:extent cx="297180" cy="290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8" w:name="page39"/>
    <w:bookmarkEnd w:id="38"/>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4F81BD"/>
        </w:rPr>
        <w:t>INFORMATION ABOUT THE INNOSPEC INC. BOARD</w:t>
      </w:r>
    </w:p>
    <w:p>
      <w:pPr>
        <w:spacing w:after="0" w:line="190" w:lineRule="exact"/>
        <w:rPr>
          <w:sz w:val="20"/>
          <w:szCs w:val="20"/>
          <w:color w:val="auto"/>
        </w:rPr>
      </w:pPr>
    </w:p>
    <w:p>
      <w:pPr>
        <w:jc w:val="both"/>
        <w:ind w:left="200" w:right="139"/>
        <w:spacing w:after="0" w:line="252" w:lineRule="auto"/>
        <w:rPr>
          <w:sz w:val="20"/>
          <w:szCs w:val="20"/>
          <w:color w:val="auto"/>
        </w:rPr>
      </w:pPr>
      <w:r>
        <w:rPr>
          <w:rFonts w:ascii="Arial" w:cs="Arial" w:eastAsia="Arial" w:hAnsi="Arial"/>
          <w:sz w:val="15"/>
          <w:szCs w:val="15"/>
          <w:color w:val="auto"/>
        </w:rPr>
        <w:t>Innospec believes that having an independent, active, and engaged Board is key to our success. We also believe that new perspectives and ideas are critical to a forward-looking and strategic Board. Our goal is to seek a balance between new points of view and the valuable experience and knowledge that longer-serving directors bring to the boardroom. We believe that we have assembled a Board with varied backgrounds, experiences and viewpoints who understand our markets, customers and employees. The Board seeks a mix of directors with qualities that result in a well-rounded, diverse Board that thinks critically and also functions effectively by reaching informed decisions. Our Directors have a diversity of experience and a variety of skills, education, qualifications and viewpoints that strengthen the Board’s ability to carry out its oversight role of the Company and effectively represent the interests of stockholders.</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Current Board and Committee fast facts: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2080" w:type="dxa"/>
            <w:vAlign w:val="bottom"/>
            <w:shd w:val="clear" w:color="auto" w:fill="4F81BC"/>
          </w:tcPr>
          <w:p>
            <w:pPr>
              <w:jc w:val="right"/>
              <w:ind w:right="926"/>
              <w:spacing w:after="0"/>
              <w:rPr>
                <w:sz w:val="20"/>
                <w:szCs w:val="20"/>
                <w:color w:val="auto"/>
              </w:rPr>
            </w:pPr>
            <w:r>
              <w:rPr>
                <w:rFonts w:ascii="Arial" w:cs="Arial" w:eastAsia="Arial" w:hAnsi="Arial"/>
                <w:sz w:val="15"/>
                <w:szCs w:val="15"/>
                <w:b w:val="1"/>
                <w:bCs w:val="1"/>
                <w:color w:val="FFFFFF"/>
              </w:rPr>
              <w:t>0</w:t>
            </w:r>
          </w:p>
        </w:tc>
        <w:tc>
          <w:tcPr>
            <w:tcW w:w="160" w:type="dxa"/>
            <w:vAlign w:val="bottom"/>
            <w:shd w:val="clear" w:color="auto" w:fill="4F81BC"/>
          </w:tcPr>
          <w:p>
            <w:pPr>
              <w:spacing w:after="0"/>
              <w:rPr>
                <w:sz w:val="19"/>
                <w:szCs w:val="19"/>
                <w:color w:val="auto"/>
              </w:rPr>
            </w:pPr>
          </w:p>
        </w:tc>
        <w:tc>
          <w:tcPr>
            <w:tcW w:w="2040" w:type="dxa"/>
            <w:vAlign w:val="bottom"/>
            <w:shd w:val="clear" w:color="auto" w:fill="4F81BC"/>
          </w:tcPr>
          <w:p>
            <w:pPr>
              <w:jc w:val="center"/>
              <w:spacing w:after="0"/>
              <w:rPr>
                <w:sz w:val="20"/>
                <w:szCs w:val="20"/>
                <w:color w:val="auto"/>
              </w:rPr>
            </w:pPr>
            <w:r>
              <w:rPr>
                <w:rFonts w:ascii="Arial" w:cs="Arial" w:eastAsia="Arial" w:hAnsi="Arial"/>
                <w:sz w:val="15"/>
                <w:szCs w:val="15"/>
                <w:b w:val="1"/>
                <w:bCs w:val="1"/>
                <w:color w:val="FFFFFF"/>
                <w:w w:val="97"/>
              </w:rPr>
              <w:t>67 Years</w:t>
            </w:r>
          </w:p>
        </w:tc>
        <w:tc>
          <w:tcPr>
            <w:tcW w:w="160" w:type="dxa"/>
            <w:vAlign w:val="bottom"/>
            <w:shd w:val="clear" w:color="auto" w:fill="4F81BC"/>
          </w:tcPr>
          <w:p>
            <w:pPr>
              <w:spacing w:after="0"/>
              <w:rPr>
                <w:sz w:val="19"/>
                <w:szCs w:val="19"/>
                <w:color w:val="auto"/>
              </w:rPr>
            </w:pPr>
          </w:p>
        </w:tc>
        <w:tc>
          <w:tcPr>
            <w:tcW w:w="2040" w:type="dxa"/>
            <w:vAlign w:val="bottom"/>
            <w:shd w:val="clear" w:color="auto" w:fill="4F81BC"/>
          </w:tcPr>
          <w:p>
            <w:pPr>
              <w:jc w:val="center"/>
              <w:spacing w:after="0"/>
              <w:rPr>
                <w:sz w:val="20"/>
                <w:szCs w:val="20"/>
                <w:color w:val="auto"/>
              </w:rPr>
            </w:pPr>
            <w:r>
              <w:rPr>
                <w:rFonts w:ascii="Arial" w:cs="Arial" w:eastAsia="Arial" w:hAnsi="Arial"/>
                <w:sz w:val="15"/>
                <w:szCs w:val="15"/>
                <w:b w:val="1"/>
                <w:bCs w:val="1"/>
                <w:color w:val="FFFFFF"/>
                <w:w w:val="97"/>
              </w:rPr>
              <w:t>10 Years</w:t>
            </w:r>
          </w:p>
        </w:tc>
        <w:tc>
          <w:tcPr>
            <w:tcW w:w="2220" w:type="dxa"/>
            <w:vAlign w:val="bottom"/>
            <w:gridSpan w:val="2"/>
            <w:shd w:val="clear" w:color="auto" w:fill="4F81BC"/>
          </w:tcPr>
          <w:p>
            <w:pPr>
              <w:jc w:val="center"/>
              <w:ind w:left="86"/>
              <w:spacing w:after="0"/>
              <w:rPr>
                <w:sz w:val="20"/>
                <w:szCs w:val="20"/>
                <w:color w:val="auto"/>
              </w:rPr>
            </w:pPr>
            <w:r>
              <w:rPr>
                <w:rFonts w:ascii="Arial" w:cs="Arial" w:eastAsia="Arial" w:hAnsi="Arial"/>
                <w:sz w:val="15"/>
                <w:szCs w:val="15"/>
                <w:b w:val="1"/>
                <w:bCs w:val="1"/>
                <w:color w:val="FFFFFF"/>
                <w:w w:val="98"/>
              </w:rPr>
              <w:t>100%</w:t>
            </w:r>
          </w:p>
        </w:tc>
        <w:tc>
          <w:tcPr>
            <w:tcW w:w="0" w:type="dxa"/>
            <w:vAlign w:val="bottom"/>
          </w:tcPr>
          <w:p>
            <w:pPr>
              <w:spacing w:after="0"/>
              <w:rPr>
                <w:sz w:val="1"/>
                <w:szCs w:val="1"/>
                <w:color w:val="auto"/>
              </w:rPr>
            </w:pPr>
          </w:p>
        </w:tc>
      </w:tr>
      <w:tr>
        <w:trPr>
          <w:trHeight w:val="186"/>
        </w:trPr>
        <w:tc>
          <w:tcPr>
            <w:tcW w:w="2080" w:type="dxa"/>
            <w:vAlign w:val="bottom"/>
            <w:vMerge w:val="restart"/>
            <w:shd w:val="clear" w:color="auto" w:fill="EDF2F8"/>
          </w:tcPr>
          <w:p>
            <w:pPr>
              <w:jc w:val="center"/>
              <w:spacing w:after="0"/>
              <w:rPr>
                <w:sz w:val="20"/>
                <w:szCs w:val="20"/>
                <w:color w:val="auto"/>
              </w:rPr>
            </w:pPr>
            <w:r>
              <w:rPr>
                <w:rFonts w:ascii="Arial" w:cs="Arial" w:eastAsia="Arial" w:hAnsi="Arial"/>
                <w:sz w:val="15"/>
                <w:szCs w:val="15"/>
                <w:color w:val="auto"/>
                <w:w w:val="98"/>
              </w:rPr>
              <w:t>No Over-boarded Directors</w:t>
            </w:r>
          </w:p>
        </w:tc>
        <w:tc>
          <w:tcPr>
            <w:tcW w:w="160" w:type="dxa"/>
            <w:vAlign w:val="bottom"/>
          </w:tcPr>
          <w:p>
            <w:pPr>
              <w:spacing w:after="0"/>
              <w:rPr>
                <w:sz w:val="16"/>
                <w:szCs w:val="16"/>
                <w:color w:val="auto"/>
              </w:rPr>
            </w:pPr>
          </w:p>
        </w:tc>
        <w:tc>
          <w:tcPr>
            <w:tcW w:w="2040" w:type="dxa"/>
            <w:vAlign w:val="bottom"/>
            <w:vMerge w:val="restart"/>
            <w:shd w:val="clear" w:color="auto" w:fill="EDF2F8"/>
          </w:tcPr>
          <w:p>
            <w:pPr>
              <w:jc w:val="center"/>
              <w:spacing w:after="0"/>
              <w:rPr>
                <w:sz w:val="20"/>
                <w:szCs w:val="20"/>
                <w:color w:val="auto"/>
              </w:rPr>
            </w:pPr>
            <w:r>
              <w:rPr>
                <w:rFonts w:ascii="Arial" w:cs="Arial" w:eastAsia="Arial" w:hAnsi="Arial"/>
                <w:sz w:val="15"/>
                <w:szCs w:val="15"/>
                <w:color w:val="auto"/>
                <w:w w:val="98"/>
              </w:rPr>
              <w:t>Average Director Age</w:t>
            </w:r>
          </w:p>
        </w:tc>
        <w:tc>
          <w:tcPr>
            <w:tcW w:w="160" w:type="dxa"/>
            <w:vAlign w:val="bottom"/>
          </w:tcPr>
          <w:p>
            <w:pPr>
              <w:spacing w:after="0"/>
              <w:rPr>
                <w:sz w:val="16"/>
                <w:szCs w:val="16"/>
                <w:color w:val="auto"/>
              </w:rPr>
            </w:pPr>
          </w:p>
        </w:tc>
        <w:tc>
          <w:tcPr>
            <w:tcW w:w="2040" w:type="dxa"/>
            <w:vAlign w:val="bottom"/>
            <w:vMerge w:val="restart"/>
            <w:shd w:val="clear" w:color="auto" w:fill="EDF2F8"/>
          </w:tcPr>
          <w:p>
            <w:pPr>
              <w:jc w:val="center"/>
              <w:spacing w:after="0"/>
              <w:rPr>
                <w:sz w:val="20"/>
                <w:szCs w:val="20"/>
                <w:color w:val="auto"/>
              </w:rPr>
            </w:pPr>
            <w:r>
              <w:rPr>
                <w:rFonts w:ascii="Arial" w:cs="Arial" w:eastAsia="Arial" w:hAnsi="Arial"/>
                <w:sz w:val="15"/>
                <w:szCs w:val="15"/>
                <w:color w:val="auto"/>
                <w:w w:val="98"/>
              </w:rPr>
              <w:t>Average Director Tenure</w:t>
            </w:r>
          </w:p>
        </w:tc>
        <w:tc>
          <w:tcPr>
            <w:tcW w:w="180" w:type="dxa"/>
            <w:vAlign w:val="bottom"/>
          </w:tcPr>
          <w:p>
            <w:pPr>
              <w:spacing w:after="0"/>
              <w:rPr>
                <w:sz w:val="16"/>
                <w:szCs w:val="16"/>
                <w:color w:val="auto"/>
              </w:rPr>
            </w:pPr>
          </w:p>
        </w:tc>
        <w:tc>
          <w:tcPr>
            <w:tcW w:w="2040" w:type="dxa"/>
            <w:vAlign w:val="bottom"/>
            <w:shd w:val="clear" w:color="auto" w:fill="EDF2F8"/>
          </w:tcPr>
          <w:p>
            <w:pPr>
              <w:jc w:val="center"/>
              <w:spacing w:after="0"/>
              <w:rPr>
                <w:sz w:val="20"/>
                <w:szCs w:val="20"/>
                <w:color w:val="auto"/>
              </w:rPr>
            </w:pPr>
            <w:r>
              <w:rPr>
                <w:rFonts w:ascii="Arial" w:cs="Arial" w:eastAsia="Arial" w:hAnsi="Arial"/>
                <w:sz w:val="15"/>
                <w:szCs w:val="15"/>
                <w:color w:val="auto"/>
                <w:w w:val="98"/>
              </w:rPr>
              <w:t>Independent Board</w:t>
            </w:r>
          </w:p>
        </w:tc>
        <w:tc>
          <w:tcPr>
            <w:tcW w:w="0" w:type="dxa"/>
            <w:vAlign w:val="bottom"/>
          </w:tcPr>
          <w:p>
            <w:pPr>
              <w:spacing w:after="0"/>
              <w:rPr>
                <w:sz w:val="1"/>
                <w:szCs w:val="1"/>
                <w:color w:val="auto"/>
              </w:rPr>
            </w:pPr>
          </w:p>
        </w:tc>
      </w:tr>
      <w:tr>
        <w:trPr>
          <w:trHeight w:val="107"/>
        </w:trPr>
        <w:tc>
          <w:tcPr>
            <w:tcW w:w="2080" w:type="dxa"/>
            <w:vAlign w:val="bottom"/>
            <w:vMerge w:val="continue"/>
            <w:shd w:val="clear" w:color="auto" w:fill="EDF2F8"/>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vMerge w:val="continue"/>
            <w:shd w:val="clear" w:color="auto" w:fill="EDF2F8"/>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vMerge w:val="continue"/>
            <w:shd w:val="clear" w:color="auto" w:fill="EDF2F8"/>
          </w:tcPr>
          <w:p>
            <w:pPr>
              <w:spacing w:after="0"/>
              <w:rPr>
                <w:sz w:val="9"/>
                <w:szCs w:val="9"/>
                <w:color w:val="auto"/>
              </w:rPr>
            </w:pPr>
          </w:p>
        </w:tc>
        <w:tc>
          <w:tcPr>
            <w:tcW w:w="180" w:type="dxa"/>
            <w:vAlign w:val="bottom"/>
          </w:tcPr>
          <w:p>
            <w:pPr>
              <w:spacing w:after="0"/>
              <w:rPr>
                <w:sz w:val="9"/>
                <w:szCs w:val="9"/>
                <w:color w:val="auto"/>
              </w:rPr>
            </w:pPr>
          </w:p>
        </w:tc>
        <w:tc>
          <w:tcPr>
            <w:tcW w:w="2040" w:type="dxa"/>
            <w:vAlign w:val="bottom"/>
            <w:vMerge w:val="restart"/>
            <w:shd w:val="clear" w:color="auto" w:fill="EDF2F8"/>
          </w:tcPr>
          <w:p>
            <w:pPr>
              <w:jc w:val="center"/>
              <w:spacing w:after="0"/>
              <w:rPr>
                <w:sz w:val="20"/>
                <w:szCs w:val="20"/>
                <w:color w:val="auto"/>
              </w:rPr>
            </w:pPr>
            <w:r>
              <w:rPr>
                <w:rFonts w:ascii="Arial" w:cs="Arial" w:eastAsia="Arial" w:hAnsi="Arial"/>
                <w:sz w:val="15"/>
                <w:szCs w:val="15"/>
                <w:color w:val="auto"/>
                <w:w w:val="99"/>
              </w:rPr>
              <w:t>Committee Members</w:t>
            </w:r>
          </w:p>
        </w:tc>
        <w:tc>
          <w:tcPr>
            <w:tcW w:w="0" w:type="dxa"/>
            <w:vAlign w:val="bottom"/>
          </w:tcPr>
          <w:p>
            <w:pPr>
              <w:spacing w:after="0"/>
              <w:rPr>
                <w:sz w:val="1"/>
                <w:szCs w:val="1"/>
                <w:color w:val="auto"/>
              </w:rPr>
            </w:pPr>
          </w:p>
        </w:tc>
      </w:tr>
      <w:tr>
        <w:trPr>
          <w:trHeight w:val="108"/>
        </w:trPr>
        <w:tc>
          <w:tcPr>
            <w:tcW w:w="2080" w:type="dxa"/>
            <w:vAlign w:val="bottom"/>
            <w:shd w:val="clear" w:color="auto" w:fill="EDF2F8"/>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shd w:val="clear" w:color="auto" w:fill="EDF2F8"/>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shd w:val="clear" w:color="auto" w:fill="EDF2F8"/>
          </w:tcPr>
          <w:p>
            <w:pPr>
              <w:spacing w:after="0"/>
              <w:rPr>
                <w:sz w:val="9"/>
                <w:szCs w:val="9"/>
                <w:color w:val="auto"/>
              </w:rPr>
            </w:pPr>
          </w:p>
        </w:tc>
        <w:tc>
          <w:tcPr>
            <w:tcW w:w="180" w:type="dxa"/>
            <w:vAlign w:val="bottom"/>
          </w:tcPr>
          <w:p>
            <w:pPr>
              <w:spacing w:after="0"/>
              <w:rPr>
                <w:sz w:val="9"/>
                <w:szCs w:val="9"/>
                <w:color w:val="auto"/>
              </w:rPr>
            </w:pPr>
          </w:p>
        </w:tc>
        <w:tc>
          <w:tcPr>
            <w:tcW w:w="2040" w:type="dxa"/>
            <w:vAlign w:val="bottom"/>
            <w:vMerge w:val="continue"/>
            <w:shd w:val="clear" w:color="auto" w:fill="EDF2F8"/>
          </w:tcPr>
          <w:p>
            <w:pPr>
              <w:spacing w:after="0"/>
              <w:rPr>
                <w:sz w:val="9"/>
                <w:szCs w:val="9"/>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Board Skills Matrix</w:t>
      </w:r>
    </w:p>
    <w:p>
      <w:pPr>
        <w:spacing w:after="0" w:line="195"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The table below is a summary of the range of attributes and experiences that each Director currently in office brings to our Board. As it is a summary, it is not intended to be a complete description of all of the skills and attributes that each of our Board members possesses.</w:t>
      </w:r>
    </w:p>
    <w:p>
      <w:pPr>
        <w:spacing w:after="0" w:line="77" w:lineRule="exact"/>
        <w:rPr>
          <w:sz w:val="20"/>
          <w:szCs w:val="20"/>
          <w:color w:val="auto"/>
        </w:rPr>
      </w:pPr>
    </w:p>
    <w:p>
      <w:pPr>
        <w:jc w:val="both"/>
        <w:ind w:left="200" w:right="139"/>
        <w:spacing w:after="0" w:line="291" w:lineRule="auto"/>
        <w:rPr>
          <w:sz w:val="20"/>
          <w:szCs w:val="20"/>
          <w:color w:val="auto"/>
        </w:rPr>
      </w:pPr>
      <w:r>
        <w:rPr>
          <w:rFonts w:ascii="Arial" w:cs="Arial" w:eastAsia="Arial" w:hAnsi="Arial"/>
          <w:sz w:val="14"/>
          <w:szCs w:val="14"/>
          <w:color w:val="auto"/>
        </w:rPr>
        <w:t>Additional information about the background, business experience and other matters of each nominee and director who will continue in office following the Annual Meeting of Stockholders, as well as a description of how each individual’s experience qualifies him or her to serve as a director of the Company is provided under the heading “Director Biographies” beginning on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4403725</wp:posOffset>
            </wp:positionV>
            <wp:extent cx="297180" cy="290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9" w:name="page40"/>
    <w:bookmarkEnd w:id="39"/>
    <w:p>
      <w:pPr>
        <w:spacing w:after="0" w:line="150" w:lineRule="exact"/>
        <w:rPr>
          <w:sz w:val="20"/>
          <w:szCs w:val="20"/>
          <w:color w:val="auto"/>
        </w:rPr>
      </w:pPr>
    </w:p>
    <w:tbl>
      <w:tblPr>
        <w:tblLayout w:type="fixed"/>
        <w:tblInd w:w="210" w:type="dxa"/>
        <w:tblCellMar>
          <w:top w:w="0" w:type="dxa"/>
          <w:left w:w="0" w:type="dxa"/>
          <w:bottom w:w="0" w:type="dxa"/>
          <w:right w:w="0" w:type="dxa"/>
        </w:tblCellMar>
      </w:tblPr>
      <w:tr>
        <w:trPr>
          <w:trHeight w:val="205"/>
        </w:trPr>
        <w:tc>
          <w:tcPr>
            <w:tcW w:w="3460" w:type="dxa"/>
            <w:vAlign w:val="bottom"/>
            <w:tcBorders>
              <w:top w:val="single" w:sz="8" w:color="auto"/>
              <w:left w:val="single" w:sz="8" w:color="auto"/>
              <w:right w:val="single" w:sz="8" w:color="auto"/>
            </w:tcBorders>
            <w:shd w:val="clear" w:color="auto" w:fill="4F81BD"/>
          </w:tcPr>
          <w:p>
            <w:pPr>
              <w:spacing w:after="0"/>
              <w:rPr>
                <w:sz w:val="17"/>
                <w:szCs w:val="17"/>
                <w:color w:val="auto"/>
              </w:rPr>
            </w:pPr>
          </w:p>
        </w:tc>
        <w:tc>
          <w:tcPr>
            <w:tcW w:w="740" w:type="dxa"/>
            <w:vAlign w:val="bottom"/>
            <w:tcBorders>
              <w:top w:val="single" w:sz="8" w:color="auto"/>
              <w:right w:val="single" w:sz="8" w:color="auto"/>
            </w:tcBorders>
            <w:shd w:val="clear" w:color="auto" w:fill="4F81BC"/>
          </w:tcPr>
          <w:p>
            <w:pPr>
              <w:ind w:left="80"/>
              <w:spacing w:after="0"/>
              <w:rPr>
                <w:sz w:val="20"/>
                <w:szCs w:val="20"/>
                <w:color w:val="auto"/>
              </w:rPr>
            </w:pPr>
            <w:r>
              <w:rPr>
                <w:rFonts w:ascii="Arial" w:cs="Arial" w:eastAsia="Arial" w:hAnsi="Arial"/>
                <w:sz w:val="12"/>
                <w:szCs w:val="12"/>
                <w:color w:val="FFFFFF"/>
              </w:rPr>
              <w:t>Ms.</w:t>
            </w:r>
          </w:p>
        </w:tc>
        <w:tc>
          <w:tcPr>
            <w:tcW w:w="820" w:type="dxa"/>
            <w:vAlign w:val="bottom"/>
            <w:tcBorders>
              <w:top w:val="single" w:sz="8" w:color="auto"/>
              <w:right w:val="single" w:sz="8" w:color="auto"/>
            </w:tcBorders>
            <w:vMerge w:val="restart"/>
            <w:shd w:val="clear" w:color="auto" w:fill="4F81BC"/>
          </w:tcPr>
          <w:p>
            <w:pPr>
              <w:ind w:left="60"/>
              <w:spacing w:after="0"/>
              <w:rPr>
                <w:sz w:val="20"/>
                <w:szCs w:val="20"/>
                <w:color w:val="auto"/>
              </w:rPr>
            </w:pPr>
            <w:r>
              <w:rPr>
                <w:rFonts w:ascii="Arial" w:cs="Arial" w:eastAsia="Arial" w:hAnsi="Arial"/>
                <w:sz w:val="12"/>
                <w:szCs w:val="12"/>
                <w:color w:val="FFFFFF"/>
              </w:rPr>
              <w:t>Mr. Milton C.</w:t>
            </w:r>
          </w:p>
        </w:tc>
        <w:tc>
          <w:tcPr>
            <w:tcW w:w="720" w:type="dxa"/>
            <w:vAlign w:val="bottom"/>
            <w:tcBorders>
              <w:top w:val="single" w:sz="8" w:color="auto"/>
              <w:right w:val="single" w:sz="8" w:color="auto"/>
            </w:tcBorders>
            <w:vMerge w:val="restart"/>
            <w:shd w:val="clear" w:color="auto" w:fill="4F81BC"/>
          </w:tcPr>
          <w:p>
            <w:pPr>
              <w:ind w:left="60"/>
              <w:spacing w:after="0"/>
              <w:rPr>
                <w:sz w:val="20"/>
                <w:szCs w:val="20"/>
                <w:color w:val="auto"/>
              </w:rPr>
            </w:pPr>
            <w:r>
              <w:rPr>
                <w:rFonts w:ascii="Arial" w:cs="Arial" w:eastAsia="Arial" w:hAnsi="Arial"/>
                <w:sz w:val="12"/>
                <w:szCs w:val="12"/>
                <w:color w:val="FFFFFF"/>
                <w:w w:val="94"/>
              </w:rPr>
              <w:t>Mr. David F.</w:t>
            </w:r>
          </w:p>
        </w:tc>
        <w:tc>
          <w:tcPr>
            <w:tcW w:w="740" w:type="dxa"/>
            <w:vAlign w:val="bottom"/>
            <w:tcBorders>
              <w:top w:val="single" w:sz="8" w:color="auto"/>
              <w:right w:val="single" w:sz="8" w:color="auto"/>
            </w:tcBorders>
            <w:shd w:val="clear" w:color="auto" w:fill="4F81BC"/>
          </w:tcPr>
          <w:p>
            <w:pPr>
              <w:ind w:left="80"/>
              <w:spacing w:after="0"/>
              <w:rPr>
                <w:sz w:val="20"/>
                <w:szCs w:val="20"/>
                <w:color w:val="auto"/>
              </w:rPr>
            </w:pPr>
            <w:r>
              <w:rPr>
                <w:rFonts w:ascii="Arial" w:cs="Arial" w:eastAsia="Arial" w:hAnsi="Arial"/>
                <w:sz w:val="12"/>
                <w:szCs w:val="12"/>
                <w:color w:val="FFFFFF"/>
              </w:rPr>
              <w:t>Mr.</w:t>
            </w:r>
          </w:p>
        </w:tc>
        <w:tc>
          <w:tcPr>
            <w:tcW w:w="740" w:type="dxa"/>
            <w:vAlign w:val="bottom"/>
            <w:tcBorders>
              <w:top w:val="single" w:sz="8" w:color="auto"/>
              <w:right w:val="single" w:sz="8" w:color="auto"/>
            </w:tcBorders>
            <w:vMerge w:val="restart"/>
            <w:shd w:val="clear" w:color="auto" w:fill="4F81BC"/>
          </w:tcPr>
          <w:p>
            <w:pPr>
              <w:ind w:left="60"/>
              <w:spacing w:after="0"/>
              <w:rPr>
                <w:sz w:val="20"/>
                <w:szCs w:val="20"/>
                <w:color w:val="auto"/>
              </w:rPr>
            </w:pPr>
            <w:r>
              <w:rPr>
                <w:rFonts w:ascii="Arial" w:cs="Arial" w:eastAsia="Arial" w:hAnsi="Arial"/>
                <w:sz w:val="12"/>
                <w:szCs w:val="12"/>
                <w:color w:val="FFFFFF"/>
                <w:w w:val="98"/>
              </w:rPr>
              <w:t>Mr. Leslie J.</w:t>
            </w:r>
          </w:p>
        </w:tc>
        <w:tc>
          <w:tcPr>
            <w:tcW w:w="740" w:type="dxa"/>
            <w:vAlign w:val="bottom"/>
            <w:tcBorders>
              <w:top w:val="single" w:sz="8" w:color="auto"/>
              <w:right w:val="single" w:sz="8" w:color="auto"/>
            </w:tcBorders>
            <w:vMerge w:val="restart"/>
            <w:shd w:val="clear" w:color="auto" w:fill="4F81BC"/>
          </w:tcPr>
          <w:p>
            <w:pPr>
              <w:ind w:left="60"/>
              <w:spacing w:after="0"/>
              <w:rPr>
                <w:sz w:val="20"/>
                <w:szCs w:val="20"/>
                <w:color w:val="auto"/>
              </w:rPr>
            </w:pPr>
            <w:r>
              <w:rPr>
                <w:rFonts w:ascii="Arial" w:cs="Arial" w:eastAsia="Arial" w:hAnsi="Arial"/>
                <w:sz w:val="12"/>
                <w:szCs w:val="12"/>
                <w:color w:val="FFFFFF"/>
              </w:rPr>
              <w:t>Ms. Claudia</w:t>
            </w:r>
          </w:p>
        </w:tc>
        <w:tc>
          <w:tcPr>
            <w:tcW w:w="720" w:type="dxa"/>
            <w:vAlign w:val="bottom"/>
            <w:tcBorders>
              <w:top w:val="single" w:sz="8" w:color="auto"/>
              <w:right w:val="single" w:sz="8" w:color="auto"/>
            </w:tcBorders>
            <w:vMerge w:val="restart"/>
            <w:shd w:val="clear" w:color="auto" w:fill="4F81BC"/>
          </w:tcPr>
          <w:p>
            <w:pPr>
              <w:ind w:left="60"/>
              <w:spacing w:after="0"/>
              <w:rPr>
                <w:sz w:val="20"/>
                <w:szCs w:val="20"/>
                <w:color w:val="auto"/>
              </w:rPr>
            </w:pPr>
            <w:r>
              <w:rPr>
                <w:rFonts w:ascii="Arial" w:cs="Arial" w:eastAsia="Arial" w:hAnsi="Arial"/>
                <w:sz w:val="12"/>
                <w:szCs w:val="12"/>
                <w:color w:val="FFFFFF"/>
              </w:rPr>
              <w:t>Mr. Patrick</w:t>
            </w:r>
          </w:p>
        </w:tc>
        <w:tc>
          <w:tcPr>
            <w:tcW w:w="0" w:type="dxa"/>
            <w:vAlign w:val="bottom"/>
          </w:tcPr>
          <w:p>
            <w:pPr>
              <w:spacing w:after="0"/>
              <w:rPr>
                <w:sz w:val="1"/>
                <w:szCs w:val="1"/>
                <w:color w:val="auto"/>
              </w:rPr>
            </w:pPr>
          </w:p>
        </w:tc>
      </w:tr>
      <w:tr>
        <w:trPr>
          <w:trHeight w:val="140"/>
        </w:trPr>
        <w:tc>
          <w:tcPr>
            <w:tcW w:w="3460" w:type="dxa"/>
            <w:vAlign w:val="bottom"/>
            <w:tcBorders>
              <w:left w:val="single" w:sz="8" w:color="auto"/>
              <w:right w:val="single" w:sz="8" w:color="auto"/>
            </w:tcBorders>
            <w:shd w:val="clear" w:color="auto" w:fill="4F81BD"/>
          </w:tcPr>
          <w:p>
            <w:pPr>
              <w:ind w:left="140"/>
              <w:spacing w:after="0"/>
              <w:rPr>
                <w:sz w:val="20"/>
                <w:szCs w:val="20"/>
                <w:color w:val="auto"/>
              </w:rPr>
            </w:pPr>
            <w:r>
              <w:rPr>
                <w:rFonts w:ascii="Arial" w:cs="Arial" w:eastAsia="Arial" w:hAnsi="Arial"/>
                <w:sz w:val="12"/>
                <w:szCs w:val="12"/>
                <w:b w:val="1"/>
                <w:bCs w:val="1"/>
                <w:color w:val="FFFFFF"/>
              </w:rPr>
              <w:t>Director Skill/Competency</w:t>
            </w:r>
          </w:p>
        </w:tc>
        <w:tc>
          <w:tcPr>
            <w:tcW w:w="740" w:type="dxa"/>
            <w:vAlign w:val="bottom"/>
            <w:tcBorders>
              <w:right w:val="single" w:sz="8" w:color="auto"/>
            </w:tcBorders>
            <w:shd w:val="clear" w:color="auto" w:fill="4F81BC"/>
          </w:tcPr>
          <w:p>
            <w:pPr>
              <w:ind w:left="80"/>
              <w:spacing w:after="0"/>
              <w:rPr>
                <w:sz w:val="20"/>
                <w:szCs w:val="20"/>
                <w:color w:val="auto"/>
              </w:rPr>
            </w:pPr>
            <w:r>
              <w:rPr>
                <w:rFonts w:ascii="Arial" w:cs="Arial" w:eastAsia="Arial" w:hAnsi="Arial"/>
                <w:sz w:val="12"/>
                <w:szCs w:val="12"/>
                <w:color w:val="FFFFFF"/>
                <w:w w:val="96"/>
              </w:rPr>
              <w:t>Elizabeth K.</w:t>
            </w:r>
          </w:p>
        </w:tc>
        <w:tc>
          <w:tcPr>
            <w:tcW w:w="820" w:type="dxa"/>
            <w:vAlign w:val="bottom"/>
            <w:tcBorders>
              <w:right w:val="single" w:sz="8" w:color="auto"/>
            </w:tcBorders>
            <w:vMerge w:val="continue"/>
            <w:shd w:val="clear" w:color="auto" w:fill="4F81BC"/>
          </w:tcPr>
          <w:p>
            <w:pPr>
              <w:spacing w:after="0"/>
              <w:rPr>
                <w:sz w:val="12"/>
                <w:szCs w:val="12"/>
                <w:color w:val="auto"/>
              </w:rPr>
            </w:pPr>
          </w:p>
        </w:tc>
        <w:tc>
          <w:tcPr>
            <w:tcW w:w="720" w:type="dxa"/>
            <w:vAlign w:val="bottom"/>
            <w:tcBorders>
              <w:right w:val="single" w:sz="8" w:color="auto"/>
            </w:tcBorders>
            <w:vMerge w:val="continue"/>
            <w:shd w:val="clear" w:color="auto" w:fill="4F81BC"/>
          </w:tcPr>
          <w:p>
            <w:pPr>
              <w:spacing w:after="0"/>
              <w:rPr>
                <w:sz w:val="12"/>
                <w:szCs w:val="12"/>
                <w:color w:val="auto"/>
              </w:rPr>
            </w:pPr>
          </w:p>
        </w:tc>
        <w:tc>
          <w:tcPr>
            <w:tcW w:w="740" w:type="dxa"/>
            <w:vAlign w:val="bottom"/>
            <w:tcBorders>
              <w:right w:val="single" w:sz="8" w:color="auto"/>
            </w:tcBorders>
            <w:shd w:val="clear" w:color="auto" w:fill="4F81BC"/>
          </w:tcPr>
          <w:p>
            <w:pPr>
              <w:ind w:left="80"/>
              <w:spacing w:after="0"/>
              <w:rPr>
                <w:sz w:val="20"/>
                <w:szCs w:val="20"/>
                <w:color w:val="auto"/>
              </w:rPr>
            </w:pPr>
            <w:r>
              <w:rPr>
                <w:rFonts w:ascii="Arial" w:cs="Arial" w:eastAsia="Arial" w:hAnsi="Arial"/>
                <w:sz w:val="12"/>
                <w:szCs w:val="12"/>
                <w:color w:val="FFFFFF"/>
                <w:w w:val="95"/>
              </w:rPr>
              <w:t>Lawrence J.</w:t>
            </w:r>
          </w:p>
        </w:tc>
        <w:tc>
          <w:tcPr>
            <w:tcW w:w="740" w:type="dxa"/>
            <w:vAlign w:val="bottom"/>
            <w:tcBorders>
              <w:right w:val="single" w:sz="8" w:color="auto"/>
            </w:tcBorders>
            <w:vMerge w:val="continue"/>
            <w:shd w:val="clear" w:color="auto" w:fill="4F81BC"/>
          </w:tcPr>
          <w:p>
            <w:pPr>
              <w:spacing w:after="0"/>
              <w:rPr>
                <w:sz w:val="12"/>
                <w:szCs w:val="12"/>
                <w:color w:val="auto"/>
              </w:rPr>
            </w:pPr>
          </w:p>
        </w:tc>
        <w:tc>
          <w:tcPr>
            <w:tcW w:w="740" w:type="dxa"/>
            <w:vAlign w:val="bottom"/>
            <w:tcBorders>
              <w:right w:val="single" w:sz="8" w:color="auto"/>
            </w:tcBorders>
            <w:vMerge w:val="continue"/>
            <w:shd w:val="clear" w:color="auto" w:fill="4F81BC"/>
          </w:tcPr>
          <w:p>
            <w:pPr>
              <w:spacing w:after="0"/>
              <w:rPr>
                <w:sz w:val="12"/>
                <w:szCs w:val="12"/>
                <w:color w:val="auto"/>
              </w:rPr>
            </w:pPr>
          </w:p>
        </w:tc>
        <w:tc>
          <w:tcPr>
            <w:tcW w:w="720" w:type="dxa"/>
            <w:vAlign w:val="bottom"/>
            <w:tcBorders>
              <w:right w:val="single" w:sz="8" w:color="auto"/>
            </w:tcBorders>
            <w:vMerge w:val="continue"/>
            <w:shd w:val="clear" w:color="auto" w:fill="4F81B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60" w:type="dxa"/>
            <w:vAlign w:val="bottom"/>
            <w:tcBorders>
              <w:left w:val="single" w:sz="8" w:color="auto"/>
              <w:right w:val="single" w:sz="8" w:color="auto"/>
            </w:tcBorders>
            <w:shd w:val="clear" w:color="auto" w:fill="4F81BD"/>
          </w:tcPr>
          <w:p>
            <w:pPr>
              <w:spacing w:after="0"/>
              <w:rPr>
                <w:sz w:val="13"/>
                <w:szCs w:val="13"/>
                <w:color w:val="auto"/>
              </w:rPr>
            </w:pPr>
          </w:p>
        </w:tc>
        <w:tc>
          <w:tcPr>
            <w:tcW w:w="740" w:type="dxa"/>
            <w:vAlign w:val="bottom"/>
            <w:tcBorders>
              <w:right w:val="single" w:sz="8" w:color="auto"/>
            </w:tcBorders>
            <w:vMerge w:val="restart"/>
            <w:shd w:val="clear" w:color="auto" w:fill="4F81BC"/>
          </w:tcPr>
          <w:p>
            <w:pPr>
              <w:ind w:left="80"/>
              <w:spacing w:after="0"/>
              <w:rPr>
                <w:sz w:val="20"/>
                <w:szCs w:val="20"/>
                <w:color w:val="auto"/>
              </w:rPr>
            </w:pPr>
            <w:r>
              <w:rPr>
                <w:rFonts w:ascii="Arial" w:cs="Arial" w:eastAsia="Arial" w:hAnsi="Arial"/>
                <w:sz w:val="12"/>
                <w:szCs w:val="12"/>
                <w:color w:val="FFFFFF"/>
              </w:rPr>
              <w:t>Arnold</w:t>
            </w:r>
          </w:p>
        </w:tc>
        <w:tc>
          <w:tcPr>
            <w:tcW w:w="820" w:type="dxa"/>
            <w:vAlign w:val="bottom"/>
            <w:tcBorders>
              <w:right w:val="single" w:sz="8" w:color="auto"/>
            </w:tcBorders>
            <w:shd w:val="clear" w:color="auto" w:fill="4F81BC"/>
          </w:tcPr>
          <w:p>
            <w:pPr>
              <w:ind w:left="60"/>
              <w:spacing w:after="0"/>
              <w:rPr>
                <w:sz w:val="20"/>
                <w:szCs w:val="20"/>
                <w:color w:val="auto"/>
              </w:rPr>
            </w:pPr>
            <w:r>
              <w:rPr>
                <w:rFonts w:ascii="Arial" w:cs="Arial" w:eastAsia="Arial" w:hAnsi="Arial"/>
                <w:sz w:val="12"/>
                <w:szCs w:val="12"/>
                <w:color w:val="FFFFFF"/>
              </w:rPr>
              <w:t>Blackmore</w:t>
            </w:r>
          </w:p>
        </w:tc>
        <w:tc>
          <w:tcPr>
            <w:tcW w:w="720" w:type="dxa"/>
            <w:vAlign w:val="bottom"/>
            <w:tcBorders>
              <w:right w:val="single" w:sz="8" w:color="auto"/>
            </w:tcBorders>
            <w:shd w:val="clear" w:color="auto" w:fill="4F81BC"/>
          </w:tcPr>
          <w:p>
            <w:pPr>
              <w:ind w:left="60"/>
              <w:spacing w:after="0"/>
              <w:rPr>
                <w:sz w:val="20"/>
                <w:szCs w:val="20"/>
                <w:color w:val="auto"/>
              </w:rPr>
            </w:pPr>
            <w:r>
              <w:rPr>
                <w:rFonts w:ascii="Arial" w:cs="Arial" w:eastAsia="Arial" w:hAnsi="Arial"/>
                <w:sz w:val="12"/>
                <w:szCs w:val="12"/>
                <w:color w:val="FFFFFF"/>
              </w:rPr>
              <w:t>Landless</w:t>
            </w:r>
          </w:p>
        </w:tc>
        <w:tc>
          <w:tcPr>
            <w:tcW w:w="740" w:type="dxa"/>
            <w:vAlign w:val="bottom"/>
            <w:tcBorders>
              <w:right w:val="single" w:sz="8" w:color="auto"/>
            </w:tcBorders>
            <w:vMerge w:val="restart"/>
            <w:shd w:val="clear" w:color="auto" w:fill="4F81BC"/>
          </w:tcPr>
          <w:p>
            <w:pPr>
              <w:ind w:left="80"/>
              <w:spacing w:after="0"/>
              <w:rPr>
                <w:sz w:val="20"/>
                <w:szCs w:val="20"/>
                <w:color w:val="auto"/>
              </w:rPr>
            </w:pPr>
            <w:r>
              <w:rPr>
                <w:rFonts w:ascii="Arial" w:cs="Arial" w:eastAsia="Arial" w:hAnsi="Arial"/>
                <w:sz w:val="12"/>
                <w:szCs w:val="12"/>
                <w:color w:val="FFFFFF"/>
              </w:rPr>
              <w:t>Padfield</w:t>
            </w:r>
          </w:p>
        </w:tc>
        <w:tc>
          <w:tcPr>
            <w:tcW w:w="740" w:type="dxa"/>
            <w:vAlign w:val="bottom"/>
            <w:tcBorders>
              <w:right w:val="single" w:sz="8" w:color="auto"/>
            </w:tcBorders>
            <w:shd w:val="clear" w:color="auto" w:fill="4F81BC"/>
          </w:tcPr>
          <w:p>
            <w:pPr>
              <w:ind w:left="60"/>
              <w:spacing w:after="0"/>
              <w:rPr>
                <w:sz w:val="20"/>
                <w:szCs w:val="20"/>
                <w:color w:val="auto"/>
              </w:rPr>
            </w:pPr>
            <w:r>
              <w:rPr>
                <w:rFonts w:ascii="Arial" w:cs="Arial" w:eastAsia="Arial" w:hAnsi="Arial"/>
                <w:sz w:val="12"/>
                <w:szCs w:val="12"/>
                <w:color w:val="FFFFFF"/>
              </w:rPr>
              <w:t>Parrette</w:t>
            </w:r>
          </w:p>
        </w:tc>
        <w:tc>
          <w:tcPr>
            <w:tcW w:w="740" w:type="dxa"/>
            <w:vAlign w:val="bottom"/>
            <w:tcBorders>
              <w:right w:val="single" w:sz="8" w:color="auto"/>
            </w:tcBorders>
            <w:shd w:val="clear" w:color="auto" w:fill="4F81BC"/>
          </w:tcPr>
          <w:p>
            <w:pPr>
              <w:ind w:left="60"/>
              <w:spacing w:after="0"/>
              <w:rPr>
                <w:sz w:val="20"/>
                <w:szCs w:val="20"/>
                <w:color w:val="auto"/>
              </w:rPr>
            </w:pPr>
            <w:r>
              <w:rPr>
                <w:rFonts w:ascii="Arial" w:cs="Arial" w:eastAsia="Arial" w:hAnsi="Arial"/>
                <w:sz w:val="12"/>
                <w:szCs w:val="12"/>
                <w:color w:val="FFFFFF"/>
              </w:rPr>
              <w:t>P. Poccia</w:t>
            </w:r>
          </w:p>
        </w:tc>
        <w:tc>
          <w:tcPr>
            <w:tcW w:w="720" w:type="dxa"/>
            <w:vAlign w:val="bottom"/>
            <w:tcBorders>
              <w:right w:val="single" w:sz="8" w:color="auto"/>
            </w:tcBorders>
            <w:shd w:val="clear" w:color="auto" w:fill="4F81BC"/>
          </w:tcPr>
          <w:p>
            <w:pPr>
              <w:ind w:left="60"/>
              <w:spacing w:after="0"/>
              <w:rPr>
                <w:sz w:val="20"/>
                <w:szCs w:val="20"/>
                <w:color w:val="auto"/>
              </w:rPr>
            </w:pPr>
            <w:r>
              <w:rPr>
                <w:rFonts w:ascii="Arial" w:cs="Arial" w:eastAsia="Arial" w:hAnsi="Arial"/>
                <w:sz w:val="12"/>
                <w:szCs w:val="12"/>
                <w:color w:val="FFFFFF"/>
              </w:rPr>
              <w:t>S. Williams</w:t>
            </w:r>
          </w:p>
        </w:tc>
        <w:tc>
          <w:tcPr>
            <w:tcW w:w="0" w:type="dxa"/>
            <w:vAlign w:val="bottom"/>
          </w:tcPr>
          <w:p>
            <w:pPr>
              <w:spacing w:after="0"/>
              <w:rPr>
                <w:sz w:val="1"/>
                <w:szCs w:val="1"/>
                <w:color w:val="auto"/>
              </w:rPr>
            </w:pPr>
          </w:p>
        </w:tc>
      </w:tr>
      <w:tr>
        <w:trPr>
          <w:trHeight w:val="90"/>
        </w:trPr>
        <w:tc>
          <w:tcPr>
            <w:tcW w:w="3460" w:type="dxa"/>
            <w:vAlign w:val="bottom"/>
            <w:tcBorders>
              <w:left w:val="single" w:sz="8" w:color="auto"/>
              <w:bottom w:val="single" w:sz="8" w:color="4F81BD"/>
              <w:right w:val="single" w:sz="8" w:color="auto"/>
            </w:tcBorders>
            <w:shd w:val="clear" w:color="auto" w:fill="4F81BD"/>
          </w:tcPr>
          <w:p>
            <w:pPr>
              <w:spacing w:after="0"/>
              <w:rPr>
                <w:sz w:val="7"/>
                <w:szCs w:val="7"/>
                <w:color w:val="auto"/>
              </w:rPr>
            </w:pPr>
          </w:p>
        </w:tc>
        <w:tc>
          <w:tcPr>
            <w:tcW w:w="740" w:type="dxa"/>
            <w:vAlign w:val="bottom"/>
            <w:tcBorders>
              <w:bottom w:val="single" w:sz="8" w:color="4F81BC"/>
              <w:right w:val="single" w:sz="8" w:color="auto"/>
            </w:tcBorders>
            <w:vMerge w:val="continue"/>
            <w:shd w:val="clear" w:color="auto" w:fill="4F81BC"/>
          </w:tcPr>
          <w:p>
            <w:pPr>
              <w:spacing w:after="0"/>
              <w:rPr>
                <w:sz w:val="7"/>
                <w:szCs w:val="7"/>
                <w:color w:val="auto"/>
              </w:rPr>
            </w:pPr>
          </w:p>
        </w:tc>
        <w:tc>
          <w:tcPr>
            <w:tcW w:w="820" w:type="dxa"/>
            <w:vAlign w:val="bottom"/>
            <w:tcBorders>
              <w:bottom w:val="single" w:sz="8" w:color="4F81BC"/>
              <w:right w:val="single" w:sz="8" w:color="auto"/>
            </w:tcBorders>
            <w:shd w:val="clear" w:color="auto" w:fill="4F81BC"/>
          </w:tcPr>
          <w:p>
            <w:pPr>
              <w:spacing w:after="0"/>
              <w:rPr>
                <w:sz w:val="7"/>
                <w:szCs w:val="7"/>
                <w:color w:val="auto"/>
              </w:rPr>
            </w:pPr>
          </w:p>
        </w:tc>
        <w:tc>
          <w:tcPr>
            <w:tcW w:w="720" w:type="dxa"/>
            <w:vAlign w:val="bottom"/>
            <w:tcBorders>
              <w:bottom w:val="single" w:sz="8" w:color="4F81BC"/>
              <w:right w:val="single" w:sz="8" w:color="auto"/>
            </w:tcBorders>
            <w:shd w:val="clear" w:color="auto" w:fill="4F81BC"/>
          </w:tcPr>
          <w:p>
            <w:pPr>
              <w:spacing w:after="0"/>
              <w:rPr>
                <w:sz w:val="7"/>
                <w:szCs w:val="7"/>
                <w:color w:val="auto"/>
              </w:rPr>
            </w:pPr>
          </w:p>
        </w:tc>
        <w:tc>
          <w:tcPr>
            <w:tcW w:w="740" w:type="dxa"/>
            <w:vAlign w:val="bottom"/>
            <w:tcBorders>
              <w:bottom w:val="single" w:sz="8" w:color="4F81BC"/>
              <w:right w:val="single" w:sz="8" w:color="auto"/>
            </w:tcBorders>
            <w:vMerge w:val="continue"/>
            <w:shd w:val="clear" w:color="auto" w:fill="4F81BC"/>
          </w:tcPr>
          <w:p>
            <w:pPr>
              <w:spacing w:after="0"/>
              <w:rPr>
                <w:sz w:val="7"/>
                <w:szCs w:val="7"/>
                <w:color w:val="auto"/>
              </w:rPr>
            </w:pPr>
          </w:p>
        </w:tc>
        <w:tc>
          <w:tcPr>
            <w:tcW w:w="740" w:type="dxa"/>
            <w:vAlign w:val="bottom"/>
            <w:tcBorders>
              <w:bottom w:val="single" w:sz="8" w:color="4F81BC"/>
              <w:right w:val="single" w:sz="8" w:color="auto"/>
            </w:tcBorders>
            <w:shd w:val="clear" w:color="auto" w:fill="4F81BC"/>
          </w:tcPr>
          <w:p>
            <w:pPr>
              <w:spacing w:after="0"/>
              <w:rPr>
                <w:sz w:val="7"/>
                <w:szCs w:val="7"/>
                <w:color w:val="auto"/>
              </w:rPr>
            </w:pPr>
          </w:p>
        </w:tc>
        <w:tc>
          <w:tcPr>
            <w:tcW w:w="740" w:type="dxa"/>
            <w:vAlign w:val="bottom"/>
            <w:tcBorders>
              <w:bottom w:val="single" w:sz="8" w:color="4F81BC"/>
              <w:right w:val="single" w:sz="8" w:color="auto"/>
            </w:tcBorders>
            <w:shd w:val="clear" w:color="auto" w:fill="4F81BC"/>
          </w:tcPr>
          <w:p>
            <w:pPr>
              <w:spacing w:after="0"/>
              <w:rPr>
                <w:sz w:val="7"/>
                <w:szCs w:val="7"/>
                <w:color w:val="auto"/>
              </w:rPr>
            </w:pPr>
          </w:p>
        </w:tc>
        <w:tc>
          <w:tcPr>
            <w:tcW w:w="720" w:type="dxa"/>
            <w:vAlign w:val="bottom"/>
            <w:tcBorders>
              <w:bottom w:val="single" w:sz="8" w:color="4F81BC"/>
              <w:right w:val="single" w:sz="8" w:color="auto"/>
            </w:tcBorders>
            <w:shd w:val="clear" w:color="auto" w:fill="4F81BC"/>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346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Senior Leadership Experience</w:t>
            </w:r>
          </w:p>
        </w:tc>
        <w:tc>
          <w:tcPr>
            <w:tcW w:w="74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82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2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74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74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4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20" w:type="dxa"/>
            <w:vAlign w:val="bottom"/>
            <w:tcBorders>
              <w:top w:val="single" w:sz="8" w:color="auto"/>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Business and strategic management experience</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from service in a significant leadership position,</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such as CEO, CFO or other senior executive role.</w:t>
            </w:r>
          </w:p>
        </w:tc>
        <w:tc>
          <w:tcPr>
            <w:tcW w:w="7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60" w:type="dxa"/>
            <w:vAlign w:val="bottom"/>
            <w:tcBorders>
              <w:left w:val="single" w:sz="8" w:color="auto"/>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Financial Literacy</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Directors  with  an  advanced  understanding  of</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finance and accounting provide oversight of the</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preparation  of  financial  statements  and  risk</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Borders>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management.</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Public Company Board Experience</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Experience serving on the boards of other public</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companies, which provides an understanding of</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corporate   governance   practices   and   the</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dynamics and operation of a corporate board,</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management   accountability   and   protecting</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Borders>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stockholder interests.</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Chemical Industry Experience</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In-depth knowledge of our industry, operations,</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and competitive environment.</w:t>
            </w:r>
          </w:p>
        </w:tc>
        <w:tc>
          <w:tcPr>
            <w:tcW w:w="7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460" w:type="dxa"/>
            <w:vAlign w:val="bottom"/>
            <w:tcBorders>
              <w:left w:val="single" w:sz="8" w:color="auto"/>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Corporate Governance Experience</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An  understanding  of  corporate  governance</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practices and the dynamics and operation of a</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corporate board, management accountability and</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Borders>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protecting stockholder interests.</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Manufacturing/Operations Experience</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Experience in an executive role responsible for</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the oversight of operations and the development</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of a business strategy.</w:t>
            </w:r>
          </w:p>
        </w:tc>
        <w:tc>
          <w:tcPr>
            <w:tcW w:w="7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60" w:type="dxa"/>
            <w:vAlign w:val="bottom"/>
            <w:tcBorders>
              <w:left w:val="single" w:sz="8" w:color="auto"/>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Human Capital Management Experience</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Experience  with  compensation,  attracting  and</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retaining top talent, development and succession</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planning.</w:t>
            </w:r>
          </w:p>
        </w:tc>
        <w:tc>
          <w:tcPr>
            <w:tcW w:w="7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460" w:type="dxa"/>
            <w:vAlign w:val="bottom"/>
            <w:tcBorders>
              <w:left w:val="single" w:sz="8" w:color="auto"/>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M&amp;A Experience</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4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5"/>
                <w:szCs w:val="15"/>
                <w:color w:val="4F81BC"/>
              </w:rPr>
              <w:t>•</w:t>
            </w: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Experience driving strategic direction and growth,</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including expertise in mergers and acquisitions,</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capital markets, dispositions, financing, private</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Borders>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equity and other business development activities.</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Global Experience</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Global   business   experience,   including   an</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understanding of diverse business environments,</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economic conditions, and cultures and a broad</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Borders>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perspective on global business opportunities.</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Regulatory/Legal/Compliance Experience</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Experience  interacting  with  governmental  or</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regulatory   entities   and/or   experience   of</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legal/compliance issues affecting publicly listed</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Borders>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companies.</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60" w:type="dxa"/>
            <w:vAlign w:val="bottom"/>
            <w:tcBorders>
              <w:left w:val="single" w:sz="8" w:color="auto"/>
              <w:right w:val="single" w:sz="8" w:color="auto"/>
            </w:tcBorders>
          </w:tcPr>
          <w:p>
            <w:pPr>
              <w:ind w:left="760"/>
              <w:spacing w:after="0"/>
              <w:rPr>
                <w:sz w:val="20"/>
                <w:szCs w:val="20"/>
                <w:color w:val="auto"/>
              </w:rPr>
            </w:pPr>
            <w:r>
              <w:rPr>
                <w:rFonts w:ascii="Arial" w:cs="Arial" w:eastAsia="Arial" w:hAnsi="Arial"/>
                <w:sz w:val="12"/>
                <w:szCs w:val="12"/>
                <w:b w:val="1"/>
                <w:bCs w:val="1"/>
                <w:i w:val="1"/>
                <w:iCs w:val="1"/>
                <w:color w:val="auto"/>
              </w:rPr>
              <w:t>Information Security Experience</w:t>
            </w: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8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rPr>
              <w:t>•</w:t>
            </w:r>
          </w:p>
        </w:tc>
        <w:tc>
          <w:tcPr>
            <w:tcW w:w="7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5"/>
                <w:szCs w:val="15"/>
                <w:color w:val="4F81BC"/>
                <w:w w:val="75"/>
              </w:rPr>
              <w:t>•</w:t>
            </w:r>
          </w:p>
        </w:tc>
        <w:tc>
          <w:tcPr>
            <w:tcW w:w="7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460" w:type="dxa"/>
            <w:vAlign w:val="bottom"/>
            <w:tcBorders>
              <w:left w:val="single" w:sz="8" w:color="auto"/>
              <w:right w:val="single" w:sz="8" w:color="auto"/>
            </w:tcBorders>
          </w:tcPr>
          <w:p>
            <w:pPr>
              <w:ind w:left="760"/>
              <w:spacing w:after="0" w:line="128" w:lineRule="exact"/>
              <w:rPr>
                <w:sz w:val="20"/>
                <w:szCs w:val="20"/>
                <w:color w:val="auto"/>
              </w:rPr>
            </w:pPr>
            <w:r>
              <w:rPr>
                <w:rFonts w:ascii="Arial" w:cs="Arial" w:eastAsia="Arial" w:hAnsi="Arial"/>
                <w:sz w:val="12"/>
                <w:szCs w:val="12"/>
                <w:i w:val="1"/>
                <w:iCs w:val="1"/>
                <w:color w:val="auto"/>
              </w:rPr>
              <w:t>Experience  in  management  of  IT  functions,</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carrying  out  IT  risk  assessments  and  audits,</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implementing IT security policies and knowledge</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60" w:type="dxa"/>
            <w:vAlign w:val="bottom"/>
            <w:tcBorders>
              <w:left w:val="single" w:sz="8" w:color="auto"/>
              <w:right w:val="single" w:sz="8" w:color="auto"/>
            </w:tcBorders>
          </w:tcPr>
          <w:p>
            <w:pPr>
              <w:ind w:left="760"/>
              <w:spacing w:after="0" w:line="134" w:lineRule="exact"/>
              <w:rPr>
                <w:sz w:val="20"/>
                <w:szCs w:val="20"/>
                <w:color w:val="auto"/>
              </w:rPr>
            </w:pPr>
            <w:r>
              <w:rPr>
                <w:rFonts w:ascii="Arial" w:cs="Arial" w:eastAsia="Arial" w:hAnsi="Arial"/>
                <w:sz w:val="12"/>
                <w:szCs w:val="12"/>
                <w:i w:val="1"/>
                <w:iCs w:val="1"/>
                <w:color w:val="auto"/>
              </w:rPr>
              <w:t>and management of IT capabilities and risks</w:t>
            </w:r>
          </w:p>
        </w:tc>
        <w:tc>
          <w:tcPr>
            <w:tcW w:w="7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tcBorders>
              <w:left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2"/>
                <w:szCs w:val="12"/>
                <w:i w:val="1"/>
                <w:iCs w:val="1"/>
                <w:color w:val="auto"/>
              </w:rPr>
              <w:t>associated with cyber security matters.</w:t>
            </w:r>
          </w:p>
        </w:tc>
        <w:tc>
          <w:tcPr>
            <w:tcW w:w="74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460" w:type="dxa"/>
            <w:vAlign w:val="bottom"/>
            <w:tcBorders>
              <w:left w:val="single" w:sz="8" w:color="auto"/>
              <w:bottom w:val="single" w:sz="8" w:color="auto"/>
              <w:right w:val="single" w:sz="8" w:color="4F81BD"/>
            </w:tcBorders>
            <w:shd w:val="clear" w:color="auto" w:fill="4F81BD"/>
          </w:tcPr>
          <w:p>
            <w:pPr>
              <w:ind w:left="140"/>
              <w:spacing w:after="0"/>
              <w:rPr>
                <w:sz w:val="20"/>
                <w:szCs w:val="20"/>
                <w:color w:val="auto"/>
              </w:rPr>
            </w:pPr>
            <w:r>
              <w:rPr>
                <w:rFonts w:ascii="Arial" w:cs="Arial" w:eastAsia="Arial" w:hAnsi="Arial"/>
                <w:sz w:val="12"/>
                <w:szCs w:val="12"/>
                <w:b w:val="1"/>
                <w:bCs w:val="1"/>
                <w:color w:val="FFFFFF"/>
              </w:rPr>
              <w:t>Board Composition</w:t>
            </w:r>
          </w:p>
        </w:tc>
        <w:tc>
          <w:tcPr>
            <w:tcW w:w="740" w:type="dxa"/>
            <w:vAlign w:val="bottom"/>
            <w:tcBorders>
              <w:bottom w:val="single" w:sz="8" w:color="auto"/>
              <w:right w:val="single" w:sz="8" w:color="4F81BD"/>
            </w:tcBorders>
            <w:shd w:val="clear" w:color="auto" w:fill="4F81BD"/>
          </w:tcPr>
          <w:p>
            <w:pPr>
              <w:spacing w:after="0"/>
              <w:rPr>
                <w:sz w:val="15"/>
                <w:szCs w:val="15"/>
                <w:color w:val="auto"/>
              </w:rPr>
            </w:pPr>
          </w:p>
        </w:tc>
        <w:tc>
          <w:tcPr>
            <w:tcW w:w="820" w:type="dxa"/>
            <w:vAlign w:val="bottom"/>
            <w:tcBorders>
              <w:bottom w:val="single" w:sz="8" w:color="auto"/>
              <w:right w:val="single" w:sz="8" w:color="4F81BD"/>
            </w:tcBorders>
            <w:shd w:val="clear" w:color="auto" w:fill="4F81BD"/>
          </w:tcPr>
          <w:p>
            <w:pPr>
              <w:spacing w:after="0"/>
              <w:rPr>
                <w:sz w:val="15"/>
                <w:szCs w:val="15"/>
                <w:color w:val="auto"/>
              </w:rPr>
            </w:pPr>
          </w:p>
        </w:tc>
        <w:tc>
          <w:tcPr>
            <w:tcW w:w="720" w:type="dxa"/>
            <w:vAlign w:val="bottom"/>
            <w:tcBorders>
              <w:bottom w:val="single" w:sz="8" w:color="auto"/>
              <w:right w:val="single" w:sz="8" w:color="4F81BD"/>
            </w:tcBorders>
            <w:shd w:val="clear" w:color="auto" w:fill="4F81BD"/>
          </w:tcPr>
          <w:p>
            <w:pPr>
              <w:spacing w:after="0"/>
              <w:rPr>
                <w:sz w:val="15"/>
                <w:szCs w:val="15"/>
                <w:color w:val="auto"/>
              </w:rPr>
            </w:pPr>
          </w:p>
        </w:tc>
        <w:tc>
          <w:tcPr>
            <w:tcW w:w="740" w:type="dxa"/>
            <w:vAlign w:val="bottom"/>
            <w:tcBorders>
              <w:bottom w:val="single" w:sz="8" w:color="auto"/>
              <w:right w:val="single" w:sz="8" w:color="4F81BD"/>
            </w:tcBorders>
            <w:shd w:val="clear" w:color="auto" w:fill="4F81BD"/>
          </w:tcPr>
          <w:p>
            <w:pPr>
              <w:spacing w:after="0"/>
              <w:rPr>
                <w:sz w:val="15"/>
                <w:szCs w:val="15"/>
                <w:color w:val="auto"/>
              </w:rPr>
            </w:pPr>
          </w:p>
        </w:tc>
        <w:tc>
          <w:tcPr>
            <w:tcW w:w="740" w:type="dxa"/>
            <w:vAlign w:val="bottom"/>
            <w:tcBorders>
              <w:bottom w:val="single" w:sz="8" w:color="auto"/>
              <w:right w:val="single" w:sz="8" w:color="4F81BD"/>
            </w:tcBorders>
            <w:shd w:val="clear" w:color="auto" w:fill="4F81BD"/>
          </w:tcPr>
          <w:p>
            <w:pPr>
              <w:spacing w:after="0"/>
              <w:rPr>
                <w:sz w:val="15"/>
                <w:szCs w:val="15"/>
                <w:color w:val="auto"/>
              </w:rPr>
            </w:pPr>
          </w:p>
        </w:tc>
        <w:tc>
          <w:tcPr>
            <w:tcW w:w="740" w:type="dxa"/>
            <w:vAlign w:val="bottom"/>
            <w:tcBorders>
              <w:bottom w:val="single" w:sz="8" w:color="auto"/>
              <w:right w:val="single" w:sz="8" w:color="4F81BD"/>
            </w:tcBorders>
            <w:shd w:val="clear" w:color="auto" w:fill="4F81BD"/>
          </w:tcPr>
          <w:p>
            <w:pPr>
              <w:spacing w:after="0"/>
              <w:rPr>
                <w:sz w:val="15"/>
                <w:szCs w:val="15"/>
                <w:color w:val="auto"/>
              </w:rPr>
            </w:pPr>
          </w:p>
        </w:tc>
        <w:tc>
          <w:tcPr>
            <w:tcW w:w="720" w:type="dxa"/>
            <w:vAlign w:val="bottom"/>
            <w:tcBorders>
              <w:bottom w:val="single" w:sz="8" w:color="auto"/>
              <w:right w:val="single" w:sz="8" w:color="auto"/>
            </w:tcBorders>
            <w:shd w:val="clear" w:color="auto" w:fill="4F81BD"/>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2"/>
                <w:szCs w:val="12"/>
                <w:color w:val="auto"/>
              </w:rPr>
              <w:t>Age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78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64</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66</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29"/>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4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2"/>
                <w:szCs w:val="12"/>
                <w:color w:val="auto"/>
              </w:rPr>
              <w:t>Tenure (years)</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16</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9"/>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2"/>
                <w:szCs w:val="12"/>
                <w:color w:val="auto"/>
              </w:rPr>
              <w:t>Diversity</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4F81BC"/>
              </w:rPr>
              <w:t>•</w:t>
            </w:r>
          </w:p>
        </w:tc>
        <w:tc>
          <w:tcPr>
            <w:tcW w:w="82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4F81BC"/>
                <w:w w:val="75"/>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4F81BC"/>
                <w:w w:val="75"/>
              </w:rPr>
              <w:t>•</w:t>
            </w:r>
          </w:p>
        </w:tc>
        <w:tc>
          <w:tcPr>
            <w:tcW w:w="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1109980</wp:posOffset>
            </wp:positionV>
            <wp:extent cx="297180" cy="290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7180" cy="29019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-5840095</wp:posOffset>
            </wp:positionV>
            <wp:extent cx="304165" cy="339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4165" cy="339725"/>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-5387975</wp:posOffset>
            </wp:positionV>
            <wp:extent cx="339725" cy="3181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9725" cy="318135"/>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-4928235</wp:posOffset>
            </wp:positionV>
            <wp:extent cx="318135" cy="339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8135" cy="339725"/>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-4270375</wp:posOffset>
            </wp:positionV>
            <wp:extent cx="339725" cy="268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9725" cy="268605"/>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-3846195</wp:posOffset>
            </wp:positionV>
            <wp:extent cx="339725" cy="339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9725" cy="339725"/>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-3386455</wp:posOffset>
            </wp:positionV>
            <wp:extent cx="339725" cy="339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9725" cy="339725"/>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-2934335</wp:posOffset>
            </wp:positionV>
            <wp:extent cx="339725" cy="3321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9725" cy="332105"/>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-2453005</wp:posOffset>
            </wp:positionV>
            <wp:extent cx="339725" cy="268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9725" cy="268605"/>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-2021840</wp:posOffset>
            </wp:positionV>
            <wp:extent cx="339725" cy="3321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9725" cy="332105"/>
                    </a:xfrm>
                    <a:prstGeom prst="rect">
                      <a:avLst/>
                    </a:prstGeom>
                    <a:noFill/>
                  </pic:spPr>
                </pic:pic>
              </a:graphicData>
            </a:graphic>
          </wp:anchor>
        </w:drawing>
        <w:drawing>
          <wp:anchor simplePos="0" relativeHeight="251657728" behindDoc="1" locked="0" layoutInCell="0" allowOverlap="1">
            <wp:simplePos x="0" y="0"/>
            <wp:positionH relativeFrom="column">
              <wp:posOffset>187325</wp:posOffset>
            </wp:positionH>
            <wp:positionV relativeFrom="paragraph">
              <wp:posOffset>-1526540</wp:posOffset>
            </wp:positionV>
            <wp:extent cx="339725" cy="261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9725" cy="261620"/>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-1102360</wp:posOffset>
            </wp:positionV>
            <wp:extent cx="353695" cy="3676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3695" cy="3676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0" w:name="page41"/>
    <w:bookmarkEnd w:id="40"/>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Director Biographies</w:t>
      </w:r>
    </w:p>
    <w:p>
      <w:pPr>
        <w:spacing w:after="0" w:line="195"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following is biographical and other information about our current Directors, including the nominees for election at the Annual Meeting.</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21"/>
          <w:szCs w:val="21"/>
          <w:b w:val="1"/>
          <w:bCs w:val="1"/>
          <w:i w:val="1"/>
          <w:iCs w:val="1"/>
          <w:u w:val="single" w:color="auto"/>
          <w:color w:val="auto"/>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125730</wp:posOffset>
            </wp:positionV>
            <wp:extent cx="5515610" cy="813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15610" cy="813435"/>
                    </a:xfrm>
                    <a:prstGeom prst="rect">
                      <a:avLst/>
                    </a:prstGeom>
                    <a:noFill/>
                  </pic:spPr>
                </pic:pic>
              </a:graphicData>
            </a:graphic>
          </wp:anchor>
        </w:drawing>
      </w:r>
    </w:p>
    <w:p>
      <w:pPr>
        <w:spacing w:after="0" w:line="326"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FFFFFF"/>
        </w:rPr>
        <w:t>Ms. Claudia P. Poccia</w:t>
      </w:r>
    </w:p>
    <w:p>
      <w:pPr>
        <w:spacing w:after="0" w:line="39"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Age: 66</w:t>
      </w:r>
    </w:p>
    <w:p>
      <w:pPr>
        <w:spacing w:after="0" w:line="51" w:lineRule="exact"/>
        <w:rPr>
          <w:sz w:val="20"/>
          <w:szCs w:val="20"/>
          <w:color w:val="auto"/>
        </w:rPr>
      </w:pPr>
    </w:p>
    <w:p>
      <w:pPr>
        <w:ind w:left="4360"/>
        <w:spacing w:after="0"/>
        <w:rPr>
          <w:sz w:val="20"/>
          <w:szCs w:val="20"/>
          <w:color w:val="auto"/>
        </w:rPr>
      </w:pPr>
      <w:r>
        <w:rPr>
          <w:rFonts w:ascii="Arial" w:cs="Arial" w:eastAsia="Arial" w:hAnsi="Arial"/>
          <w:sz w:val="14"/>
          <w:szCs w:val="14"/>
          <w:color w:val="FFFFFF"/>
        </w:rPr>
        <w:t>Director since July 1, 2019</w:t>
      </w:r>
    </w:p>
    <w:p>
      <w:pPr>
        <w:spacing w:after="0" w:line="51" w:lineRule="exact"/>
        <w:rPr>
          <w:sz w:val="20"/>
          <w:szCs w:val="20"/>
          <w:color w:val="auto"/>
        </w:rPr>
      </w:pPr>
    </w:p>
    <w:p>
      <w:pPr>
        <w:ind w:left="3520"/>
        <w:spacing w:after="0"/>
        <w:rPr>
          <w:sz w:val="20"/>
          <w:szCs w:val="20"/>
          <w:color w:val="auto"/>
        </w:rPr>
      </w:pPr>
      <w:r>
        <w:rPr>
          <w:rFonts w:ascii="Arial" w:cs="Arial" w:eastAsia="Arial" w:hAnsi="Arial"/>
          <w:sz w:val="14"/>
          <w:szCs w:val="14"/>
          <w:color w:val="FFFFFF"/>
        </w:rPr>
        <w:t>Committees: Nominating, Corporate Governance and</w:t>
      </w:r>
    </w:p>
    <w:p>
      <w:pPr>
        <w:spacing w:after="0" w:line="9" w:lineRule="exact"/>
        <w:rPr>
          <w:sz w:val="20"/>
          <w:szCs w:val="20"/>
          <w:color w:val="auto"/>
        </w:rPr>
      </w:pPr>
    </w:p>
    <w:p>
      <w:pPr>
        <w:jc w:val="center"/>
        <w:ind w:right="-1380"/>
        <w:spacing w:after="0"/>
        <w:rPr>
          <w:sz w:val="20"/>
          <w:szCs w:val="20"/>
          <w:color w:val="auto"/>
        </w:rPr>
      </w:pPr>
      <w:r>
        <w:rPr>
          <w:rFonts w:ascii="Arial" w:cs="Arial" w:eastAsia="Arial" w:hAnsi="Arial"/>
          <w:sz w:val="14"/>
          <w:szCs w:val="14"/>
          <w:color w:val="FFFFFF"/>
        </w:rPr>
        <w:t>Sustainability Committee (Chair), Compensation Committee</w:t>
      </w:r>
    </w:p>
    <w:p>
      <w:pPr>
        <w:spacing w:after="0" w:line="342"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Ms. Poccia serves as Chief Executive Officer of Grace De Monaco, a wholly owned subsidiary of The Princess Grace Foundation-USA. Grace De Monaco is a global luxury brand, the net proceeds of which support emerging artists in theater, dance, and film through the Princess Grace Awards program. Ms. Poccia continues to serve on the Board of Trustees of The Princess Grace Foundation-USA.</w:t>
      </w:r>
    </w:p>
    <w:p>
      <w:pPr>
        <w:spacing w:after="0" w:line="82" w:lineRule="exact"/>
        <w:rPr>
          <w:sz w:val="20"/>
          <w:szCs w:val="20"/>
          <w:color w:val="auto"/>
        </w:rPr>
      </w:pPr>
    </w:p>
    <w:p>
      <w:pPr>
        <w:jc w:val="both"/>
        <w:ind w:left="200" w:right="139"/>
        <w:spacing w:after="0" w:line="291" w:lineRule="auto"/>
        <w:rPr>
          <w:sz w:val="20"/>
          <w:szCs w:val="20"/>
          <w:color w:val="auto"/>
        </w:rPr>
      </w:pPr>
      <w:r>
        <w:rPr>
          <w:rFonts w:ascii="Arial" w:cs="Arial" w:eastAsia="Arial" w:hAnsi="Arial"/>
          <w:sz w:val="14"/>
          <w:szCs w:val="14"/>
          <w:color w:val="auto"/>
        </w:rPr>
        <w:t>Since 2018, Ms. Poccia has served as Co-Founder and Chief Executive Officer of Dragonfly Sage, a strategic consultancy advising luxury lifestyle and beauty brands. She has more than 30 years of experience in the global beauty industry. Ms. Poccia also co-founded IdeavationLabs LLC, a beauty incubation platform, where she served as Chief Executive Officer from 2020 to 2021.</w:t>
      </w:r>
    </w:p>
    <w:p>
      <w:pPr>
        <w:spacing w:after="0" w:line="71"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Previously, Ms. Poccia served as Chief Marketing Officer and Head of International Business Development for bareMinerals at Shiseido Americas Company. Prior to that, she was President and Chief Executive Officer of Gurwitch Products from 2011 to 2015. From 2009 to 2011, Ms. Poccia served as Global President, Beauty, at Avon Products Inc., having joined the company in 2005 as President of the U.S. beauty business.</w:t>
      </w:r>
    </w:p>
    <w:p>
      <w:pPr>
        <w:spacing w:after="0" w:line="94"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From 1994 to 2005, Ms. Poccia held several senior executive roles at The Estée Lauder Companies Inc., including President of Stila Cosmetics and Vice President of Business Development for the Estée Lauder brand. Earlier in her career, she spent seven years at Avon Products Inc. in various sales leadership roles.</w:t>
      </w:r>
    </w:p>
    <w:p>
      <w:pPr>
        <w:spacing w:after="0" w:line="77"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Since May 2019, she has been a board member of Fashion Group International, a nonprofit organization focused on the fashion industry. Ms. Poccia has received industry recognition for her leadership, including being named one of Beauty Inc.’s Top 50 Most Influential People in Beauty. She has also received the Cosmetic Executive Women Achiever Award and the Women’s Wear Daily Beauty Biz Award for Innovative Marketer.</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Key Attributes,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90805</wp:posOffset>
            </wp:positionV>
            <wp:extent cx="304165" cy="339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04165" cy="339725"/>
                    </a:xfrm>
                    <a:prstGeom prst="rect">
                      <a:avLst/>
                    </a:prstGeom>
                    <a:noFill/>
                  </pic:spPr>
                </pic:pic>
              </a:graphicData>
            </a:graphic>
          </wp:anchor>
        </w:drawing>
        <w:drawing>
          <wp:anchor simplePos="0" relativeHeight="251657728" behindDoc="1" locked="0" layoutInCell="0" allowOverlap="1">
            <wp:simplePos x="0" y="0"/>
            <wp:positionH relativeFrom="column">
              <wp:posOffset>887095</wp:posOffset>
            </wp:positionH>
            <wp:positionV relativeFrom="paragraph">
              <wp:posOffset>90805</wp:posOffset>
            </wp:positionV>
            <wp:extent cx="318135" cy="339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8135" cy="339725"/>
                    </a:xfrm>
                    <a:prstGeom prst="rect">
                      <a:avLst/>
                    </a:prstGeom>
                    <a:noFill/>
                  </pic:spPr>
                </pic:pic>
              </a:graphicData>
            </a:graphic>
          </wp:anchor>
        </w:drawing>
        <w:drawing>
          <wp:anchor simplePos="0" relativeHeight="251657728" behindDoc="1" locked="0" layoutInCell="0" allowOverlap="1">
            <wp:simplePos x="0" y="0"/>
            <wp:positionH relativeFrom="column">
              <wp:posOffset>1502410</wp:posOffset>
            </wp:positionH>
            <wp:positionV relativeFrom="paragraph">
              <wp:posOffset>111760</wp:posOffset>
            </wp:positionV>
            <wp:extent cx="339725" cy="268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9725" cy="268605"/>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90805</wp:posOffset>
            </wp:positionV>
            <wp:extent cx="339725" cy="339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9725" cy="33972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90805</wp:posOffset>
            </wp:positionV>
            <wp:extent cx="339725" cy="339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9725" cy="33972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90805</wp:posOffset>
            </wp:positionV>
            <wp:extent cx="339725" cy="3251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9725" cy="325120"/>
                    </a:xfrm>
                    <a:prstGeom prst="rect">
                      <a:avLst/>
                    </a:prstGeom>
                    <a:noFill/>
                  </pic:spPr>
                </pic:pic>
              </a:graphicData>
            </a:graphic>
          </wp:anchor>
        </w:drawing>
        <w:drawing>
          <wp:anchor simplePos="0" relativeHeight="251657728" behindDoc="1" locked="0" layoutInCell="0" allowOverlap="1">
            <wp:simplePos x="0" y="0"/>
            <wp:positionH relativeFrom="column">
              <wp:posOffset>4005580</wp:posOffset>
            </wp:positionH>
            <wp:positionV relativeFrom="paragraph">
              <wp:posOffset>111760</wp:posOffset>
            </wp:positionV>
            <wp:extent cx="339725" cy="268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9725" cy="268605"/>
                    </a:xfrm>
                    <a:prstGeom prst="rect">
                      <a:avLst/>
                    </a:prstGeom>
                    <a:noFill/>
                  </pic:spPr>
                </pic:pic>
              </a:graphicData>
            </a:graphic>
          </wp:anchor>
        </w:drawing>
        <w:drawing>
          <wp:anchor simplePos="0" relativeHeight="251657728" behindDoc="1" locked="0" layoutInCell="0" allowOverlap="1">
            <wp:simplePos x="0" y="0"/>
            <wp:positionH relativeFrom="column">
              <wp:posOffset>4613910</wp:posOffset>
            </wp:positionH>
            <wp:positionV relativeFrom="paragraph">
              <wp:posOffset>90805</wp:posOffset>
            </wp:positionV>
            <wp:extent cx="339725" cy="3251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9725" cy="325120"/>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126365</wp:posOffset>
            </wp:positionV>
            <wp:extent cx="339725" cy="2546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9725" cy="25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7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Public</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jc w:val="center"/>
              <w:ind w:left="128"/>
              <w:spacing w:after="0"/>
              <w:rPr>
                <w:sz w:val="20"/>
                <w:szCs w:val="20"/>
                <w:color w:val="auto"/>
              </w:rPr>
            </w:pPr>
            <w:r>
              <w:rPr>
                <w:rFonts w:ascii="Arial" w:cs="Arial" w:eastAsia="Arial" w:hAnsi="Arial"/>
                <w:sz w:val="10"/>
                <w:szCs w:val="10"/>
                <w:b w:val="1"/>
                <w:bCs w:val="1"/>
                <w:color w:val="auto"/>
              </w:rPr>
              <w:t>Regulatory/</w:t>
            </w:r>
          </w:p>
        </w:tc>
      </w:tr>
      <w:tr>
        <w:trPr>
          <w:trHeight w:val="178"/>
        </w:trPr>
        <w:tc>
          <w:tcPr>
            <w:tcW w:w="760" w:type="dxa"/>
            <w:vAlign w:val="bottom"/>
          </w:tcPr>
          <w:p>
            <w:pPr>
              <w:jc w:val="center"/>
              <w:ind w:right="168"/>
              <w:spacing w:after="0"/>
              <w:rPr>
                <w:sz w:val="20"/>
                <w:szCs w:val="20"/>
                <w:color w:val="auto"/>
              </w:rPr>
            </w:pPr>
            <w:r>
              <w:rPr>
                <w:rFonts w:ascii="Arial" w:cs="Arial" w:eastAsia="Arial" w:hAnsi="Arial"/>
                <w:sz w:val="10"/>
                <w:szCs w:val="10"/>
                <w:b w:val="1"/>
                <w:bCs w:val="1"/>
                <w:color w:val="auto"/>
              </w:rPr>
              <w:t>Senior</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Company</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Chemical</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Corporate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Manufacturing/</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Human Capital</w:t>
            </w:r>
          </w:p>
        </w:tc>
        <w:tc>
          <w:tcPr>
            <w:tcW w:w="1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jc w:val="center"/>
              <w:ind w:left="128"/>
              <w:spacing w:after="0"/>
              <w:rPr>
                <w:sz w:val="20"/>
                <w:szCs w:val="20"/>
                <w:color w:val="auto"/>
              </w:rPr>
            </w:pPr>
            <w:r>
              <w:rPr>
                <w:rFonts w:ascii="Arial" w:cs="Arial" w:eastAsia="Arial" w:hAnsi="Arial"/>
                <w:sz w:val="10"/>
                <w:szCs w:val="10"/>
                <w:b w:val="1"/>
                <w:bCs w:val="1"/>
                <w:color w:val="auto"/>
              </w:rPr>
              <w:t>Legal/</w:t>
            </w:r>
          </w:p>
        </w:tc>
      </w:tr>
      <w:tr>
        <w:trPr>
          <w:trHeight w:val="178"/>
        </w:trPr>
        <w:tc>
          <w:tcPr>
            <w:tcW w:w="760" w:type="dxa"/>
            <w:vAlign w:val="bottom"/>
          </w:tcPr>
          <w:p>
            <w:pPr>
              <w:jc w:val="center"/>
              <w:ind w:right="168"/>
              <w:spacing w:after="0"/>
              <w:rPr>
                <w:sz w:val="20"/>
                <w:szCs w:val="20"/>
                <w:color w:val="auto"/>
              </w:rPr>
            </w:pPr>
            <w:r>
              <w:rPr>
                <w:rFonts w:ascii="Arial" w:cs="Arial" w:eastAsia="Arial" w:hAnsi="Arial"/>
                <w:sz w:val="10"/>
                <w:szCs w:val="10"/>
                <w:b w:val="1"/>
                <w:bCs w:val="1"/>
                <w:color w:val="auto"/>
              </w:rPr>
              <w:t>Leadership</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Board</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Industry</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Governance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Operations</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Management</w:t>
            </w:r>
          </w:p>
        </w:tc>
        <w:tc>
          <w:tcPr>
            <w:tcW w:w="10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760" w:type="dxa"/>
            <w:vAlign w:val="bottom"/>
          </w:tcPr>
          <w:p>
            <w:pPr>
              <w:jc w:val="center"/>
              <w:ind w:left="128"/>
              <w:spacing w:after="0"/>
              <w:rPr>
                <w:sz w:val="20"/>
                <w:szCs w:val="20"/>
                <w:color w:val="auto"/>
              </w:rPr>
            </w:pPr>
            <w:r>
              <w:rPr>
                <w:rFonts w:ascii="Arial" w:cs="Arial" w:eastAsia="Arial" w:hAnsi="Arial"/>
                <w:sz w:val="10"/>
                <w:szCs w:val="10"/>
                <w:b w:val="1"/>
                <w:bCs w:val="1"/>
                <w:color w:val="auto"/>
              </w:rPr>
              <w:t>Compliance</w:t>
            </w:r>
          </w:p>
        </w:tc>
      </w:tr>
      <w:tr>
        <w:trPr>
          <w:trHeight w:val="178"/>
        </w:trPr>
        <w:tc>
          <w:tcPr>
            <w:tcW w:w="760" w:type="dxa"/>
            <w:vAlign w:val="bottom"/>
          </w:tcPr>
          <w:p>
            <w:pPr>
              <w:jc w:val="center"/>
              <w:ind w:right="168"/>
              <w:spacing w:after="0"/>
              <w:rPr>
                <w:sz w:val="20"/>
                <w:szCs w:val="20"/>
                <w:color w:val="auto"/>
              </w:rPr>
            </w:pPr>
            <w:r>
              <w:rPr>
                <w:rFonts w:ascii="Arial" w:cs="Arial" w:eastAsia="Arial" w:hAnsi="Arial"/>
                <w:sz w:val="10"/>
                <w:szCs w:val="10"/>
                <w:b w:val="1"/>
                <w:bCs w:val="1"/>
                <w:color w:val="auto"/>
              </w:rPr>
              <w:t>Experience</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1040" w:type="dxa"/>
            <w:vAlign w:val="bottom"/>
          </w:tcPr>
          <w:p>
            <w:pPr>
              <w:ind w:left="80"/>
              <w:spacing w:after="0"/>
              <w:rPr>
                <w:sz w:val="20"/>
                <w:szCs w:val="20"/>
                <w:color w:val="auto"/>
              </w:rPr>
            </w:pPr>
            <w:r>
              <w:rPr>
                <w:rFonts w:ascii="Arial" w:cs="Arial" w:eastAsia="Arial" w:hAnsi="Arial"/>
                <w:sz w:val="10"/>
                <w:szCs w:val="10"/>
                <w:b w:val="1"/>
                <w:bCs w:val="1"/>
                <w:color w:val="auto"/>
              </w:rPr>
              <w:t>M&amp;A 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60" w:type="dxa"/>
            <w:vAlign w:val="bottom"/>
          </w:tcPr>
          <w:p>
            <w:pPr>
              <w:jc w:val="center"/>
              <w:ind w:left="128"/>
              <w:spacing w:after="0"/>
              <w:rPr>
                <w:sz w:val="20"/>
                <w:szCs w:val="20"/>
                <w:color w:val="auto"/>
              </w:rPr>
            </w:pPr>
            <w:r>
              <w:rPr>
                <w:rFonts w:ascii="Arial" w:cs="Arial" w:eastAsia="Arial" w:hAnsi="Arial"/>
                <w:sz w:val="10"/>
                <w:szCs w:val="10"/>
                <w:b w:val="1"/>
                <w:bCs w:val="1"/>
                <w:color w:val="auto"/>
              </w:rPr>
              <w:t>Experience</w:t>
            </w:r>
          </w:p>
        </w:tc>
      </w:tr>
    </w:tbl>
    <w:p>
      <w:pPr>
        <w:spacing w:after="0" w:line="137" w:lineRule="exact"/>
        <w:rPr>
          <w:sz w:val="20"/>
          <w:szCs w:val="20"/>
          <w:color w:val="auto"/>
        </w:rPr>
      </w:pPr>
    </w:p>
    <w:p>
      <w:pPr>
        <w:ind w:left="200" w:right="119"/>
        <w:spacing w:after="0" w:line="281" w:lineRule="auto"/>
        <w:rPr>
          <w:sz w:val="20"/>
          <w:szCs w:val="20"/>
          <w:color w:val="auto"/>
        </w:rPr>
      </w:pPr>
      <w:r>
        <w:rPr>
          <w:rFonts w:ascii="Arial" w:cs="Arial" w:eastAsia="Arial" w:hAnsi="Arial"/>
          <w:sz w:val="15"/>
          <w:szCs w:val="15"/>
          <w:color w:val="auto"/>
        </w:rPr>
        <w:t>Ms. Poccia has an in-depth knowledge of the international personal care industry, particularly the beauty sector and has held several senior positions during her career. She brings industry knowledge and marketing expertise to the Company.</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additional detail see our Board Skills Matrix on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1639570</wp:posOffset>
            </wp:positionV>
            <wp:extent cx="297180" cy="290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1" w:name="page42"/>
    <w:bookmarkEnd w:id="41"/>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1044575</wp:posOffset>
            </wp:positionH>
            <wp:positionV relativeFrom="page">
              <wp:posOffset>1022350</wp:posOffset>
            </wp:positionV>
            <wp:extent cx="5515610" cy="813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15610" cy="81343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4"/>
          <w:szCs w:val="14"/>
          <w:b w:val="1"/>
          <w:bCs w:val="1"/>
          <w:color w:val="FFFFFF"/>
        </w:rPr>
        <w:t>Ms. Elizabeth K. Arnold</w:t>
      </w:r>
    </w:p>
    <w:p>
      <w:pPr>
        <w:spacing w:after="0" w:line="62" w:lineRule="exact"/>
        <w:rPr>
          <w:sz w:val="20"/>
          <w:szCs w:val="20"/>
          <w:color w:val="auto"/>
        </w:rPr>
      </w:pPr>
    </w:p>
    <w:p>
      <w:pPr>
        <w:ind w:left="4940"/>
        <w:spacing w:after="0"/>
        <w:rPr>
          <w:sz w:val="20"/>
          <w:szCs w:val="20"/>
          <w:color w:val="auto"/>
        </w:rPr>
      </w:pPr>
      <w:r>
        <w:rPr>
          <w:rFonts w:ascii="Arial" w:cs="Arial" w:eastAsia="Arial" w:hAnsi="Arial"/>
          <w:sz w:val="14"/>
          <w:szCs w:val="14"/>
          <w:color w:val="FFFFFF"/>
        </w:rPr>
        <w:t>Age: 61</w:t>
      </w:r>
    </w:p>
    <w:p>
      <w:pPr>
        <w:spacing w:after="0" w:line="51" w:lineRule="exact"/>
        <w:rPr>
          <w:sz w:val="20"/>
          <w:szCs w:val="20"/>
          <w:color w:val="auto"/>
        </w:rPr>
      </w:pPr>
    </w:p>
    <w:p>
      <w:pPr>
        <w:ind w:left="4160"/>
        <w:spacing w:after="0"/>
        <w:rPr>
          <w:sz w:val="20"/>
          <w:szCs w:val="20"/>
          <w:color w:val="auto"/>
        </w:rPr>
      </w:pPr>
      <w:r>
        <w:rPr>
          <w:rFonts w:ascii="Arial" w:cs="Arial" w:eastAsia="Arial" w:hAnsi="Arial"/>
          <w:sz w:val="14"/>
          <w:szCs w:val="14"/>
          <w:color w:val="FFFFFF"/>
        </w:rPr>
        <w:t>Director since November 2, 2020</w:t>
      </w:r>
    </w:p>
    <w:p>
      <w:pPr>
        <w:spacing w:after="0" w:line="51" w:lineRule="exact"/>
        <w:rPr>
          <w:sz w:val="20"/>
          <w:szCs w:val="20"/>
          <w:color w:val="auto"/>
        </w:rPr>
      </w:pPr>
    </w:p>
    <w:p>
      <w:pPr>
        <w:ind w:left="3840"/>
        <w:spacing w:after="0"/>
        <w:rPr>
          <w:sz w:val="20"/>
          <w:szCs w:val="20"/>
          <w:color w:val="auto"/>
        </w:rPr>
      </w:pPr>
      <w:r>
        <w:rPr>
          <w:rFonts w:ascii="Arial" w:cs="Arial" w:eastAsia="Arial" w:hAnsi="Arial"/>
          <w:sz w:val="14"/>
          <w:szCs w:val="14"/>
          <w:color w:val="FFFFFF"/>
        </w:rPr>
        <w:t>Committees: Audit Committee, Nominating,</w:t>
      </w:r>
    </w:p>
    <w:p>
      <w:pPr>
        <w:spacing w:after="0" w:line="9"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Corporate Governance and Sustainability Committee</w:t>
      </w:r>
    </w:p>
    <w:p>
      <w:pPr>
        <w:spacing w:after="0" w:line="331" w:lineRule="exact"/>
        <w:rPr>
          <w:sz w:val="20"/>
          <w:szCs w:val="20"/>
          <w:color w:val="auto"/>
        </w:rPr>
      </w:pPr>
    </w:p>
    <w:p>
      <w:pPr>
        <w:jc w:val="both"/>
        <w:ind w:left="200" w:right="119"/>
        <w:spacing w:after="0" w:line="251" w:lineRule="auto"/>
        <w:rPr>
          <w:sz w:val="20"/>
          <w:szCs w:val="20"/>
          <w:color w:val="auto"/>
        </w:rPr>
      </w:pPr>
      <w:r>
        <w:rPr>
          <w:rFonts w:ascii="Arial" w:cs="Arial" w:eastAsia="Arial" w:hAnsi="Arial"/>
          <w:sz w:val="15"/>
          <w:szCs w:val="15"/>
          <w:color w:val="auto"/>
        </w:rPr>
        <w:t>Ms. Arnold has served as an independent Director of FreightCar America, Inc., a railroad freight car manufacturer and parts supplier, since 2019, serves as its audit committee chairperson and serves on the nominating and corporate governance committee and compensation committee. From October 2014 to 2019, Ms. Arnold served as the Senior Vice President, Chief Financial Officer and Treasurer of Houghton International, a specialty chemical company with international operations where she also had responsibility for the information technology department. From October 2012 to April 2014, Ms. Arnold served as the Chief Financial Officer of Physiotherapy Associates where she also had responsibility for the information technology department. Prior to that, Ms. Arnold served as the Chief Financial Officer of Tyco Flow Control from April 2010 to September 2012, having previously served as the Vice President, Corporate Financial Planning &amp; Analysis at Tyco International. Earlier in her career, Ms. Arnold served in numerous roles, including executive leadership positions, for GE, a global high-tech industrial company with products and services ranging from aircraft engines, power generation and oil and gas production to medical imaging.</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Key Attributes,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90805</wp:posOffset>
            </wp:positionV>
            <wp:extent cx="4801235" cy="339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01235"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9"/>
              </w:rPr>
              <w:t>Public</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Human</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Regulatory/</w:t>
            </w:r>
          </w:p>
        </w:tc>
        <w:tc>
          <w:tcPr>
            <w:tcW w:w="700" w:type="dxa"/>
            <w:vAlign w:val="bottom"/>
          </w:tcPr>
          <w:p>
            <w:pPr>
              <w:spacing w:after="0"/>
              <w:rPr>
                <w:sz w:val="12"/>
                <w:szCs w:val="12"/>
                <w:color w:val="auto"/>
              </w:rPr>
            </w:pPr>
          </w:p>
        </w:tc>
      </w:tr>
      <w:tr>
        <w:trPr>
          <w:trHeight w:val="178"/>
        </w:trPr>
        <w:tc>
          <w:tcPr>
            <w:tcW w:w="620" w:type="dxa"/>
            <w:vAlign w:val="bottom"/>
          </w:tcPr>
          <w:p>
            <w:pPr>
              <w:jc w:val="center"/>
              <w:ind w:right="8"/>
              <w:spacing w:after="0"/>
              <w:rPr>
                <w:sz w:val="20"/>
                <w:szCs w:val="20"/>
                <w:color w:val="auto"/>
              </w:rPr>
            </w:pPr>
            <w:r>
              <w:rPr>
                <w:rFonts w:ascii="Arial" w:cs="Arial" w:eastAsia="Arial" w:hAnsi="Arial"/>
                <w:sz w:val="10"/>
                <w:szCs w:val="10"/>
                <w:b w:val="1"/>
                <w:bCs w:val="1"/>
                <w:color w:val="auto"/>
              </w:rPr>
              <w:t>Senior</w:t>
            </w:r>
          </w:p>
        </w:tc>
        <w:tc>
          <w:tcPr>
            <w:tcW w:w="6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Company</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Chemical</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Corporate</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Manufacturing/</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Capital</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Legal/</w:t>
            </w:r>
          </w:p>
        </w:tc>
        <w:tc>
          <w:tcPr>
            <w:tcW w:w="700" w:type="dxa"/>
            <w:vAlign w:val="bottom"/>
          </w:tcPr>
          <w:p>
            <w:pPr>
              <w:jc w:val="center"/>
              <w:ind w:left="68"/>
              <w:spacing w:after="0"/>
              <w:rPr>
                <w:sz w:val="20"/>
                <w:szCs w:val="20"/>
                <w:color w:val="auto"/>
              </w:rPr>
            </w:pPr>
            <w:r>
              <w:rPr>
                <w:rFonts w:ascii="Arial" w:cs="Arial" w:eastAsia="Arial" w:hAnsi="Arial"/>
                <w:sz w:val="10"/>
                <w:szCs w:val="10"/>
                <w:b w:val="1"/>
                <w:bCs w:val="1"/>
                <w:color w:val="auto"/>
              </w:rPr>
              <w:t>Information</w:t>
            </w:r>
          </w:p>
        </w:tc>
      </w:tr>
      <w:tr>
        <w:trPr>
          <w:trHeight w:val="178"/>
        </w:trPr>
        <w:tc>
          <w:tcPr>
            <w:tcW w:w="620" w:type="dxa"/>
            <w:vAlign w:val="bottom"/>
          </w:tcPr>
          <w:p>
            <w:pPr>
              <w:jc w:val="center"/>
              <w:ind w:right="8"/>
              <w:spacing w:after="0"/>
              <w:rPr>
                <w:sz w:val="20"/>
                <w:szCs w:val="20"/>
                <w:color w:val="auto"/>
              </w:rPr>
            </w:pPr>
            <w:r>
              <w:rPr>
                <w:rFonts w:ascii="Arial" w:cs="Arial" w:eastAsia="Arial" w:hAnsi="Arial"/>
                <w:sz w:val="10"/>
                <w:szCs w:val="10"/>
                <w:b w:val="1"/>
                <w:bCs w:val="1"/>
                <w:color w:val="auto"/>
              </w:rPr>
              <w:t>Leadership</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rPr>
              <w:t>Financial</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Board</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Industry</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Governance</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Operations</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Management</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M&amp;A</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Compliance</w:t>
            </w:r>
          </w:p>
        </w:tc>
        <w:tc>
          <w:tcPr>
            <w:tcW w:w="700" w:type="dxa"/>
            <w:vAlign w:val="bottom"/>
          </w:tcPr>
          <w:p>
            <w:pPr>
              <w:jc w:val="center"/>
              <w:ind w:left="68"/>
              <w:spacing w:after="0"/>
              <w:rPr>
                <w:sz w:val="20"/>
                <w:szCs w:val="20"/>
                <w:color w:val="auto"/>
              </w:rPr>
            </w:pPr>
            <w:r>
              <w:rPr>
                <w:rFonts w:ascii="Arial" w:cs="Arial" w:eastAsia="Arial" w:hAnsi="Arial"/>
                <w:sz w:val="10"/>
                <w:szCs w:val="10"/>
                <w:b w:val="1"/>
                <w:bCs w:val="1"/>
                <w:color w:val="auto"/>
              </w:rPr>
              <w:t>Security</w:t>
            </w:r>
          </w:p>
        </w:tc>
      </w:tr>
      <w:tr>
        <w:trPr>
          <w:trHeight w:val="178"/>
        </w:trPr>
        <w:tc>
          <w:tcPr>
            <w:tcW w:w="620" w:type="dxa"/>
            <w:vAlign w:val="bottom"/>
          </w:tcPr>
          <w:p>
            <w:pPr>
              <w:jc w:val="center"/>
              <w:ind w:right="8"/>
              <w:spacing w:after="0"/>
              <w:rPr>
                <w:sz w:val="20"/>
                <w:szCs w:val="20"/>
                <w:color w:val="auto"/>
              </w:rPr>
            </w:pPr>
            <w:r>
              <w:rPr>
                <w:rFonts w:ascii="Arial" w:cs="Arial" w:eastAsia="Arial" w:hAnsi="Arial"/>
                <w:sz w:val="10"/>
                <w:szCs w:val="10"/>
                <w:b w:val="1"/>
                <w:bCs w:val="1"/>
                <w:color w:val="auto"/>
              </w:rPr>
              <w:t>Experience</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98"/>
              </w:rPr>
              <w:t>Literacy</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8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00" w:type="dxa"/>
            <w:vAlign w:val="bottom"/>
          </w:tcPr>
          <w:p>
            <w:pPr>
              <w:jc w:val="center"/>
              <w:ind w:left="48"/>
              <w:spacing w:after="0"/>
              <w:rPr>
                <w:sz w:val="20"/>
                <w:szCs w:val="20"/>
                <w:color w:val="auto"/>
              </w:rPr>
            </w:pPr>
            <w:r>
              <w:rPr>
                <w:rFonts w:ascii="Arial" w:cs="Arial" w:eastAsia="Arial" w:hAnsi="Arial"/>
                <w:sz w:val="10"/>
                <w:szCs w:val="10"/>
                <w:b w:val="1"/>
                <w:bCs w:val="1"/>
                <w:color w:val="auto"/>
              </w:rPr>
              <w:t>Experience</w:t>
            </w:r>
          </w:p>
        </w:tc>
      </w:tr>
    </w:tbl>
    <w:p>
      <w:pPr>
        <w:spacing w:after="0" w:line="137"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Ms. Arnold has an in-depth knowledge of the chemical industry and has held several senior management positions during her career. She brings industry knowledge and financial expertise and experience in information technology, including cyber security, to the Company.</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additional detail, see our Board Skills Matrix on page 34.</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21"/>
          <w:szCs w:val="21"/>
          <w:b w:val="1"/>
          <w:bCs w:val="1"/>
          <w:i w:val="1"/>
          <w:iCs w:val="1"/>
          <w:u w:val="single" w:color="auto"/>
          <w:color w:val="auto"/>
        </w:rPr>
        <w:t>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125730</wp:posOffset>
            </wp:positionV>
            <wp:extent cx="5515610" cy="813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15610" cy="813435"/>
                    </a:xfrm>
                    <a:prstGeom prst="rect">
                      <a:avLst/>
                    </a:prstGeom>
                    <a:noFill/>
                  </pic:spPr>
                </pic:pic>
              </a:graphicData>
            </a:graphic>
          </wp:anchor>
        </w:drawing>
      </w:r>
    </w:p>
    <w:p>
      <w:pPr>
        <w:spacing w:after="0" w:line="382" w:lineRule="exact"/>
        <w:rPr>
          <w:sz w:val="20"/>
          <w:szCs w:val="20"/>
          <w:color w:val="auto"/>
        </w:rPr>
      </w:pPr>
    </w:p>
    <w:p>
      <w:pPr>
        <w:jc w:val="center"/>
        <w:ind w:right="-1360"/>
        <w:spacing w:after="0"/>
        <w:rPr>
          <w:sz w:val="20"/>
          <w:szCs w:val="20"/>
          <w:color w:val="auto"/>
        </w:rPr>
      </w:pPr>
      <w:r>
        <w:rPr>
          <w:rFonts w:ascii="Arial" w:cs="Arial" w:eastAsia="Arial" w:hAnsi="Arial"/>
          <w:sz w:val="14"/>
          <w:szCs w:val="14"/>
          <w:b w:val="1"/>
          <w:bCs w:val="1"/>
          <w:color w:val="FFFFFF"/>
        </w:rPr>
        <w:t>Mr. Milton C. Blackmore</w:t>
      </w:r>
    </w:p>
    <w:p>
      <w:pPr>
        <w:spacing w:after="0" w:line="6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Age: 78</w:t>
      </w:r>
    </w:p>
    <w:p>
      <w:pPr>
        <w:spacing w:after="0" w:line="6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Director since June 1, 2010, Chairman of the Board</w:t>
      </w:r>
    </w:p>
    <w:p>
      <w:pPr>
        <w:spacing w:after="0" w:line="6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Committees: Compensation Committee, Audit Committee</w:t>
      </w:r>
    </w:p>
    <w:p>
      <w:pPr>
        <w:spacing w:after="0" w:line="200" w:lineRule="exact"/>
        <w:rPr>
          <w:sz w:val="20"/>
          <w:szCs w:val="20"/>
          <w:color w:val="auto"/>
        </w:rPr>
      </w:pPr>
    </w:p>
    <w:p>
      <w:pPr>
        <w:spacing w:after="0" w:line="211" w:lineRule="exact"/>
        <w:rPr>
          <w:sz w:val="20"/>
          <w:szCs w:val="20"/>
          <w:color w:val="auto"/>
        </w:rPr>
      </w:pPr>
    </w:p>
    <w:p>
      <w:pPr>
        <w:jc w:val="both"/>
        <w:ind w:left="200" w:right="119"/>
        <w:spacing w:after="0" w:line="252" w:lineRule="auto"/>
        <w:rPr>
          <w:sz w:val="20"/>
          <w:szCs w:val="20"/>
          <w:color w:val="auto"/>
        </w:rPr>
      </w:pPr>
      <w:r>
        <w:rPr>
          <w:rFonts w:ascii="Arial" w:cs="Arial" w:eastAsia="Arial" w:hAnsi="Arial"/>
          <w:sz w:val="15"/>
          <w:szCs w:val="15"/>
          <w:color w:val="auto"/>
        </w:rPr>
        <w:t>Mr. Blackmore serves as Non-Executive Chairman of the Company. Mr. Blackmore was most recently the Senior Vice President, Marketing and Product Supply for Sinclair Oil Corporation, one of the largest independent oil companies in the U.S. Sinclair recently merged with Holly Frontier of Dallas, TX, which is now known as HF Sinclair Corporation. Mr. Blackmore served on its board of directors until his retirement in 2009, having previously held a number of senior marketing roles within that company. He was also Chairman of Sinclair Marketing Inc., which is Sinclair Oil Corporation’s convenience store business. Before joining Sinclair in 1995, Mr. Blackmore was with Kerr- McGee Refining Corporation for twenty-six years, progressing through a variety of accounting, marketing and general management positions, ultimately serving as General Manager, Branded Marketing for three years. Mr. Blackmore has a Bachelor of Science degree in Business Administration from Panhandle State University in Oklahoma.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1330960</wp:posOffset>
            </wp:positionV>
            <wp:extent cx="297180" cy="290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2" w:name="page43"/>
    <w:bookmarkEnd w:id="42"/>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Key Attributes,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90805</wp:posOffset>
            </wp:positionV>
            <wp:extent cx="4752340" cy="339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5234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Human</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jc w:val="center"/>
              <w:ind w:left="88"/>
              <w:spacing w:after="0"/>
              <w:rPr>
                <w:sz w:val="20"/>
                <w:szCs w:val="20"/>
                <w:color w:val="auto"/>
              </w:rPr>
            </w:pPr>
            <w:r>
              <w:rPr>
                <w:rFonts w:ascii="Arial" w:cs="Arial" w:eastAsia="Arial" w:hAnsi="Arial"/>
                <w:sz w:val="10"/>
                <w:szCs w:val="10"/>
                <w:b w:val="1"/>
                <w:bCs w:val="1"/>
                <w:color w:val="auto"/>
              </w:rPr>
              <w:t>Regulatory/</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Senior</w:t>
            </w:r>
          </w:p>
        </w:tc>
        <w:tc>
          <w:tcPr>
            <w:tcW w:w="7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Chemical</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Corporate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Manufacturing/</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Capital</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jc w:val="center"/>
              <w:ind w:left="68"/>
              <w:spacing w:after="0"/>
              <w:rPr>
                <w:sz w:val="20"/>
                <w:szCs w:val="20"/>
                <w:color w:val="auto"/>
              </w:rPr>
            </w:pPr>
            <w:r>
              <w:rPr>
                <w:rFonts w:ascii="Arial" w:cs="Arial" w:eastAsia="Arial" w:hAnsi="Arial"/>
                <w:sz w:val="10"/>
                <w:szCs w:val="10"/>
                <w:b w:val="1"/>
                <w:bCs w:val="1"/>
                <w:color w:val="auto"/>
              </w:rPr>
              <w:t>Legal/</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Leadership</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Financial</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Industry</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Governance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Operations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Management</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M&amp;A</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740" w:type="dxa"/>
            <w:vAlign w:val="bottom"/>
          </w:tcPr>
          <w:p>
            <w:pPr>
              <w:jc w:val="center"/>
              <w:ind w:left="88"/>
              <w:spacing w:after="0"/>
              <w:rPr>
                <w:sz w:val="20"/>
                <w:szCs w:val="20"/>
                <w:color w:val="auto"/>
              </w:rPr>
            </w:pPr>
            <w:r>
              <w:rPr>
                <w:rFonts w:ascii="Arial" w:cs="Arial" w:eastAsia="Arial" w:hAnsi="Arial"/>
                <w:sz w:val="10"/>
                <w:szCs w:val="10"/>
                <w:b w:val="1"/>
                <w:bCs w:val="1"/>
                <w:color w:val="auto"/>
              </w:rPr>
              <w:t>Compliance</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Experience</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Literacy</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40" w:type="dxa"/>
            <w:vAlign w:val="bottom"/>
          </w:tcPr>
          <w:p>
            <w:pPr>
              <w:jc w:val="center"/>
              <w:ind w:left="88"/>
              <w:spacing w:after="0"/>
              <w:rPr>
                <w:sz w:val="20"/>
                <w:szCs w:val="20"/>
                <w:color w:val="auto"/>
              </w:rPr>
            </w:pPr>
            <w:r>
              <w:rPr>
                <w:rFonts w:ascii="Arial" w:cs="Arial" w:eastAsia="Arial" w:hAnsi="Arial"/>
                <w:sz w:val="10"/>
                <w:szCs w:val="10"/>
                <w:b w:val="1"/>
                <w:bCs w:val="1"/>
                <w:color w:val="auto"/>
              </w:rPr>
              <w:t>Experience</w:t>
            </w:r>
          </w:p>
        </w:tc>
      </w:tr>
    </w:tbl>
    <w:p>
      <w:pPr>
        <w:spacing w:after="0" w:line="137"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Mr. Blackmore has an in-depth knowledge of the chemical industry, particularly the oil sector and has held several senior positions during his career. He brings industry knowledge, financial and marketing expertise to the Company.</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additional detail, see our Board Skills Matrix on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90805</wp:posOffset>
            </wp:positionV>
            <wp:extent cx="5515610" cy="813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15610" cy="813435"/>
                    </a:xfrm>
                    <a:prstGeom prst="rect">
                      <a:avLst/>
                    </a:prstGeom>
                    <a:noFill/>
                  </pic:spPr>
                </pic:pic>
              </a:graphicData>
            </a:graphic>
          </wp:anchor>
        </w:drawing>
      </w:r>
    </w:p>
    <w:p>
      <w:pPr>
        <w:spacing w:after="0" w:line="260"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FFFFFF"/>
        </w:rPr>
        <w:t>Mr. Leslie J. Parrette</w:t>
      </w:r>
    </w:p>
    <w:p>
      <w:pPr>
        <w:spacing w:after="0" w:line="51" w:lineRule="exact"/>
        <w:rPr>
          <w:sz w:val="20"/>
          <w:szCs w:val="20"/>
          <w:color w:val="auto"/>
        </w:rPr>
      </w:pPr>
    </w:p>
    <w:p>
      <w:pPr>
        <w:ind w:left="4940"/>
        <w:spacing w:after="0"/>
        <w:rPr>
          <w:sz w:val="20"/>
          <w:szCs w:val="20"/>
          <w:color w:val="auto"/>
        </w:rPr>
      </w:pPr>
      <w:r>
        <w:rPr>
          <w:rFonts w:ascii="Arial" w:cs="Arial" w:eastAsia="Arial" w:hAnsi="Arial"/>
          <w:sz w:val="14"/>
          <w:szCs w:val="14"/>
          <w:color w:val="FFFFFF"/>
        </w:rPr>
        <w:t>Age: 64</w:t>
      </w:r>
    </w:p>
    <w:p>
      <w:pPr>
        <w:spacing w:after="0" w:line="51" w:lineRule="exact"/>
        <w:rPr>
          <w:sz w:val="20"/>
          <w:szCs w:val="20"/>
          <w:color w:val="auto"/>
        </w:rPr>
      </w:pPr>
    </w:p>
    <w:p>
      <w:pPr>
        <w:ind w:left="4240"/>
        <w:spacing w:after="0"/>
        <w:rPr>
          <w:sz w:val="20"/>
          <w:szCs w:val="20"/>
          <w:color w:val="auto"/>
        </w:rPr>
      </w:pPr>
      <w:r>
        <w:rPr>
          <w:rFonts w:ascii="Arial" w:cs="Arial" w:eastAsia="Arial" w:hAnsi="Arial"/>
          <w:sz w:val="14"/>
          <w:szCs w:val="14"/>
          <w:color w:val="FFFFFF"/>
        </w:rPr>
        <w:t>Director since January 1, 2022</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4"/>
          <w:szCs w:val="14"/>
          <w:color w:val="FFFFFF"/>
        </w:rPr>
        <w:t>Committees: Compensation Committee, Nominating,</w:t>
      </w:r>
    </w:p>
    <w:p>
      <w:pPr>
        <w:spacing w:after="0" w:line="9"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Corporate Governance and Sustainability Committee</w:t>
      </w:r>
    </w:p>
    <w:p>
      <w:pPr>
        <w:spacing w:after="0" w:line="331" w:lineRule="exact"/>
        <w:rPr>
          <w:sz w:val="20"/>
          <w:szCs w:val="20"/>
          <w:color w:val="auto"/>
        </w:rPr>
      </w:pPr>
    </w:p>
    <w:p>
      <w:pPr>
        <w:jc w:val="both"/>
        <w:ind w:left="200" w:right="119"/>
        <w:spacing w:after="0" w:line="251" w:lineRule="auto"/>
        <w:rPr>
          <w:sz w:val="20"/>
          <w:szCs w:val="20"/>
          <w:color w:val="auto"/>
        </w:rPr>
      </w:pPr>
      <w:r>
        <w:rPr>
          <w:rFonts w:ascii="Arial" w:cs="Arial" w:eastAsia="Arial" w:hAnsi="Arial"/>
          <w:sz w:val="15"/>
          <w:szCs w:val="15"/>
          <w:color w:val="auto"/>
        </w:rPr>
        <w:t>Mr. Parrette is currently the President of One Page Thinking, a data visualization company he founded in 2003. For more than 20 years, he has served as General Counsel and Chief Compliance Officer for several public companies in domestic and international markets across a variety of industries, including energy trading, electric and gas utilities, natural gas pipelines, aluminum manufacturing, and electrical product distribution. In 2005, he joined Novelis Inc., a subsidiary of Hindalco Industries Ltd., an aluminum rolling and recycling company serving as Senior Vice President, General Counsel, Compliance Officer, and Corporate Secretary until 2020. Prior to this, in 2000, Mr. Parrette joined Aquila, Inc., an international electricity and natural gas utility company, as Senior Vice President, General Counsel, and Secretary. In 1992, he joined Blackwell Sanders, LLP as a Senior Partner and Chair of the law firm’s International Committee. He is a member of the Nominating, Corporate Governance and Sustainability Committee and the Compensation Committee. Mr. Parrette has a Bachelor of Arts degree in Sociology from Harvard College and a J.D. degree from Harvard Law School.</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Key Attributes,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90805</wp:posOffset>
            </wp:positionV>
            <wp:extent cx="3075940" cy="339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07594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Human</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Regulatory/</w:t>
            </w:r>
          </w:p>
        </w:tc>
        <w:tc>
          <w:tcPr>
            <w:tcW w:w="720" w:type="dxa"/>
            <w:vAlign w:val="bottom"/>
          </w:tcPr>
          <w:p>
            <w:pPr>
              <w:spacing w:after="0"/>
              <w:rPr>
                <w:sz w:val="12"/>
                <w:szCs w:val="12"/>
                <w:color w:val="auto"/>
              </w:rPr>
            </w:pP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Senior</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Corporate</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Capital</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Legal/</w:t>
            </w:r>
          </w:p>
        </w:tc>
        <w:tc>
          <w:tcPr>
            <w:tcW w:w="720" w:type="dxa"/>
            <w:vAlign w:val="bottom"/>
          </w:tcPr>
          <w:p>
            <w:pPr>
              <w:jc w:val="center"/>
              <w:ind w:left="108"/>
              <w:spacing w:after="0"/>
              <w:rPr>
                <w:sz w:val="20"/>
                <w:szCs w:val="20"/>
                <w:color w:val="auto"/>
              </w:rPr>
            </w:pPr>
            <w:r>
              <w:rPr>
                <w:rFonts w:ascii="Arial" w:cs="Arial" w:eastAsia="Arial" w:hAnsi="Arial"/>
                <w:sz w:val="10"/>
                <w:szCs w:val="10"/>
                <w:b w:val="1"/>
                <w:bCs w:val="1"/>
                <w:color w:val="auto"/>
              </w:rPr>
              <w:t>Information</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Leadership</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Governance</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Management</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6"/>
              </w:rPr>
              <w:t>M&amp;A</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Compliance</w:t>
            </w:r>
          </w:p>
        </w:tc>
        <w:tc>
          <w:tcPr>
            <w:tcW w:w="720" w:type="dxa"/>
            <w:vAlign w:val="bottom"/>
          </w:tcPr>
          <w:p>
            <w:pPr>
              <w:jc w:val="center"/>
              <w:ind w:left="108"/>
              <w:spacing w:after="0"/>
              <w:rPr>
                <w:sz w:val="20"/>
                <w:szCs w:val="20"/>
                <w:color w:val="auto"/>
              </w:rPr>
            </w:pPr>
            <w:r>
              <w:rPr>
                <w:rFonts w:ascii="Arial" w:cs="Arial" w:eastAsia="Arial" w:hAnsi="Arial"/>
                <w:sz w:val="10"/>
                <w:szCs w:val="10"/>
                <w:b w:val="1"/>
                <w:bCs w:val="1"/>
                <w:color w:val="auto"/>
              </w:rPr>
              <w:t>Security</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20" w:type="dxa"/>
            <w:vAlign w:val="bottom"/>
          </w:tcPr>
          <w:p>
            <w:pPr>
              <w:jc w:val="center"/>
              <w:ind w:left="108"/>
              <w:spacing w:after="0"/>
              <w:rPr>
                <w:sz w:val="20"/>
                <w:szCs w:val="20"/>
                <w:color w:val="auto"/>
              </w:rPr>
            </w:pPr>
            <w:r>
              <w:rPr>
                <w:rFonts w:ascii="Arial" w:cs="Arial" w:eastAsia="Arial" w:hAnsi="Arial"/>
                <w:sz w:val="10"/>
                <w:szCs w:val="10"/>
                <w:b w:val="1"/>
                <w:bCs w:val="1"/>
                <w:color w:val="auto"/>
              </w:rPr>
              <w:t>Experience</w:t>
            </w:r>
          </w:p>
        </w:tc>
      </w:tr>
    </w:tbl>
    <w:p>
      <w:pPr>
        <w:spacing w:after="0" w:line="148" w:lineRule="exact"/>
        <w:rPr>
          <w:sz w:val="20"/>
          <w:szCs w:val="20"/>
          <w:color w:val="auto"/>
        </w:rPr>
      </w:pPr>
    </w:p>
    <w:p>
      <w:pPr>
        <w:ind w:left="200" w:right="119"/>
        <w:spacing w:after="0" w:line="281" w:lineRule="auto"/>
        <w:rPr>
          <w:sz w:val="20"/>
          <w:szCs w:val="20"/>
          <w:color w:val="auto"/>
        </w:rPr>
      </w:pPr>
      <w:r>
        <w:rPr>
          <w:rFonts w:ascii="Arial" w:cs="Arial" w:eastAsia="Arial" w:hAnsi="Arial"/>
          <w:sz w:val="15"/>
          <w:szCs w:val="15"/>
          <w:color w:val="auto"/>
        </w:rPr>
        <w:t>Mr. Parrette brings significant legal, compliance and governance expertise to the Board, which is invaluable in a heavily regulated industry in which the Company operates.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additional detail, see our Board Skills Matrix on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2021205</wp:posOffset>
            </wp:positionV>
            <wp:extent cx="297180" cy="290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3" w:name="page44"/>
    <w:bookmarkEnd w:id="43"/>
    <w:p>
      <w:pPr>
        <w:spacing w:after="0" w:line="98" w:lineRule="exact"/>
        <w:rPr>
          <w:sz w:val="20"/>
          <w:szCs w:val="20"/>
          <w:color w:val="auto"/>
        </w:rPr>
      </w:pPr>
    </w:p>
    <w:p>
      <w:pPr>
        <w:ind w:left="200"/>
        <w:spacing w:after="0"/>
        <w:rPr>
          <w:sz w:val="20"/>
          <w:szCs w:val="20"/>
          <w:color w:val="auto"/>
        </w:rPr>
      </w:pPr>
      <w:r>
        <w:rPr>
          <w:rFonts w:ascii="Arial" w:cs="Arial" w:eastAsia="Arial" w:hAnsi="Arial"/>
          <w:sz w:val="21"/>
          <w:szCs w:val="21"/>
          <w:b w:val="1"/>
          <w:bCs w:val="1"/>
          <w:i w:val="1"/>
          <w:iCs w:val="1"/>
          <w:u w:val="single" w:color="auto"/>
          <w:color w:val="auto"/>
        </w:rPr>
        <w:t>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125730</wp:posOffset>
            </wp:positionV>
            <wp:extent cx="5515610" cy="813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15610" cy="813435"/>
                    </a:xfrm>
                    <a:prstGeom prst="rect">
                      <a:avLst/>
                    </a:prstGeom>
                    <a:noFill/>
                  </pic:spPr>
                </pic:pic>
              </a:graphicData>
            </a:graphic>
          </wp:anchor>
        </w:drawing>
      </w:r>
    </w:p>
    <w:p>
      <w:pPr>
        <w:spacing w:after="0" w:line="304"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FFFFFF"/>
        </w:rPr>
        <w:t>Mr. David F. Landless</w:t>
      </w:r>
    </w:p>
    <w:p>
      <w:pPr>
        <w:spacing w:after="0" w:line="62" w:lineRule="exact"/>
        <w:rPr>
          <w:sz w:val="20"/>
          <w:szCs w:val="20"/>
          <w:color w:val="auto"/>
        </w:rPr>
      </w:pPr>
    </w:p>
    <w:p>
      <w:pPr>
        <w:ind w:left="4940"/>
        <w:spacing w:after="0"/>
        <w:rPr>
          <w:sz w:val="20"/>
          <w:szCs w:val="20"/>
          <w:color w:val="auto"/>
        </w:rPr>
      </w:pPr>
      <w:r>
        <w:rPr>
          <w:rFonts w:ascii="Arial" w:cs="Arial" w:eastAsia="Arial" w:hAnsi="Arial"/>
          <w:sz w:val="14"/>
          <w:szCs w:val="14"/>
          <w:color w:val="FFFFFF"/>
        </w:rPr>
        <w:t>Age: 66</w:t>
      </w:r>
    </w:p>
    <w:p>
      <w:pPr>
        <w:spacing w:after="0" w:line="62" w:lineRule="exact"/>
        <w:rPr>
          <w:sz w:val="20"/>
          <w:szCs w:val="20"/>
          <w:color w:val="auto"/>
        </w:rPr>
      </w:pPr>
    </w:p>
    <w:p>
      <w:pPr>
        <w:ind w:left="4240"/>
        <w:spacing w:after="0"/>
        <w:rPr>
          <w:sz w:val="20"/>
          <w:szCs w:val="20"/>
          <w:color w:val="auto"/>
        </w:rPr>
      </w:pPr>
      <w:r>
        <w:rPr>
          <w:rFonts w:ascii="Arial" w:cs="Arial" w:eastAsia="Arial" w:hAnsi="Arial"/>
          <w:sz w:val="14"/>
          <w:szCs w:val="14"/>
          <w:color w:val="FFFFFF"/>
        </w:rPr>
        <w:t>Director since January 1, 2016</w:t>
      </w:r>
    </w:p>
    <w:p>
      <w:pPr>
        <w:spacing w:after="0" w:line="62" w:lineRule="exact"/>
        <w:rPr>
          <w:sz w:val="20"/>
          <w:szCs w:val="20"/>
          <w:color w:val="auto"/>
        </w:rPr>
      </w:pPr>
    </w:p>
    <w:p>
      <w:pPr>
        <w:ind w:left="3600"/>
        <w:spacing w:after="0"/>
        <w:rPr>
          <w:sz w:val="20"/>
          <w:szCs w:val="20"/>
          <w:color w:val="auto"/>
        </w:rPr>
      </w:pPr>
      <w:r>
        <w:rPr>
          <w:rFonts w:ascii="Arial" w:cs="Arial" w:eastAsia="Arial" w:hAnsi="Arial"/>
          <w:sz w:val="14"/>
          <w:szCs w:val="14"/>
          <w:color w:val="FFFFFF"/>
        </w:rPr>
        <w:t>Committees: Audit Committee (Chair), Nominating,</w:t>
      </w:r>
    </w:p>
    <w:p>
      <w:pPr>
        <w:spacing w:after="0" w:line="20"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Corporate Governance and Sustainability Committee</w:t>
      </w:r>
    </w:p>
    <w:p>
      <w:pPr>
        <w:spacing w:after="0" w:line="308" w:lineRule="exact"/>
        <w:rPr>
          <w:sz w:val="20"/>
          <w:szCs w:val="20"/>
          <w:color w:val="auto"/>
        </w:rPr>
      </w:pPr>
    </w:p>
    <w:p>
      <w:pPr>
        <w:jc w:val="both"/>
        <w:ind w:left="200" w:right="119"/>
        <w:spacing w:after="0" w:line="250" w:lineRule="auto"/>
        <w:rPr>
          <w:sz w:val="20"/>
          <w:szCs w:val="20"/>
          <w:color w:val="auto"/>
        </w:rPr>
      </w:pPr>
      <w:r>
        <w:rPr>
          <w:rFonts w:ascii="Arial" w:cs="Arial" w:eastAsia="Arial" w:hAnsi="Arial"/>
          <w:sz w:val="15"/>
          <w:szCs w:val="15"/>
          <w:color w:val="auto"/>
        </w:rPr>
        <w:t>Mr. Landless was the Group Finance Director for Bodycote plc, a U.K. listed company, which provides thermal processing services globally for a wide range of industries including aerospace, automotive, oil and gas and construction, for over 17 years until December 2016. From March 2013 to June 2022, he was a Non- Executive Director for Luxfer Holdings plc; a NYSE listed global materials technology company, and was their Audit Committee Chair until May 2019, when he was appointed Chairman of the Board, which role he relinquished in March 2022. In January 2017, he was appointed a Non-Executive Director of Renold plc, a U.K. listed global manufacturer of specialist industrial chain and machinery transmissions and also was a member of and chaired their Audit Committee until August 2021, from which date he became Chairman of the Board. He retired from the Board of Renold plc on its sale and delisting in October 2025. He is also a Non-Executive Director of Ausurus Group Ltd the holding company of European Metal Recycling (EMR), a large private scrap metal recycling company and was appointed to this role in June 2017. Mr. Landless’s early career includes fourteen years with Courtaulds plc, where he held a number of finance roles, ultimately serving as the Finance Director of Courtaulds Coatings (Holdings) Limited from 1997 to 1999. Mr. Landless is a Chartered Management Accountant and has a Bachelor of Science degree in Management Sciences from the University of Manchester Institute of Science and Technology in the U.K.</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Key Attributes,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83820</wp:posOffset>
            </wp:positionV>
            <wp:extent cx="4744720" cy="339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44720"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Public</w:t>
            </w: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Regulatory/</w:t>
            </w:r>
          </w:p>
        </w:tc>
        <w:tc>
          <w:tcPr>
            <w:tcW w:w="720" w:type="dxa"/>
            <w:vAlign w:val="bottom"/>
          </w:tcPr>
          <w:p>
            <w:pPr>
              <w:spacing w:after="0"/>
              <w:rPr>
                <w:sz w:val="12"/>
                <w:szCs w:val="12"/>
                <w:color w:val="auto"/>
              </w:rPr>
            </w:pP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Senior</w:t>
            </w:r>
          </w:p>
        </w:tc>
        <w:tc>
          <w:tcPr>
            <w:tcW w:w="7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Company</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Chemical</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Corporate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Manufacturing/</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Legal/</w:t>
            </w:r>
          </w:p>
        </w:tc>
        <w:tc>
          <w:tcPr>
            <w:tcW w:w="720" w:type="dxa"/>
            <w:vAlign w:val="bottom"/>
          </w:tcPr>
          <w:p>
            <w:pPr>
              <w:jc w:val="center"/>
              <w:ind w:left="88"/>
              <w:spacing w:after="0"/>
              <w:rPr>
                <w:sz w:val="20"/>
                <w:szCs w:val="20"/>
                <w:color w:val="auto"/>
              </w:rPr>
            </w:pPr>
            <w:r>
              <w:rPr>
                <w:rFonts w:ascii="Arial" w:cs="Arial" w:eastAsia="Arial" w:hAnsi="Arial"/>
                <w:sz w:val="10"/>
                <w:szCs w:val="10"/>
                <w:b w:val="1"/>
                <w:bCs w:val="1"/>
                <w:color w:val="auto"/>
              </w:rPr>
              <w:t>Information</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Leadership</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Financial</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Board</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Industry</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Governance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Operations</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6"/>
              </w:rPr>
              <w:t>M&amp;A</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Compliance</w:t>
            </w:r>
          </w:p>
        </w:tc>
        <w:tc>
          <w:tcPr>
            <w:tcW w:w="720" w:type="dxa"/>
            <w:vAlign w:val="bottom"/>
          </w:tcPr>
          <w:p>
            <w:pPr>
              <w:jc w:val="center"/>
              <w:ind w:left="108"/>
              <w:spacing w:after="0"/>
              <w:rPr>
                <w:sz w:val="20"/>
                <w:szCs w:val="20"/>
                <w:color w:val="auto"/>
              </w:rPr>
            </w:pPr>
            <w:r>
              <w:rPr>
                <w:rFonts w:ascii="Arial" w:cs="Arial" w:eastAsia="Arial" w:hAnsi="Arial"/>
                <w:sz w:val="10"/>
                <w:szCs w:val="10"/>
                <w:b w:val="1"/>
                <w:bCs w:val="1"/>
                <w:color w:val="auto"/>
              </w:rPr>
              <w:t>Security</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Experience</w:t>
            </w: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Literacy</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20" w:type="dxa"/>
            <w:vAlign w:val="bottom"/>
          </w:tcPr>
          <w:p>
            <w:pPr>
              <w:jc w:val="center"/>
              <w:ind w:left="108"/>
              <w:spacing w:after="0"/>
              <w:rPr>
                <w:sz w:val="20"/>
                <w:szCs w:val="20"/>
                <w:color w:val="auto"/>
              </w:rPr>
            </w:pPr>
            <w:r>
              <w:rPr>
                <w:rFonts w:ascii="Arial" w:cs="Arial" w:eastAsia="Arial" w:hAnsi="Arial"/>
                <w:sz w:val="10"/>
                <w:szCs w:val="10"/>
                <w:b w:val="1"/>
                <w:bCs w:val="1"/>
                <w:color w:val="auto"/>
              </w:rPr>
              <w:t>Experience</w:t>
            </w:r>
          </w:p>
        </w:tc>
      </w:tr>
    </w:tbl>
    <w:p>
      <w:pPr>
        <w:spacing w:after="0" w:line="148"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Mr. Landless brings significant financial expertise and knowledge of financial reporting with his wealth of experience as a Finance Director and as a Non-Executive Director during his career to date. Mr. Landless also has substantial international experience in the chemicals, paint and engineering sectors.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additional detail, see our Board Skills Matrix on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2961640</wp:posOffset>
            </wp:positionV>
            <wp:extent cx="297180" cy="290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4" w:name="page45"/>
    <w:bookmarkEnd w:id="44"/>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1044575</wp:posOffset>
            </wp:positionH>
            <wp:positionV relativeFrom="page">
              <wp:posOffset>1022350</wp:posOffset>
            </wp:positionV>
            <wp:extent cx="5515610" cy="813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15610" cy="813435"/>
                    </a:xfrm>
                    <a:prstGeom prst="rect">
                      <a:avLst/>
                    </a:prstGeom>
                    <a:noFill/>
                  </pic:spPr>
                </pic:pic>
              </a:graphicData>
            </a:graphic>
          </wp:anchor>
        </w:drawing>
      </w:r>
    </w:p>
    <w:p>
      <w:pPr>
        <w:jc w:val="center"/>
        <w:ind w:right="-1360"/>
        <w:spacing w:after="0"/>
        <w:rPr>
          <w:sz w:val="20"/>
          <w:szCs w:val="20"/>
          <w:color w:val="auto"/>
        </w:rPr>
      </w:pPr>
      <w:r>
        <w:rPr>
          <w:rFonts w:ascii="Arial" w:cs="Arial" w:eastAsia="Arial" w:hAnsi="Arial"/>
          <w:sz w:val="14"/>
          <w:szCs w:val="14"/>
          <w:b w:val="1"/>
          <w:bCs w:val="1"/>
          <w:color w:val="FFFFFF"/>
        </w:rPr>
        <w:t>Mr. Lawrence J. Padfield</w:t>
      </w:r>
    </w:p>
    <w:p>
      <w:pPr>
        <w:spacing w:after="0" w:line="6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Age: 70</w:t>
      </w:r>
    </w:p>
    <w:p>
      <w:pPr>
        <w:spacing w:after="0" w:line="6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Director since December 1, 2012</w:t>
      </w:r>
    </w:p>
    <w:p>
      <w:pPr>
        <w:spacing w:after="0" w:line="6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Committees: Compensation Committee (Chair)</w:t>
      </w:r>
    </w:p>
    <w:p>
      <w:pPr>
        <w:spacing w:after="0" w:line="200" w:lineRule="exact"/>
        <w:rPr>
          <w:sz w:val="20"/>
          <w:szCs w:val="20"/>
          <w:color w:val="auto"/>
        </w:rPr>
      </w:pPr>
    </w:p>
    <w:p>
      <w:pPr>
        <w:spacing w:after="0" w:line="211" w:lineRule="exact"/>
        <w:rPr>
          <w:sz w:val="20"/>
          <w:szCs w:val="20"/>
          <w:color w:val="auto"/>
        </w:rPr>
      </w:pPr>
    </w:p>
    <w:p>
      <w:pPr>
        <w:jc w:val="both"/>
        <w:ind w:left="200" w:right="139"/>
        <w:spacing w:after="0" w:line="254" w:lineRule="auto"/>
        <w:rPr>
          <w:sz w:val="20"/>
          <w:szCs w:val="20"/>
          <w:color w:val="auto"/>
        </w:rPr>
      </w:pPr>
      <w:r>
        <w:rPr>
          <w:rFonts w:ascii="Arial" w:cs="Arial" w:eastAsia="Arial" w:hAnsi="Arial"/>
          <w:sz w:val="15"/>
          <w:szCs w:val="15"/>
          <w:color w:val="auto"/>
        </w:rPr>
        <w:t>Mr. Padfield was a principal and Executive Vice President of Blackline Partners LLC, a closely held private equity and midstream logistics and terminal development company, where he served from 2014 to 2019. He continues to hold the position as the Board Chairman of CAP Technologies, a private U.S. company that has developed and markets a ground-breaking technology for cleaning and coating wire, rebar and plate steel, a position he has held since 2018. In June 2025 Mr. Padfield was appointed Board Chairman of Envirovalve Group Inc., a private U.S.-based company that produces and sells an innovative, patented family of pressure relief valves.</w:t>
      </w:r>
    </w:p>
    <w:p>
      <w:pPr>
        <w:spacing w:after="0" w:line="96"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Prior to forming Blackline Partners, Mr. Padfield was a founding partner and Vice President of U.S. Development Group LLC, an industry leading biofuel and crude oil terminal development company. Mr. Padfield’s early career includes eighteen years at Shell Oil Company where he held a number of roles in marketing, engineering and product supply, ultimately serving as the Business Development and Acquisitions Manager for their terminal and pipeline business. Mr. Padfield has a degree in Civil Engineering from the University of Missouri.</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Key Attributes,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83820</wp:posOffset>
            </wp:positionV>
            <wp:extent cx="4759325" cy="339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59325"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9"/>
              </w:rPr>
              <w:t>Public</w:t>
            </w: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Human</w:t>
            </w:r>
          </w:p>
        </w:tc>
        <w:tc>
          <w:tcPr>
            <w:tcW w:w="840" w:type="dxa"/>
            <w:vAlign w:val="bottom"/>
          </w:tcPr>
          <w:p>
            <w:pPr>
              <w:spacing w:after="0"/>
              <w:rPr>
                <w:sz w:val="12"/>
                <w:szCs w:val="12"/>
                <w:color w:val="auto"/>
              </w:rPr>
            </w:pPr>
          </w:p>
        </w:tc>
        <w:tc>
          <w:tcPr>
            <w:tcW w:w="740" w:type="dxa"/>
            <w:vAlign w:val="bottom"/>
          </w:tcPr>
          <w:p>
            <w:pPr>
              <w:jc w:val="center"/>
              <w:ind w:left="108"/>
              <w:spacing w:after="0"/>
              <w:rPr>
                <w:sz w:val="20"/>
                <w:szCs w:val="20"/>
                <w:color w:val="auto"/>
              </w:rPr>
            </w:pPr>
            <w:r>
              <w:rPr>
                <w:rFonts w:ascii="Arial" w:cs="Arial" w:eastAsia="Arial" w:hAnsi="Arial"/>
                <w:sz w:val="10"/>
                <w:szCs w:val="10"/>
                <w:b w:val="1"/>
                <w:bCs w:val="1"/>
                <w:color w:val="auto"/>
              </w:rPr>
              <w:t>Regulatory/</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Senior</w:t>
            </w:r>
          </w:p>
        </w:tc>
        <w:tc>
          <w:tcPr>
            <w:tcW w:w="7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Company</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Chemical</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Corporate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Manufacturing/</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Capital</w:t>
            </w:r>
          </w:p>
        </w:tc>
        <w:tc>
          <w:tcPr>
            <w:tcW w:w="840" w:type="dxa"/>
            <w:vAlign w:val="bottom"/>
          </w:tcPr>
          <w:p>
            <w:pPr>
              <w:spacing w:after="0"/>
              <w:rPr>
                <w:sz w:val="15"/>
                <w:szCs w:val="15"/>
                <w:color w:val="auto"/>
              </w:rPr>
            </w:pPr>
          </w:p>
        </w:tc>
        <w:tc>
          <w:tcPr>
            <w:tcW w:w="740" w:type="dxa"/>
            <w:vAlign w:val="bottom"/>
          </w:tcPr>
          <w:p>
            <w:pPr>
              <w:jc w:val="center"/>
              <w:ind w:left="108"/>
              <w:spacing w:after="0"/>
              <w:rPr>
                <w:sz w:val="20"/>
                <w:szCs w:val="20"/>
                <w:color w:val="auto"/>
              </w:rPr>
            </w:pPr>
            <w:r>
              <w:rPr>
                <w:rFonts w:ascii="Arial" w:cs="Arial" w:eastAsia="Arial" w:hAnsi="Arial"/>
                <w:sz w:val="10"/>
                <w:szCs w:val="10"/>
                <w:b w:val="1"/>
                <w:bCs w:val="1"/>
                <w:color w:val="auto"/>
              </w:rPr>
              <w:t>Legal/</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Leadership</w:t>
            </w: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rPr>
              <w:t>Financial</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Board</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Industry</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Governance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Operations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Management</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M&amp;A</w:t>
            </w:r>
          </w:p>
        </w:tc>
        <w:tc>
          <w:tcPr>
            <w:tcW w:w="740" w:type="dxa"/>
            <w:vAlign w:val="bottom"/>
          </w:tcPr>
          <w:p>
            <w:pPr>
              <w:jc w:val="center"/>
              <w:ind w:left="108"/>
              <w:spacing w:after="0"/>
              <w:rPr>
                <w:sz w:val="20"/>
                <w:szCs w:val="20"/>
                <w:color w:val="auto"/>
              </w:rPr>
            </w:pPr>
            <w:r>
              <w:rPr>
                <w:rFonts w:ascii="Arial" w:cs="Arial" w:eastAsia="Arial" w:hAnsi="Arial"/>
                <w:sz w:val="10"/>
                <w:szCs w:val="10"/>
                <w:b w:val="1"/>
                <w:bCs w:val="1"/>
                <w:color w:val="auto"/>
              </w:rPr>
              <w:t>Compliance</w:t>
            </w:r>
          </w:p>
        </w:tc>
      </w:tr>
      <w:tr>
        <w:trPr>
          <w:trHeight w:val="178"/>
        </w:trPr>
        <w:tc>
          <w:tcPr>
            <w:tcW w:w="680" w:type="dxa"/>
            <w:vAlign w:val="bottom"/>
          </w:tcPr>
          <w:p>
            <w:pPr>
              <w:jc w:val="center"/>
              <w:ind w:right="68"/>
              <w:spacing w:after="0"/>
              <w:rPr>
                <w:sz w:val="20"/>
                <w:szCs w:val="20"/>
                <w:color w:val="auto"/>
              </w:rPr>
            </w:pPr>
            <w:r>
              <w:rPr>
                <w:rFonts w:ascii="Arial" w:cs="Arial" w:eastAsia="Arial" w:hAnsi="Arial"/>
                <w:sz w:val="10"/>
                <w:szCs w:val="10"/>
                <w:b w:val="1"/>
                <w:bCs w:val="1"/>
                <w:color w:val="auto"/>
              </w:rPr>
              <w:t>Experience</w:t>
            </w: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rPr>
              <w:t>Literacy</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40" w:type="dxa"/>
            <w:vAlign w:val="bottom"/>
          </w:tcPr>
          <w:p>
            <w:pPr>
              <w:jc w:val="center"/>
              <w:ind w:left="108"/>
              <w:spacing w:after="0"/>
              <w:rPr>
                <w:sz w:val="20"/>
                <w:szCs w:val="20"/>
                <w:color w:val="auto"/>
              </w:rPr>
            </w:pPr>
            <w:r>
              <w:rPr>
                <w:rFonts w:ascii="Arial" w:cs="Arial" w:eastAsia="Arial" w:hAnsi="Arial"/>
                <w:sz w:val="10"/>
                <w:szCs w:val="10"/>
                <w:b w:val="1"/>
                <w:bCs w:val="1"/>
                <w:color w:val="auto"/>
              </w:rPr>
              <w:t>Experience</w:t>
            </w:r>
          </w:p>
        </w:tc>
      </w:tr>
    </w:tbl>
    <w:p>
      <w:pPr>
        <w:spacing w:after="0" w:line="148" w:lineRule="exact"/>
        <w:rPr>
          <w:sz w:val="20"/>
          <w:szCs w:val="20"/>
          <w:color w:val="auto"/>
        </w:rPr>
      </w:pPr>
    </w:p>
    <w:p>
      <w:pPr>
        <w:ind w:left="200" w:right="139"/>
        <w:spacing w:after="0" w:line="281" w:lineRule="auto"/>
        <w:rPr>
          <w:sz w:val="20"/>
          <w:szCs w:val="20"/>
          <w:color w:val="auto"/>
        </w:rPr>
      </w:pPr>
      <w:r>
        <w:rPr>
          <w:rFonts w:ascii="Arial" w:cs="Arial" w:eastAsia="Arial" w:hAnsi="Arial"/>
          <w:sz w:val="15"/>
          <w:szCs w:val="15"/>
          <w:color w:val="auto"/>
        </w:rPr>
        <w:t>Mr. Padfield has almost thirty years’ experience in the oil and gas logistics industry, commercial marketing and business development, and his wealth of knowledge in this sector is a valuable resource to the Company.</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additional detail, see our Board Skills Matrix on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3449955</wp:posOffset>
            </wp:positionV>
            <wp:extent cx="297180" cy="290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5" w:name="page46"/>
    <w:bookmarkEnd w:id="45"/>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1044575</wp:posOffset>
            </wp:positionH>
            <wp:positionV relativeFrom="page">
              <wp:posOffset>1022350</wp:posOffset>
            </wp:positionV>
            <wp:extent cx="5515610" cy="813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15610" cy="813435"/>
                    </a:xfrm>
                    <a:prstGeom prst="rect">
                      <a:avLst/>
                    </a:prstGeom>
                    <a:noFill/>
                  </pic:spPr>
                </pic:pic>
              </a:graphicData>
            </a:graphic>
          </wp:anchor>
        </w:drawing>
      </w:r>
    </w:p>
    <w:p>
      <w:pPr>
        <w:jc w:val="center"/>
        <w:ind w:right="-1360"/>
        <w:spacing w:after="0"/>
        <w:rPr>
          <w:sz w:val="20"/>
          <w:szCs w:val="20"/>
          <w:color w:val="auto"/>
        </w:rPr>
      </w:pPr>
      <w:r>
        <w:rPr>
          <w:rFonts w:ascii="Arial" w:cs="Arial" w:eastAsia="Arial" w:hAnsi="Arial"/>
          <w:sz w:val="14"/>
          <w:szCs w:val="14"/>
          <w:b w:val="1"/>
          <w:bCs w:val="1"/>
          <w:color w:val="FFFFFF"/>
        </w:rPr>
        <w:t>Mr. Patrick S. Williams</w:t>
      </w:r>
    </w:p>
    <w:p>
      <w:pPr>
        <w:spacing w:after="0" w:line="6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Age: 61</w:t>
      </w:r>
    </w:p>
    <w:p>
      <w:pPr>
        <w:spacing w:after="0" w:line="6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Director since May 11, 2009</w:t>
      </w:r>
    </w:p>
    <w:p>
      <w:pPr>
        <w:spacing w:after="0" w:line="62" w:lineRule="exact"/>
        <w:rPr>
          <w:sz w:val="20"/>
          <w:szCs w:val="20"/>
          <w:color w:val="auto"/>
        </w:rPr>
      </w:pPr>
    </w:p>
    <w:p>
      <w:pPr>
        <w:jc w:val="center"/>
        <w:ind w:right="-1360"/>
        <w:spacing w:after="0"/>
        <w:rPr>
          <w:sz w:val="20"/>
          <w:szCs w:val="20"/>
          <w:color w:val="auto"/>
        </w:rPr>
      </w:pPr>
      <w:r>
        <w:rPr>
          <w:rFonts w:ascii="Arial" w:cs="Arial" w:eastAsia="Arial" w:hAnsi="Arial"/>
          <w:sz w:val="14"/>
          <w:szCs w:val="14"/>
          <w:color w:val="FFFFFF"/>
        </w:rPr>
        <w:t>Committees: None</w:t>
      </w:r>
    </w:p>
    <w:p>
      <w:pPr>
        <w:spacing w:after="0" w:line="200" w:lineRule="exact"/>
        <w:rPr>
          <w:sz w:val="20"/>
          <w:szCs w:val="20"/>
          <w:color w:val="auto"/>
        </w:rPr>
      </w:pPr>
    </w:p>
    <w:p>
      <w:pPr>
        <w:spacing w:after="0" w:line="211" w:lineRule="exact"/>
        <w:rPr>
          <w:sz w:val="20"/>
          <w:szCs w:val="20"/>
          <w:color w:val="auto"/>
        </w:rPr>
      </w:pPr>
    </w:p>
    <w:p>
      <w:pPr>
        <w:jc w:val="both"/>
        <w:ind w:left="200" w:right="119"/>
        <w:spacing w:after="0" w:line="252" w:lineRule="auto"/>
        <w:rPr>
          <w:sz w:val="20"/>
          <w:szCs w:val="20"/>
          <w:color w:val="auto"/>
        </w:rPr>
      </w:pPr>
      <w:r>
        <w:rPr>
          <w:rFonts w:ascii="Arial" w:cs="Arial" w:eastAsia="Arial" w:hAnsi="Arial"/>
          <w:sz w:val="15"/>
          <w:szCs w:val="15"/>
          <w:color w:val="auto"/>
        </w:rPr>
        <w:t>Mr. Williams has served as President and Chief Executive Officer of the Company since his appointment to this position on April 2, 2009 and as a Director of the Company since May 11, 2009. Prior to holding this position, Mr. Williams was Executive Vice President and President, Fuel Specialties of the Company from 2005 to 2009 and in addition assumed responsibility for the global Performance Chemicals business in 2008. He held a number of senior management and sales leadership positions in Innospec Fuel Specialties LLC, including acting as the Chief Executive Officer of this business from 2004 to 2009. Before joining the predecessor company of Innospec Fuel Specialties LLC, Starreon Corporation, in 1993, Mr. Williams established a number of businesses and currently holds equity positions in an exploration/oil company and general investment companies and a real estate business. Since February 2020, Mr. Williams has served as a Non-Executive Director of AdvanSix Inc., and as a member of its Compensation and Leadership Development Committee and Chair of the Nominating and Corporate Governance Committee.</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Key Attributes,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90805</wp:posOffset>
            </wp:positionV>
            <wp:extent cx="304165" cy="339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4165" cy="339725"/>
                    </a:xfrm>
                    <a:prstGeom prst="rect">
                      <a:avLst/>
                    </a:prstGeom>
                    <a:noFill/>
                  </pic:spPr>
                </pic:pic>
              </a:graphicData>
            </a:graphic>
          </wp:anchor>
        </w:drawing>
        <w:drawing>
          <wp:anchor simplePos="0" relativeHeight="251657728" behindDoc="1" locked="0" layoutInCell="0" allowOverlap="1">
            <wp:simplePos x="0" y="0"/>
            <wp:positionH relativeFrom="column">
              <wp:posOffset>752475</wp:posOffset>
            </wp:positionH>
            <wp:positionV relativeFrom="paragraph">
              <wp:posOffset>90805</wp:posOffset>
            </wp:positionV>
            <wp:extent cx="318135" cy="339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8135" cy="339725"/>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90805</wp:posOffset>
            </wp:positionV>
            <wp:extent cx="3804285" cy="339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04285"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142"/>
        </w:trPr>
        <w:tc>
          <w:tcPr>
            <w:tcW w:w="7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9"/>
              </w:rPr>
              <w:t>Public</w:t>
            </w: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Human</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jc w:val="center"/>
              <w:ind w:left="88"/>
              <w:spacing w:after="0"/>
              <w:rPr>
                <w:sz w:val="20"/>
                <w:szCs w:val="20"/>
                <w:color w:val="auto"/>
              </w:rPr>
            </w:pPr>
            <w:r>
              <w:rPr>
                <w:rFonts w:ascii="Arial" w:cs="Arial" w:eastAsia="Arial" w:hAnsi="Arial"/>
                <w:sz w:val="10"/>
                <w:szCs w:val="10"/>
                <w:b w:val="1"/>
                <w:bCs w:val="1"/>
                <w:color w:val="auto"/>
              </w:rPr>
              <w:t>Regulatory/</w:t>
            </w:r>
          </w:p>
        </w:tc>
      </w:tr>
      <w:tr>
        <w:trPr>
          <w:trHeight w:val="178"/>
        </w:trPr>
        <w:tc>
          <w:tcPr>
            <w:tcW w:w="700" w:type="dxa"/>
            <w:vAlign w:val="bottom"/>
          </w:tcPr>
          <w:p>
            <w:pPr>
              <w:jc w:val="center"/>
              <w:ind w:right="88"/>
              <w:spacing w:after="0"/>
              <w:rPr>
                <w:sz w:val="20"/>
                <w:szCs w:val="20"/>
                <w:color w:val="auto"/>
              </w:rPr>
            </w:pPr>
            <w:r>
              <w:rPr>
                <w:rFonts w:ascii="Arial" w:cs="Arial" w:eastAsia="Arial" w:hAnsi="Arial"/>
                <w:sz w:val="10"/>
                <w:szCs w:val="10"/>
                <w:b w:val="1"/>
                <w:bCs w:val="1"/>
                <w:color w:val="auto"/>
              </w:rPr>
              <w:t>Senior</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Company</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Chemical</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Corporate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Manufacturing/</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Capital</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jc w:val="center"/>
              <w:ind w:left="68"/>
              <w:spacing w:after="0"/>
              <w:rPr>
                <w:sz w:val="20"/>
                <w:szCs w:val="20"/>
                <w:color w:val="auto"/>
              </w:rPr>
            </w:pPr>
            <w:r>
              <w:rPr>
                <w:rFonts w:ascii="Arial" w:cs="Arial" w:eastAsia="Arial" w:hAnsi="Arial"/>
                <w:sz w:val="10"/>
                <w:szCs w:val="10"/>
                <w:b w:val="1"/>
                <w:bCs w:val="1"/>
                <w:color w:val="auto"/>
              </w:rPr>
              <w:t>Legal/</w:t>
            </w:r>
          </w:p>
        </w:tc>
      </w:tr>
      <w:tr>
        <w:trPr>
          <w:trHeight w:val="178"/>
        </w:trPr>
        <w:tc>
          <w:tcPr>
            <w:tcW w:w="700" w:type="dxa"/>
            <w:vAlign w:val="bottom"/>
          </w:tcPr>
          <w:p>
            <w:pPr>
              <w:jc w:val="center"/>
              <w:ind w:right="88"/>
              <w:spacing w:after="0"/>
              <w:rPr>
                <w:sz w:val="20"/>
                <w:szCs w:val="20"/>
                <w:color w:val="auto"/>
              </w:rPr>
            </w:pPr>
            <w:r>
              <w:rPr>
                <w:rFonts w:ascii="Arial" w:cs="Arial" w:eastAsia="Arial" w:hAnsi="Arial"/>
                <w:sz w:val="10"/>
                <w:szCs w:val="10"/>
                <w:b w:val="1"/>
                <w:bCs w:val="1"/>
                <w:color w:val="auto"/>
              </w:rPr>
              <w:t>Leadership</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Board</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Industry</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Governance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Operations</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Management</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M&amp;A</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740" w:type="dxa"/>
            <w:vAlign w:val="bottom"/>
          </w:tcPr>
          <w:p>
            <w:pPr>
              <w:jc w:val="center"/>
              <w:ind w:left="88"/>
              <w:spacing w:after="0"/>
              <w:rPr>
                <w:sz w:val="20"/>
                <w:szCs w:val="20"/>
                <w:color w:val="auto"/>
              </w:rPr>
            </w:pPr>
            <w:r>
              <w:rPr>
                <w:rFonts w:ascii="Arial" w:cs="Arial" w:eastAsia="Arial" w:hAnsi="Arial"/>
                <w:sz w:val="10"/>
                <w:szCs w:val="10"/>
                <w:b w:val="1"/>
                <w:bCs w:val="1"/>
                <w:color w:val="auto"/>
              </w:rPr>
              <w:t>Compliance</w:t>
            </w:r>
          </w:p>
        </w:tc>
      </w:tr>
      <w:tr>
        <w:trPr>
          <w:trHeight w:val="178"/>
        </w:trPr>
        <w:tc>
          <w:tcPr>
            <w:tcW w:w="700" w:type="dxa"/>
            <w:vAlign w:val="bottom"/>
          </w:tcPr>
          <w:p>
            <w:pPr>
              <w:jc w:val="center"/>
              <w:ind w:right="88"/>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Experience</w:t>
            </w:r>
          </w:p>
        </w:tc>
        <w:tc>
          <w:tcPr>
            <w:tcW w:w="740" w:type="dxa"/>
            <w:vAlign w:val="bottom"/>
          </w:tcPr>
          <w:p>
            <w:pPr>
              <w:jc w:val="center"/>
              <w:ind w:left="88"/>
              <w:spacing w:after="0"/>
              <w:rPr>
                <w:sz w:val="20"/>
                <w:szCs w:val="20"/>
                <w:color w:val="auto"/>
              </w:rPr>
            </w:pPr>
            <w:r>
              <w:rPr>
                <w:rFonts w:ascii="Arial" w:cs="Arial" w:eastAsia="Arial" w:hAnsi="Arial"/>
                <w:sz w:val="10"/>
                <w:szCs w:val="10"/>
                <w:b w:val="1"/>
                <w:bCs w:val="1"/>
                <w:color w:val="auto"/>
              </w:rPr>
              <w:t>Experience</w:t>
            </w:r>
          </w:p>
        </w:tc>
      </w:tr>
    </w:tbl>
    <w:p>
      <w:pPr>
        <w:spacing w:after="0" w:line="137"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As the only management representative on the Board, Mr. Williams provides an insider’s perspective in Board discussions about the business and strategic direction of the Company. Mr. Williams has particular experience in the Fuel Specialties, Performance Chemicals and Oilfield Specialties businesses, and brings a wealth of knowledge to the Company.</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For additional detail, see our Board Skills Matrix on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3640455</wp:posOffset>
            </wp:positionV>
            <wp:extent cx="297180" cy="290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6" w:name="page47"/>
    <w:bookmarkEnd w:id="46"/>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4F81BD"/>
        </w:rPr>
        <w:t>DIRECTOR COMPENSATION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4F81BD"/>
        </w:rPr>
        <w:t>Elements of Director Compensation: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 2025, the non-employee director’s compensation was generally a flat annual fee based on the following arrangement: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Annual Retainer:</w:t>
      </w:r>
    </w:p>
    <w:p>
      <w:pPr>
        <w:spacing w:after="0" w:line="128" w:lineRule="exact"/>
        <w:rPr>
          <w:sz w:val="20"/>
          <w:szCs w:val="20"/>
          <w:color w:val="auto"/>
        </w:rPr>
      </w:pPr>
    </w:p>
    <w:p>
      <w:pPr>
        <w:ind w:left="540" w:hanging="335"/>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annual retainer of $200,000, paid quarterly, to the Chairman of the Board.</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annual retainer of $100,000, paid quarterly, for all other NEDs.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Additional Annual Retainers for Board Committee duties as follows:</w:t>
      </w:r>
    </w:p>
    <w:p>
      <w:pPr>
        <w:spacing w:after="0" w:line="128" w:lineRule="exact"/>
        <w:rPr>
          <w:sz w:val="20"/>
          <w:szCs w:val="20"/>
          <w:color w:val="auto"/>
        </w:rPr>
      </w:pPr>
    </w:p>
    <w:p>
      <w:pPr>
        <w:ind w:left="540" w:hanging="335"/>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annual retainer of $16,000, paid quarterly, for the Chair of the Compensation Committee.</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annual retainer of $23,000, paid quarterly, for the Chair of the Audit Committee.</w:t>
      </w:r>
    </w:p>
    <w:p>
      <w:pPr>
        <w:spacing w:after="0" w:line="117"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annual retainer of $14,000, paid quarterly, for the Chair of the Nominating, Corporate Governance and Sustainability Committee.</w:t>
      </w:r>
    </w:p>
    <w:p>
      <w:pPr>
        <w:spacing w:after="0" w:line="74" w:lineRule="exact"/>
        <w:rPr>
          <w:rFonts w:ascii="Arial" w:cs="Arial" w:eastAsia="Arial" w:hAnsi="Arial"/>
          <w:sz w:val="15"/>
          <w:szCs w:val="15"/>
          <w:color w:val="auto"/>
        </w:rPr>
      </w:pPr>
    </w:p>
    <w:p>
      <w:pPr>
        <w:ind w:left="540" w:hanging="335"/>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additional annual retainer of $5,000, paid quarterly, to the members of the Audit Committee.</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 additional daily fees for attendance at Board or Committee meetings or calls, except as provided below.</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In addition to the compensation arrangements described above:</w:t>
      </w:r>
    </w:p>
    <w:p>
      <w:pPr>
        <w:spacing w:after="0" w:line="128" w:lineRule="exact"/>
        <w:rPr>
          <w:sz w:val="20"/>
          <w:szCs w:val="20"/>
          <w:color w:val="auto"/>
        </w:rPr>
      </w:pPr>
    </w:p>
    <w:p>
      <w:pPr>
        <w:ind w:left="540" w:hanging="335"/>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NEDs may receive an additional daily fee of $2,000 for additional days provided at the specific request of the CEO.</w:t>
      </w:r>
    </w:p>
    <w:p>
      <w:pPr>
        <w:spacing w:after="0" w:line="128"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Each NED is entitled to reimbursement for any reasonable out-of-pocket expenses incurred in connection with travel to and from, and attendance at, meetings of the Board or its Committees and related activities.</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Annual Equity grant:</w:t>
      </w:r>
    </w:p>
    <w:p>
      <w:pPr>
        <w:spacing w:after="0" w:line="128" w:lineRule="exact"/>
        <w:rPr>
          <w:sz w:val="20"/>
          <w:szCs w:val="20"/>
          <w:color w:val="auto"/>
        </w:rPr>
      </w:pPr>
    </w:p>
    <w:p>
      <w:pPr>
        <w:jc w:val="both"/>
        <w:ind w:left="540" w:right="139" w:hanging="335"/>
        <w:spacing w:after="0" w:line="258"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Each NED also receives an annual grant of equity under the Innospec Inc. Long-Term Incentive Omnibus Plan (the “Omnibus Plan”) in February of each year, equal to $125,000, based on the closing stock price for Company stock on the date prior to grant. In February 2025, such awards were equity awards in the form of restricted stock units granted at zero cost. Restricted stock units vest after three years.</w:t>
      </w:r>
    </w:p>
    <w:p>
      <w:pPr>
        <w:spacing w:after="0" w:line="93" w:lineRule="exact"/>
        <w:rPr>
          <w:rFonts w:ascii="Arial" w:cs="Arial" w:eastAsia="Arial" w:hAnsi="Arial"/>
          <w:sz w:val="15"/>
          <w:szCs w:val="15"/>
          <w:color w:val="auto"/>
        </w:rPr>
      </w:pPr>
    </w:p>
    <w:p>
      <w:pPr>
        <w:jc w:val="both"/>
        <w:ind w:left="540" w:right="119" w:hanging="335"/>
        <w:spacing w:after="0" w:line="252"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value of the restricted stock units for the Directors included in the “Director Compensation” table, under the column headed “Stock Awards”; the table discloses the grant date fair value of full value awards made under the Omnibus Plan. The value of the restricted stock units is determined using the number of stock awarded and the grant date fair value for each stock awarded is calculated using the Black-Scholes model, with reference to the underlying stock price, volatility of the Company’s stock price, risk free rate and expected dividend yield. For full value awards with additional characteristics, such as vesting criteria linked to stock market indices or stock price performance, a Monte Carlo simulation is used to model the range of potential outcomes. For further information on the assumptions underlying these grant date fair values refer to Note 18 of the Consolidated Financial Statements contained in the Company’s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2397125</wp:posOffset>
            </wp:positionV>
            <wp:extent cx="297180" cy="290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7" w:name="page48"/>
    <w:bookmarkEnd w:id="47"/>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Director Stock Ownership Guidelines</w:t>
      </w:r>
    </w:p>
    <w:p>
      <w:pPr>
        <w:spacing w:after="0" w:line="195"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The Compensation Committee has determined that there should be a minimum stockholding requirement for the NEDs. All NEDs are required to acquire and hold stock valued at the equivalent of five times their annual cash retainer*. These stock ownership levels must be reached within five years of appointment. At the end of 2025, the stockholding for each of the NEDs was greater than five times their annual cash retainer.</w:t>
      </w:r>
    </w:p>
    <w:p>
      <w:pPr>
        <w:spacing w:after="0" w:line="94" w:lineRule="exact"/>
        <w:rPr>
          <w:sz w:val="20"/>
          <w:szCs w:val="20"/>
          <w:color w:val="auto"/>
        </w:rPr>
      </w:pPr>
    </w:p>
    <w:p>
      <w:pPr>
        <w:ind w:left="800" w:hanging="595"/>
        <w:spacing w:after="0"/>
        <w:tabs>
          <w:tab w:leader="none" w:pos="8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following shares of Company stock shall count towards compliance with the Minimum Stockholding Levels:</w:t>
      </w:r>
    </w:p>
    <w:p>
      <w:pPr>
        <w:spacing w:after="0" w:line="117" w:lineRule="exact"/>
        <w:rPr>
          <w:sz w:val="20"/>
          <w:szCs w:val="20"/>
          <w:color w:val="auto"/>
        </w:rPr>
      </w:pPr>
    </w:p>
    <w:p>
      <w:pPr>
        <w:ind w:left="880" w:right="139" w:hanging="675"/>
        <w:spacing w:after="0" w:line="281" w:lineRule="auto"/>
        <w:tabs>
          <w:tab w:leader="none" w:pos="8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Common stock held directly or indirectly for the benefit of immediate family members or in trust for the benefit of such person or such person’s immediate family members</w:t>
      </w:r>
    </w:p>
    <w:p>
      <w:pPr>
        <w:spacing w:after="0" w:line="74" w:lineRule="exact"/>
        <w:rPr>
          <w:rFonts w:ascii="Arial" w:cs="Arial" w:eastAsia="Arial" w:hAnsi="Arial"/>
          <w:sz w:val="15"/>
          <w:szCs w:val="15"/>
          <w:color w:val="auto"/>
        </w:rPr>
      </w:pPr>
    </w:p>
    <w:p>
      <w:pPr>
        <w:ind w:left="880" w:right="119" w:hanging="675"/>
        <w:spacing w:after="0" w:line="281" w:lineRule="auto"/>
        <w:tabs>
          <w:tab w:leader="none" w:pos="8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Common stock, deferred stock, and/or stock units held in Company retirement plans, deferred compensation plans, IRAs, stock purchase plans, or other deferred compensation plan</w:t>
      </w:r>
    </w:p>
    <w:p>
      <w:pPr>
        <w:spacing w:after="0" w:line="74" w:lineRule="exact"/>
        <w:rPr>
          <w:rFonts w:ascii="Arial" w:cs="Arial" w:eastAsia="Arial" w:hAnsi="Arial"/>
          <w:sz w:val="15"/>
          <w:szCs w:val="15"/>
          <w:color w:val="auto"/>
        </w:rPr>
      </w:pPr>
    </w:p>
    <w:p>
      <w:pPr>
        <w:ind w:left="880" w:right="119" w:hanging="675"/>
        <w:spacing w:after="0" w:line="281" w:lineRule="auto"/>
        <w:tabs>
          <w:tab w:leader="none" w:pos="8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Full-value awards, including shares of restricted stock, restricted stock units, and/or other full-value awards granted at zero cost and which vest solely based on time</w:t>
      </w:r>
    </w:p>
    <w:p>
      <w:pPr>
        <w:spacing w:after="0" w:line="64"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Full-value awards subject to performance conditions, shares of common stock subject to outstanding stock options and other market-priced awards, and other awards which may be granted under Company equity plans shall not count towards compliance with Minimum Stockholding Levels.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4F81BD"/>
        </w:rPr>
        <w:t>DIRECTOR COMPENSATION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133350</wp:posOffset>
            </wp:positionV>
            <wp:extent cx="4412615" cy="12731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412615" cy="1273175"/>
                    </a:xfrm>
                    <a:prstGeom prst="rect">
                      <a:avLst/>
                    </a:prstGeom>
                    <a:noFill/>
                  </pic:spPr>
                </pic:pic>
              </a:graphicData>
            </a:graphic>
          </wp:anchor>
        </w:drawing>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1740" w:type="dxa"/>
            <w:vAlign w:val="bottom"/>
            <w:shd w:val="clear" w:color="auto" w:fill="4F81BD"/>
          </w:tcPr>
          <w:p>
            <w:pPr>
              <w:ind w:left="80"/>
              <w:spacing w:after="0"/>
              <w:rPr>
                <w:sz w:val="20"/>
                <w:szCs w:val="20"/>
                <w:color w:val="auto"/>
              </w:rPr>
            </w:pPr>
            <w:r>
              <w:rPr>
                <w:rFonts w:ascii="Arial" w:cs="Arial" w:eastAsia="Arial" w:hAnsi="Arial"/>
                <w:sz w:val="12"/>
                <w:szCs w:val="12"/>
                <w:b w:val="1"/>
                <w:bCs w:val="1"/>
                <w:color w:val="FFFFFF"/>
              </w:rPr>
              <w:t>Name</w:t>
            </w:r>
          </w:p>
        </w:tc>
        <w:tc>
          <w:tcPr>
            <w:tcW w:w="1740" w:type="dxa"/>
            <w:vAlign w:val="bottom"/>
            <w:shd w:val="clear" w:color="auto" w:fill="4F81BD"/>
          </w:tcPr>
          <w:p>
            <w:pPr>
              <w:jc w:val="center"/>
              <w:spacing w:after="0"/>
              <w:rPr>
                <w:sz w:val="20"/>
                <w:szCs w:val="20"/>
                <w:color w:val="auto"/>
              </w:rPr>
            </w:pPr>
            <w:r>
              <w:rPr>
                <w:rFonts w:ascii="Arial" w:cs="Arial" w:eastAsia="Arial" w:hAnsi="Arial"/>
                <w:sz w:val="12"/>
                <w:szCs w:val="12"/>
                <w:b w:val="1"/>
                <w:bCs w:val="1"/>
                <w:color w:val="FFFFFF"/>
                <w:w w:val="99"/>
              </w:rPr>
              <w:t>Fees Earned or</w:t>
            </w:r>
          </w:p>
        </w:tc>
        <w:tc>
          <w:tcPr>
            <w:tcW w:w="1840" w:type="dxa"/>
            <w:vAlign w:val="bottom"/>
            <w:shd w:val="clear" w:color="auto" w:fill="4F81BD"/>
          </w:tcPr>
          <w:p>
            <w:pPr>
              <w:jc w:val="right"/>
              <w:ind w:right="521"/>
              <w:spacing w:after="0"/>
              <w:rPr>
                <w:sz w:val="20"/>
                <w:szCs w:val="20"/>
                <w:color w:val="auto"/>
              </w:rPr>
            </w:pPr>
            <w:r>
              <w:rPr>
                <w:rFonts w:ascii="Arial" w:cs="Arial" w:eastAsia="Arial" w:hAnsi="Arial"/>
                <w:sz w:val="12"/>
                <w:szCs w:val="12"/>
                <w:b w:val="1"/>
                <w:bCs w:val="1"/>
                <w:color w:val="FFFFFF"/>
              </w:rPr>
              <w:t>Stock Awards</w:t>
            </w:r>
          </w:p>
        </w:tc>
        <w:tc>
          <w:tcPr>
            <w:tcW w:w="1620" w:type="dxa"/>
            <w:vAlign w:val="bottom"/>
            <w:shd w:val="clear" w:color="auto" w:fill="4F81BD"/>
          </w:tcPr>
          <w:p>
            <w:pPr>
              <w:jc w:val="center"/>
              <w:ind w:right="41"/>
              <w:spacing w:after="0"/>
              <w:rPr>
                <w:sz w:val="20"/>
                <w:szCs w:val="20"/>
                <w:color w:val="auto"/>
              </w:rPr>
            </w:pPr>
            <w:r>
              <w:rPr>
                <w:rFonts w:ascii="Arial" w:cs="Arial" w:eastAsia="Arial" w:hAnsi="Arial"/>
                <w:sz w:val="12"/>
                <w:szCs w:val="12"/>
                <w:b w:val="1"/>
                <w:bCs w:val="1"/>
                <w:color w:val="FFFFFF"/>
                <w:w w:val="97"/>
              </w:rPr>
              <w:t>Total</w:t>
            </w:r>
          </w:p>
        </w:tc>
      </w:tr>
      <w:tr>
        <w:trPr>
          <w:trHeight w:val="178"/>
        </w:trPr>
        <w:tc>
          <w:tcPr>
            <w:tcW w:w="1740" w:type="dxa"/>
            <w:vAlign w:val="bottom"/>
            <w:shd w:val="clear" w:color="auto" w:fill="4F81BD"/>
          </w:tcPr>
          <w:p>
            <w:pPr>
              <w:spacing w:after="0"/>
              <w:rPr>
                <w:sz w:val="15"/>
                <w:szCs w:val="15"/>
                <w:color w:val="auto"/>
              </w:rPr>
            </w:pPr>
          </w:p>
        </w:tc>
        <w:tc>
          <w:tcPr>
            <w:tcW w:w="1740" w:type="dxa"/>
            <w:vAlign w:val="bottom"/>
            <w:shd w:val="clear" w:color="auto" w:fill="4F81BD"/>
          </w:tcPr>
          <w:p>
            <w:pPr>
              <w:jc w:val="center"/>
              <w:spacing w:after="0"/>
              <w:rPr>
                <w:sz w:val="20"/>
                <w:szCs w:val="20"/>
                <w:color w:val="auto"/>
              </w:rPr>
            </w:pPr>
            <w:r>
              <w:rPr>
                <w:rFonts w:ascii="Arial" w:cs="Arial" w:eastAsia="Arial" w:hAnsi="Arial"/>
                <w:sz w:val="12"/>
                <w:szCs w:val="12"/>
                <w:b w:val="1"/>
                <w:bCs w:val="1"/>
                <w:color w:val="FFFFFF"/>
                <w:w w:val="99"/>
              </w:rPr>
              <w:t>Paid in Cash</w:t>
            </w:r>
          </w:p>
        </w:tc>
        <w:tc>
          <w:tcPr>
            <w:tcW w:w="1840" w:type="dxa"/>
            <w:vAlign w:val="bottom"/>
            <w:shd w:val="clear" w:color="auto" w:fill="4F81BD"/>
          </w:tcPr>
          <w:p>
            <w:pPr>
              <w:jc w:val="right"/>
              <w:ind w:right="881"/>
              <w:spacing w:after="0"/>
              <w:rPr>
                <w:sz w:val="20"/>
                <w:szCs w:val="20"/>
                <w:color w:val="auto"/>
              </w:rPr>
            </w:pPr>
            <w:r>
              <w:rPr>
                <w:rFonts w:ascii="Arial" w:cs="Arial" w:eastAsia="Arial" w:hAnsi="Arial"/>
                <w:sz w:val="12"/>
                <w:szCs w:val="12"/>
                <w:b w:val="1"/>
                <w:bCs w:val="1"/>
                <w:color w:val="FFFFFF"/>
              </w:rPr>
              <w:t>$</w:t>
            </w:r>
          </w:p>
        </w:tc>
        <w:tc>
          <w:tcPr>
            <w:tcW w:w="1620" w:type="dxa"/>
            <w:vAlign w:val="bottom"/>
            <w:shd w:val="clear" w:color="auto" w:fill="4F81BD"/>
          </w:tcPr>
          <w:p>
            <w:pPr>
              <w:jc w:val="center"/>
              <w:ind w:right="21"/>
              <w:spacing w:after="0"/>
              <w:rPr>
                <w:sz w:val="20"/>
                <w:szCs w:val="20"/>
                <w:color w:val="auto"/>
              </w:rPr>
            </w:pPr>
            <w:r>
              <w:rPr>
                <w:rFonts w:ascii="Arial" w:cs="Arial" w:eastAsia="Arial" w:hAnsi="Arial"/>
                <w:sz w:val="12"/>
                <w:szCs w:val="12"/>
                <w:b w:val="1"/>
                <w:bCs w:val="1"/>
                <w:color w:val="FFFFFF"/>
                <w:w w:val="89"/>
              </w:rPr>
              <w:t>$</w:t>
            </w:r>
          </w:p>
        </w:tc>
      </w:tr>
      <w:tr>
        <w:trPr>
          <w:trHeight w:val="181"/>
        </w:trPr>
        <w:tc>
          <w:tcPr>
            <w:tcW w:w="1740" w:type="dxa"/>
            <w:vAlign w:val="bottom"/>
            <w:tcBorders>
              <w:bottom w:val="single" w:sz="8" w:color="4F81BD"/>
            </w:tcBorders>
            <w:shd w:val="clear" w:color="auto" w:fill="4F81BD"/>
          </w:tcPr>
          <w:p>
            <w:pPr>
              <w:spacing w:after="0"/>
              <w:rPr>
                <w:sz w:val="15"/>
                <w:szCs w:val="15"/>
                <w:color w:val="auto"/>
              </w:rPr>
            </w:pPr>
          </w:p>
        </w:tc>
        <w:tc>
          <w:tcPr>
            <w:tcW w:w="1740" w:type="dxa"/>
            <w:vAlign w:val="bottom"/>
            <w:tcBorders>
              <w:bottom w:val="single" w:sz="8" w:color="4F81BD"/>
            </w:tcBorders>
            <w:shd w:val="clear" w:color="auto" w:fill="4F81BD"/>
          </w:tcPr>
          <w:p>
            <w:pPr>
              <w:jc w:val="center"/>
              <w:spacing w:after="0"/>
              <w:rPr>
                <w:sz w:val="20"/>
                <w:szCs w:val="20"/>
                <w:color w:val="auto"/>
              </w:rPr>
            </w:pPr>
            <w:r>
              <w:rPr>
                <w:rFonts w:ascii="Arial" w:cs="Arial" w:eastAsia="Arial" w:hAnsi="Arial"/>
                <w:sz w:val="12"/>
                <w:szCs w:val="12"/>
                <w:b w:val="1"/>
                <w:bCs w:val="1"/>
                <w:color w:val="FFFFFF"/>
                <w:w w:val="89"/>
              </w:rPr>
              <w:t>$</w:t>
            </w:r>
          </w:p>
        </w:tc>
        <w:tc>
          <w:tcPr>
            <w:tcW w:w="1840" w:type="dxa"/>
            <w:vAlign w:val="bottom"/>
            <w:tcBorders>
              <w:bottom w:val="single" w:sz="8" w:color="4F81BD"/>
            </w:tcBorders>
            <w:shd w:val="clear" w:color="auto" w:fill="4F81BD"/>
          </w:tcPr>
          <w:p>
            <w:pPr>
              <w:spacing w:after="0"/>
              <w:rPr>
                <w:sz w:val="15"/>
                <w:szCs w:val="15"/>
                <w:color w:val="auto"/>
              </w:rPr>
            </w:pPr>
          </w:p>
        </w:tc>
        <w:tc>
          <w:tcPr>
            <w:tcW w:w="1620" w:type="dxa"/>
            <w:vAlign w:val="bottom"/>
            <w:tcBorders>
              <w:bottom w:val="single" w:sz="8" w:color="4F81BD"/>
            </w:tcBorders>
            <w:shd w:val="clear" w:color="auto" w:fill="4F81BD"/>
          </w:tcPr>
          <w:p>
            <w:pPr>
              <w:spacing w:after="0"/>
              <w:rPr>
                <w:sz w:val="15"/>
                <w:szCs w:val="15"/>
                <w:color w:val="auto"/>
              </w:rPr>
            </w:pPr>
          </w:p>
        </w:tc>
      </w:tr>
      <w:tr>
        <w:trPr>
          <w:trHeight w:val="214"/>
        </w:trPr>
        <w:tc>
          <w:tcPr>
            <w:tcW w:w="1740" w:type="dxa"/>
            <w:vAlign w:val="bottom"/>
            <w:tcBorders>
              <w:bottom w:val="single" w:sz="8" w:color="4F81BD"/>
            </w:tcBorders>
            <w:shd w:val="clear" w:color="auto" w:fill="4F81BD"/>
          </w:tcPr>
          <w:p>
            <w:pPr>
              <w:ind w:left="80"/>
              <w:spacing w:after="0"/>
              <w:rPr>
                <w:sz w:val="20"/>
                <w:szCs w:val="20"/>
                <w:color w:val="auto"/>
              </w:rPr>
            </w:pPr>
            <w:r>
              <w:rPr>
                <w:rFonts w:ascii="Arial" w:cs="Arial" w:eastAsia="Arial" w:hAnsi="Arial"/>
                <w:sz w:val="12"/>
                <w:szCs w:val="12"/>
                <w:b w:val="1"/>
                <w:bCs w:val="1"/>
                <w:color w:val="FFFFFF"/>
              </w:rPr>
              <w:t>Ms. Elizabeth K. Arnold</w:t>
            </w:r>
          </w:p>
        </w:tc>
        <w:tc>
          <w:tcPr>
            <w:tcW w:w="1740" w:type="dxa"/>
            <w:vAlign w:val="bottom"/>
            <w:tcBorders>
              <w:bottom w:val="single" w:sz="8" w:color="CAD9EB"/>
            </w:tcBorders>
            <w:shd w:val="clear" w:color="auto" w:fill="CAD9EB"/>
          </w:tcPr>
          <w:p>
            <w:pPr>
              <w:jc w:val="center"/>
              <w:spacing w:after="0"/>
              <w:rPr>
                <w:sz w:val="20"/>
                <w:szCs w:val="20"/>
                <w:color w:val="auto"/>
              </w:rPr>
            </w:pPr>
            <w:r>
              <w:rPr>
                <w:rFonts w:ascii="Arial" w:cs="Arial" w:eastAsia="Arial" w:hAnsi="Arial"/>
                <w:sz w:val="12"/>
                <w:szCs w:val="12"/>
                <w:color w:val="auto"/>
              </w:rPr>
              <w:t>105,000</w:t>
            </w:r>
          </w:p>
        </w:tc>
        <w:tc>
          <w:tcPr>
            <w:tcW w:w="1840" w:type="dxa"/>
            <w:vAlign w:val="bottom"/>
            <w:tcBorders>
              <w:bottom w:val="single" w:sz="8" w:color="C9D9EB"/>
            </w:tcBorders>
            <w:shd w:val="clear" w:color="auto" w:fill="C9D9EB"/>
          </w:tcPr>
          <w:p>
            <w:pPr>
              <w:jc w:val="right"/>
              <w:ind w:right="621"/>
              <w:spacing w:after="0"/>
              <w:rPr>
                <w:sz w:val="20"/>
                <w:szCs w:val="20"/>
                <w:color w:val="auto"/>
              </w:rPr>
            </w:pPr>
            <w:r>
              <w:rPr>
                <w:rFonts w:ascii="Arial" w:cs="Arial" w:eastAsia="Arial" w:hAnsi="Arial"/>
                <w:sz w:val="12"/>
                <w:szCs w:val="12"/>
                <w:color w:val="auto"/>
              </w:rPr>
              <w:t>118,119</w:t>
            </w:r>
          </w:p>
        </w:tc>
        <w:tc>
          <w:tcPr>
            <w:tcW w:w="1620" w:type="dxa"/>
            <w:vAlign w:val="bottom"/>
            <w:tcBorders>
              <w:bottom w:val="single" w:sz="8" w:color="C9D9EB"/>
            </w:tcBorders>
            <w:shd w:val="clear" w:color="auto" w:fill="C9D9EB"/>
          </w:tcPr>
          <w:p>
            <w:pPr>
              <w:jc w:val="center"/>
              <w:ind w:right="21"/>
              <w:spacing w:after="0"/>
              <w:rPr>
                <w:sz w:val="20"/>
                <w:szCs w:val="20"/>
                <w:color w:val="auto"/>
              </w:rPr>
            </w:pPr>
            <w:r>
              <w:rPr>
                <w:rFonts w:ascii="Arial" w:cs="Arial" w:eastAsia="Arial" w:hAnsi="Arial"/>
                <w:sz w:val="12"/>
                <w:szCs w:val="12"/>
                <w:color w:val="auto"/>
                <w:w w:val="96"/>
              </w:rPr>
              <w:t>223,119</w:t>
            </w:r>
          </w:p>
        </w:tc>
      </w:tr>
      <w:tr>
        <w:trPr>
          <w:trHeight w:val="214"/>
        </w:trPr>
        <w:tc>
          <w:tcPr>
            <w:tcW w:w="1740" w:type="dxa"/>
            <w:vAlign w:val="bottom"/>
            <w:tcBorders>
              <w:bottom w:val="single" w:sz="8" w:color="4F81BD"/>
            </w:tcBorders>
            <w:shd w:val="clear" w:color="auto" w:fill="4F81BD"/>
          </w:tcPr>
          <w:p>
            <w:pPr>
              <w:ind w:left="80"/>
              <w:spacing w:after="0"/>
              <w:rPr>
                <w:sz w:val="20"/>
                <w:szCs w:val="20"/>
                <w:color w:val="auto"/>
              </w:rPr>
            </w:pPr>
            <w:r>
              <w:rPr>
                <w:rFonts w:ascii="Arial" w:cs="Arial" w:eastAsia="Arial" w:hAnsi="Arial"/>
                <w:sz w:val="12"/>
                <w:szCs w:val="12"/>
                <w:b w:val="1"/>
                <w:bCs w:val="1"/>
                <w:color w:val="FFFFFF"/>
              </w:rPr>
              <w:t>Mr. Milton C. Blackmore</w:t>
            </w:r>
          </w:p>
        </w:tc>
        <w:tc>
          <w:tcPr>
            <w:tcW w:w="1740" w:type="dxa"/>
            <w:vAlign w:val="bottom"/>
            <w:tcBorders>
              <w:bottom w:val="single" w:sz="8" w:color="EDF2F8"/>
            </w:tcBorders>
            <w:shd w:val="clear" w:color="auto" w:fill="EDF2F8"/>
          </w:tcPr>
          <w:p>
            <w:pPr>
              <w:jc w:val="center"/>
              <w:spacing w:after="0"/>
              <w:rPr>
                <w:sz w:val="20"/>
                <w:szCs w:val="20"/>
                <w:color w:val="auto"/>
              </w:rPr>
            </w:pPr>
            <w:r>
              <w:rPr>
                <w:rFonts w:ascii="Arial" w:cs="Arial" w:eastAsia="Arial" w:hAnsi="Arial"/>
                <w:sz w:val="12"/>
                <w:szCs w:val="12"/>
                <w:color w:val="auto"/>
              </w:rPr>
              <w:t>205,000</w:t>
            </w:r>
          </w:p>
        </w:tc>
        <w:tc>
          <w:tcPr>
            <w:tcW w:w="1840" w:type="dxa"/>
            <w:vAlign w:val="bottom"/>
            <w:tcBorders>
              <w:bottom w:val="single" w:sz="8" w:color="ECF3F8"/>
            </w:tcBorders>
            <w:shd w:val="clear" w:color="auto" w:fill="ECF3F8"/>
          </w:tcPr>
          <w:p>
            <w:pPr>
              <w:jc w:val="right"/>
              <w:ind w:right="621"/>
              <w:spacing w:after="0"/>
              <w:rPr>
                <w:sz w:val="20"/>
                <w:szCs w:val="20"/>
                <w:color w:val="auto"/>
              </w:rPr>
            </w:pPr>
            <w:r>
              <w:rPr>
                <w:rFonts w:ascii="Arial" w:cs="Arial" w:eastAsia="Arial" w:hAnsi="Arial"/>
                <w:sz w:val="12"/>
                <w:szCs w:val="12"/>
                <w:color w:val="auto"/>
              </w:rPr>
              <w:t>118,119</w:t>
            </w:r>
          </w:p>
        </w:tc>
        <w:tc>
          <w:tcPr>
            <w:tcW w:w="1620" w:type="dxa"/>
            <w:vAlign w:val="bottom"/>
            <w:tcBorders>
              <w:bottom w:val="single" w:sz="8" w:color="ECF3F8"/>
            </w:tcBorders>
            <w:shd w:val="clear" w:color="auto" w:fill="ECF3F8"/>
          </w:tcPr>
          <w:p>
            <w:pPr>
              <w:jc w:val="center"/>
              <w:ind w:right="21"/>
              <w:spacing w:after="0"/>
              <w:rPr>
                <w:sz w:val="20"/>
                <w:szCs w:val="20"/>
                <w:color w:val="auto"/>
              </w:rPr>
            </w:pPr>
            <w:r>
              <w:rPr>
                <w:rFonts w:ascii="Arial" w:cs="Arial" w:eastAsia="Arial" w:hAnsi="Arial"/>
                <w:sz w:val="12"/>
                <w:szCs w:val="12"/>
                <w:color w:val="auto"/>
                <w:w w:val="96"/>
              </w:rPr>
              <w:t>323,119</w:t>
            </w:r>
          </w:p>
        </w:tc>
      </w:tr>
      <w:tr>
        <w:trPr>
          <w:trHeight w:val="214"/>
        </w:trPr>
        <w:tc>
          <w:tcPr>
            <w:tcW w:w="1740" w:type="dxa"/>
            <w:vAlign w:val="bottom"/>
            <w:tcBorders>
              <w:bottom w:val="single" w:sz="8" w:color="4F81BD"/>
            </w:tcBorders>
            <w:shd w:val="clear" w:color="auto" w:fill="4F81BD"/>
          </w:tcPr>
          <w:p>
            <w:pPr>
              <w:ind w:left="80"/>
              <w:spacing w:after="0"/>
              <w:rPr>
                <w:sz w:val="20"/>
                <w:szCs w:val="20"/>
                <w:color w:val="auto"/>
              </w:rPr>
            </w:pPr>
            <w:r>
              <w:rPr>
                <w:rFonts w:ascii="Arial" w:cs="Arial" w:eastAsia="Arial" w:hAnsi="Arial"/>
                <w:sz w:val="12"/>
                <w:szCs w:val="12"/>
                <w:b w:val="1"/>
                <w:bCs w:val="1"/>
                <w:color w:val="FFFFFF"/>
              </w:rPr>
              <w:t>Mr. David F. Landless</w:t>
            </w:r>
          </w:p>
        </w:tc>
        <w:tc>
          <w:tcPr>
            <w:tcW w:w="1740" w:type="dxa"/>
            <w:vAlign w:val="bottom"/>
            <w:tcBorders>
              <w:bottom w:val="single" w:sz="8" w:color="CAD9EB"/>
            </w:tcBorders>
            <w:shd w:val="clear" w:color="auto" w:fill="CAD9EB"/>
          </w:tcPr>
          <w:p>
            <w:pPr>
              <w:jc w:val="center"/>
              <w:spacing w:after="0"/>
              <w:rPr>
                <w:sz w:val="20"/>
                <w:szCs w:val="20"/>
                <w:color w:val="auto"/>
              </w:rPr>
            </w:pPr>
            <w:r>
              <w:rPr>
                <w:rFonts w:ascii="Arial" w:cs="Arial" w:eastAsia="Arial" w:hAnsi="Arial"/>
                <w:sz w:val="12"/>
                <w:szCs w:val="12"/>
                <w:color w:val="auto"/>
              </w:rPr>
              <w:t>123,000</w:t>
            </w:r>
          </w:p>
        </w:tc>
        <w:tc>
          <w:tcPr>
            <w:tcW w:w="1840" w:type="dxa"/>
            <w:vAlign w:val="bottom"/>
            <w:tcBorders>
              <w:bottom w:val="single" w:sz="8" w:color="C9D9EB"/>
            </w:tcBorders>
            <w:shd w:val="clear" w:color="auto" w:fill="C9D9EB"/>
          </w:tcPr>
          <w:p>
            <w:pPr>
              <w:jc w:val="right"/>
              <w:ind w:right="621"/>
              <w:spacing w:after="0"/>
              <w:rPr>
                <w:sz w:val="20"/>
                <w:szCs w:val="20"/>
                <w:color w:val="auto"/>
              </w:rPr>
            </w:pPr>
            <w:r>
              <w:rPr>
                <w:rFonts w:ascii="Arial" w:cs="Arial" w:eastAsia="Arial" w:hAnsi="Arial"/>
                <w:sz w:val="12"/>
                <w:szCs w:val="12"/>
                <w:color w:val="auto"/>
              </w:rPr>
              <w:t>118,119</w:t>
            </w:r>
          </w:p>
        </w:tc>
        <w:tc>
          <w:tcPr>
            <w:tcW w:w="1620" w:type="dxa"/>
            <w:vAlign w:val="bottom"/>
            <w:tcBorders>
              <w:bottom w:val="single" w:sz="8" w:color="C9D9EB"/>
            </w:tcBorders>
            <w:shd w:val="clear" w:color="auto" w:fill="C9D9EB"/>
          </w:tcPr>
          <w:p>
            <w:pPr>
              <w:jc w:val="center"/>
              <w:ind w:right="21"/>
              <w:spacing w:after="0"/>
              <w:rPr>
                <w:sz w:val="20"/>
                <w:szCs w:val="20"/>
                <w:color w:val="auto"/>
              </w:rPr>
            </w:pPr>
            <w:r>
              <w:rPr>
                <w:rFonts w:ascii="Arial" w:cs="Arial" w:eastAsia="Arial" w:hAnsi="Arial"/>
                <w:sz w:val="12"/>
                <w:szCs w:val="12"/>
                <w:color w:val="auto"/>
                <w:w w:val="96"/>
              </w:rPr>
              <w:t>241,119</w:t>
            </w:r>
          </w:p>
        </w:tc>
      </w:tr>
      <w:tr>
        <w:trPr>
          <w:trHeight w:val="214"/>
        </w:trPr>
        <w:tc>
          <w:tcPr>
            <w:tcW w:w="1740" w:type="dxa"/>
            <w:vAlign w:val="bottom"/>
            <w:tcBorders>
              <w:bottom w:val="single" w:sz="8" w:color="4F81BD"/>
            </w:tcBorders>
            <w:shd w:val="clear" w:color="auto" w:fill="4F81BD"/>
          </w:tcPr>
          <w:p>
            <w:pPr>
              <w:ind w:left="80"/>
              <w:spacing w:after="0"/>
              <w:rPr>
                <w:sz w:val="20"/>
                <w:szCs w:val="20"/>
                <w:color w:val="auto"/>
              </w:rPr>
            </w:pPr>
            <w:r>
              <w:rPr>
                <w:rFonts w:ascii="Arial" w:cs="Arial" w:eastAsia="Arial" w:hAnsi="Arial"/>
                <w:sz w:val="12"/>
                <w:szCs w:val="12"/>
                <w:b w:val="1"/>
                <w:bCs w:val="1"/>
                <w:color w:val="FFFFFF"/>
              </w:rPr>
              <w:t>Mr. Lawrence J. Padfield</w:t>
            </w:r>
          </w:p>
        </w:tc>
        <w:tc>
          <w:tcPr>
            <w:tcW w:w="1740" w:type="dxa"/>
            <w:vAlign w:val="bottom"/>
            <w:tcBorders>
              <w:bottom w:val="single" w:sz="8" w:color="EDF2F8"/>
            </w:tcBorders>
            <w:shd w:val="clear" w:color="auto" w:fill="EDF2F8"/>
          </w:tcPr>
          <w:p>
            <w:pPr>
              <w:jc w:val="center"/>
              <w:spacing w:after="0"/>
              <w:rPr>
                <w:sz w:val="20"/>
                <w:szCs w:val="20"/>
                <w:color w:val="auto"/>
              </w:rPr>
            </w:pPr>
            <w:r>
              <w:rPr>
                <w:rFonts w:ascii="Arial" w:cs="Arial" w:eastAsia="Arial" w:hAnsi="Arial"/>
                <w:sz w:val="12"/>
                <w:szCs w:val="12"/>
                <w:color w:val="auto"/>
                <w:w w:val="96"/>
              </w:rPr>
              <w:t>116,000</w:t>
            </w:r>
          </w:p>
        </w:tc>
        <w:tc>
          <w:tcPr>
            <w:tcW w:w="1840" w:type="dxa"/>
            <w:vAlign w:val="bottom"/>
            <w:tcBorders>
              <w:bottom w:val="single" w:sz="8" w:color="ECF3F8"/>
            </w:tcBorders>
            <w:shd w:val="clear" w:color="auto" w:fill="ECF3F8"/>
          </w:tcPr>
          <w:p>
            <w:pPr>
              <w:jc w:val="right"/>
              <w:ind w:right="621"/>
              <w:spacing w:after="0"/>
              <w:rPr>
                <w:sz w:val="20"/>
                <w:szCs w:val="20"/>
                <w:color w:val="auto"/>
              </w:rPr>
            </w:pPr>
            <w:r>
              <w:rPr>
                <w:rFonts w:ascii="Arial" w:cs="Arial" w:eastAsia="Arial" w:hAnsi="Arial"/>
                <w:sz w:val="12"/>
                <w:szCs w:val="12"/>
                <w:color w:val="auto"/>
              </w:rPr>
              <w:t>118,119</w:t>
            </w:r>
          </w:p>
        </w:tc>
        <w:tc>
          <w:tcPr>
            <w:tcW w:w="1620" w:type="dxa"/>
            <w:vAlign w:val="bottom"/>
            <w:tcBorders>
              <w:bottom w:val="single" w:sz="8" w:color="ECF3F8"/>
            </w:tcBorders>
            <w:shd w:val="clear" w:color="auto" w:fill="ECF3F8"/>
          </w:tcPr>
          <w:p>
            <w:pPr>
              <w:jc w:val="center"/>
              <w:ind w:right="21"/>
              <w:spacing w:after="0"/>
              <w:rPr>
                <w:sz w:val="20"/>
                <w:szCs w:val="20"/>
                <w:color w:val="auto"/>
              </w:rPr>
            </w:pPr>
            <w:r>
              <w:rPr>
                <w:rFonts w:ascii="Arial" w:cs="Arial" w:eastAsia="Arial" w:hAnsi="Arial"/>
                <w:sz w:val="12"/>
                <w:szCs w:val="12"/>
                <w:color w:val="auto"/>
                <w:w w:val="96"/>
              </w:rPr>
              <w:t>234,119</w:t>
            </w:r>
          </w:p>
        </w:tc>
      </w:tr>
      <w:tr>
        <w:trPr>
          <w:trHeight w:val="214"/>
        </w:trPr>
        <w:tc>
          <w:tcPr>
            <w:tcW w:w="1740" w:type="dxa"/>
            <w:vAlign w:val="bottom"/>
            <w:tcBorders>
              <w:bottom w:val="single" w:sz="8" w:color="4F81BD"/>
            </w:tcBorders>
            <w:shd w:val="clear" w:color="auto" w:fill="4F81BD"/>
          </w:tcPr>
          <w:p>
            <w:pPr>
              <w:ind w:left="80"/>
              <w:spacing w:after="0"/>
              <w:rPr>
                <w:sz w:val="20"/>
                <w:szCs w:val="20"/>
                <w:color w:val="auto"/>
              </w:rPr>
            </w:pPr>
            <w:r>
              <w:rPr>
                <w:rFonts w:ascii="Arial" w:cs="Arial" w:eastAsia="Arial" w:hAnsi="Arial"/>
                <w:sz w:val="12"/>
                <w:szCs w:val="12"/>
                <w:b w:val="1"/>
                <w:bCs w:val="1"/>
                <w:color w:val="FFFFFF"/>
              </w:rPr>
              <w:t>Mr. Leslie J. Parrette</w:t>
            </w:r>
          </w:p>
        </w:tc>
        <w:tc>
          <w:tcPr>
            <w:tcW w:w="1740" w:type="dxa"/>
            <w:vAlign w:val="bottom"/>
            <w:tcBorders>
              <w:bottom w:val="single" w:sz="8" w:color="CAD9EB"/>
            </w:tcBorders>
            <w:shd w:val="clear" w:color="auto" w:fill="CAD9EB"/>
          </w:tcPr>
          <w:p>
            <w:pPr>
              <w:jc w:val="center"/>
              <w:spacing w:after="0"/>
              <w:rPr>
                <w:sz w:val="20"/>
                <w:szCs w:val="20"/>
                <w:color w:val="auto"/>
              </w:rPr>
            </w:pPr>
            <w:r>
              <w:rPr>
                <w:rFonts w:ascii="Arial" w:cs="Arial" w:eastAsia="Arial" w:hAnsi="Arial"/>
                <w:sz w:val="12"/>
                <w:szCs w:val="12"/>
                <w:color w:val="auto"/>
              </w:rPr>
              <w:t>100,000</w:t>
            </w:r>
          </w:p>
        </w:tc>
        <w:tc>
          <w:tcPr>
            <w:tcW w:w="1840" w:type="dxa"/>
            <w:vAlign w:val="bottom"/>
            <w:tcBorders>
              <w:bottom w:val="single" w:sz="8" w:color="C9D9EB"/>
            </w:tcBorders>
            <w:shd w:val="clear" w:color="auto" w:fill="C9D9EB"/>
          </w:tcPr>
          <w:p>
            <w:pPr>
              <w:jc w:val="right"/>
              <w:ind w:right="621"/>
              <w:spacing w:after="0"/>
              <w:rPr>
                <w:sz w:val="20"/>
                <w:szCs w:val="20"/>
                <w:color w:val="auto"/>
              </w:rPr>
            </w:pPr>
            <w:r>
              <w:rPr>
                <w:rFonts w:ascii="Arial" w:cs="Arial" w:eastAsia="Arial" w:hAnsi="Arial"/>
                <w:sz w:val="12"/>
                <w:szCs w:val="12"/>
                <w:color w:val="auto"/>
              </w:rPr>
              <w:t>118,119</w:t>
            </w:r>
          </w:p>
        </w:tc>
        <w:tc>
          <w:tcPr>
            <w:tcW w:w="1620" w:type="dxa"/>
            <w:vAlign w:val="bottom"/>
            <w:tcBorders>
              <w:bottom w:val="single" w:sz="8" w:color="C9D9EB"/>
            </w:tcBorders>
            <w:shd w:val="clear" w:color="auto" w:fill="C9D9EB"/>
          </w:tcPr>
          <w:p>
            <w:pPr>
              <w:jc w:val="center"/>
              <w:ind w:right="21"/>
              <w:spacing w:after="0"/>
              <w:rPr>
                <w:sz w:val="20"/>
                <w:szCs w:val="20"/>
                <w:color w:val="auto"/>
              </w:rPr>
            </w:pPr>
            <w:r>
              <w:rPr>
                <w:rFonts w:ascii="Arial" w:cs="Arial" w:eastAsia="Arial" w:hAnsi="Arial"/>
                <w:sz w:val="12"/>
                <w:szCs w:val="12"/>
                <w:color w:val="auto"/>
                <w:w w:val="96"/>
              </w:rPr>
              <w:t>218,119</w:t>
            </w:r>
          </w:p>
        </w:tc>
      </w:tr>
      <w:tr>
        <w:trPr>
          <w:trHeight w:val="211"/>
        </w:trPr>
        <w:tc>
          <w:tcPr>
            <w:tcW w:w="1740" w:type="dxa"/>
            <w:vAlign w:val="bottom"/>
            <w:shd w:val="clear" w:color="auto" w:fill="4F81BD"/>
          </w:tcPr>
          <w:p>
            <w:pPr>
              <w:ind w:left="80"/>
              <w:spacing w:after="0"/>
              <w:rPr>
                <w:sz w:val="20"/>
                <w:szCs w:val="20"/>
                <w:color w:val="auto"/>
              </w:rPr>
            </w:pPr>
            <w:r>
              <w:rPr>
                <w:rFonts w:ascii="Arial" w:cs="Arial" w:eastAsia="Arial" w:hAnsi="Arial"/>
                <w:sz w:val="12"/>
                <w:szCs w:val="12"/>
                <w:b w:val="1"/>
                <w:bCs w:val="1"/>
                <w:color w:val="FFFFFF"/>
              </w:rPr>
              <w:t>Ms. Claudia P. Poccia</w:t>
            </w:r>
          </w:p>
        </w:tc>
        <w:tc>
          <w:tcPr>
            <w:tcW w:w="1740" w:type="dxa"/>
            <w:vAlign w:val="bottom"/>
            <w:shd w:val="clear" w:color="auto" w:fill="EDF2F8"/>
          </w:tcPr>
          <w:p>
            <w:pPr>
              <w:jc w:val="center"/>
              <w:spacing w:after="0"/>
              <w:rPr>
                <w:sz w:val="20"/>
                <w:szCs w:val="20"/>
                <w:color w:val="auto"/>
              </w:rPr>
            </w:pPr>
            <w:r>
              <w:rPr>
                <w:rFonts w:ascii="Arial" w:cs="Arial" w:eastAsia="Arial" w:hAnsi="Arial"/>
                <w:sz w:val="12"/>
                <w:szCs w:val="12"/>
                <w:color w:val="auto"/>
                <w:w w:val="96"/>
              </w:rPr>
              <w:t>114,000</w:t>
            </w:r>
          </w:p>
        </w:tc>
        <w:tc>
          <w:tcPr>
            <w:tcW w:w="1840" w:type="dxa"/>
            <w:vAlign w:val="bottom"/>
            <w:shd w:val="clear" w:color="auto" w:fill="ECF3F8"/>
          </w:tcPr>
          <w:p>
            <w:pPr>
              <w:jc w:val="right"/>
              <w:ind w:right="621"/>
              <w:spacing w:after="0"/>
              <w:rPr>
                <w:sz w:val="20"/>
                <w:szCs w:val="20"/>
                <w:color w:val="auto"/>
              </w:rPr>
            </w:pPr>
            <w:r>
              <w:rPr>
                <w:rFonts w:ascii="Arial" w:cs="Arial" w:eastAsia="Arial" w:hAnsi="Arial"/>
                <w:sz w:val="12"/>
                <w:szCs w:val="12"/>
                <w:color w:val="auto"/>
              </w:rPr>
              <w:t>118,119</w:t>
            </w:r>
          </w:p>
        </w:tc>
        <w:tc>
          <w:tcPr>
            <w:tcW w:w="1620" w:type="dxa"/>
            <w:vAlign w:val="bottom"/>
            <w:shd w:val="clear" w:color="auto" w:fill="ECF3F8"/>
          </w:tcPr>
          <w:p>
            <w:pPr>
              <w:jc w:val="center"/>
              <w:ind w:right="21"/>
              <w:spacing w:after="0"/>
              <w:rPr>
                <w:sz w:val="20"/>
                <w:szCs w:val="20"/>
                <w:color w:val="auto"/>
              </w:rPr>
            </w:pPr>
            <w:r>
              <w:rPr>
                <w:rFonts w:ascii="Arial" w:cs="Arial" w:eastAsia="Arial" w:hAnsi="Arial"/>
                <w:sz w:val="12"/>
                <w:szCs w:val="12"/>
                <w:color w:val="auto"/>
                <w:w w:val="96"/>
              </w:rPr>
              <w:t>232,119</w:t>
            </w:r>
          </w:p>
        </w:tc>
      </w:tr>
      <w:tr>
        <w:trPr>
          <w:trHeight w:val="23"/>
        </w:trPr>
        <w:tc>
          <w:tcPr>
            <w:tcW w:w="1740" w:type="dxa"/>
            <w:vAlign w:val="bottom"/>
            <w:shd w:val="clear" w:color="auto" w:fill="4F81BD"/>
          </w:tcPr>
          <w:p>
            <w:pPr>
              <w:spacing w:after="0" w:line="20" w:lineRule="exact"/>
              <w:rPr>
                <w:sz w:val="1"/>
                <w:szCs w:val="1"/>
                <w:color w:val="auto"/>
              </w:rPr>
            </w:pPr>
          </w:p>
        </w:tc>
        <w:tc>
          <w:tcPr>
            <w:tcW w:w="1740" w:type="dxa"/>
            <w:vAlign w:val="bottom"/>
            <w:shd w:val="clear" w:color="auto" w:fill="EDF2F8"/>
          </w:tcPr>
          <w:p>
            <w:pPr>
              <w:spacing w:after="0" w:line="20" w:lineRule="exact"/>
              <w:rPr>
                <w:sz w:val="1"/>
                <w:szCs w:val="1"/>
                <w:color w:val="auto"/>
              </w:rPr>
            </w:pPr>
          </w:p>
        </w:tc>
        <w:tc>
          <w:tcPr>
            <w:tcW w:w="1840" w:type="dxa"/>
            <w:vAlign w:val="bottom"/>
            <w:shd w:val="clear" w:color="auto" w:fill="ECF3F8"/>
          </w:tcPr>
          <w:p>
            <w:pPr>
              <w:spacing w:after="0" w:line="20" w:lineRule="exact"/>
              <w:rPr>
                <w:sz w:val="1"/>
                <w:szCs w:val="1"/>
                <w:color w:val="auto"/>
              </w:rPr>
            </w:pPr>
          </w:p>
        </w:tc>
        <w:tc>
          <w:tcPr>
            <w:tcW w:w="1620" w:type="dxa"/>
            <w:vAlign w:val="bottom"/>
            <w:shd w:val="clear" w:color="auto" w:fill="ECF3F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3557270</wp:posOffset>
            </wp:positionV>
            <wp:extent cx="297180" cy="290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8" w:name="page49"/>
    <w:bookmarkEnd w:id="48"/>
    <w:p>
      <w:pPr>
        <w:spacing w:after="0" w:line="100" w:lineRule="exact"/>
        <w:rPr>
          <w:sz w:val="20"/>
          <w:szCs w:val="20"/>
          <w:color w:val="auto"/>
        </w:rPr>
      </w:pPr>
    </w:p>
    <w:p>
      <w:pPr>
        <w:ind w:left="200" w:right="119"/>
        <w:spacing w:after="0" w:line="281" w:lineRule="auto"/>
        <w:rPr>
          <w:sz w:val="20"/>
          <w:szCs w:val="20"/>
          <w:color w:val="auto"/>
        </w:rPr>
      </w:pPr>
      <w:r>
        <w:rPr>
          <w:rFonts w:ascii="Arial" w:cs="Arial" w:eastAsia="Arial" w:hAnsi="Arial"/>
          <w:sz w:val="15"/>
          <w:szCs w:val="15"/>
          <w:color w:val="auto"/>
        </w:rPr>
        <w:t>The number of unexercised options and unvested full value equity awards outstanding as of December 31, 2025 for each NED is detailed in the table below:</w:t>
      </w:r>
    </w:p>
    <w:p>
      <w:pPr>
        <w:spacing w:after="0" w:line="90"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2140" w:type="dxa"/>
            <w:vAlign w:val="bottom"/>
            <w:shd w:val="clear" w:color="auto" w:fill="4F81BC"/>
          </w:tcPr>
          <w:p>
            <w:pPr>
              <w:ind w:left="60"/>
              <w:spacing w:after="0"/>
              <w:rPr>
                <w:sz w:val="20"/>
                <w:szCs w:val="20"/>
                <w:color w:val="auto"/>
              </w:rPr>
            </w:pPr>
            <w:r>
              <w:rPr>
                <w:rFonts w:ascii="Arial" w:cs="Arial" w:eastAsia="Arial" w:hAnsi="Arial"/>
                <w:sz w:val="13"/>
                <w:szCs w:val="13"/>
                <w:b w:val="1"/>
                <w:bCs w:val="1"/>
                <w:color w:val="FFFFFF"/>
              </w:rPr>
              <w:t>Name</w:t>
            </w: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Number of</w:t>
            </w: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Number of</w:t>
            </w:r>
          </w:p>
        </w:tc>
        <w:tc>
          <w:tcPr>
            <w:tcW w:w="1640" w:type="dxa"/>
            <w:vAlign w:val="bottom"/>
            <w:shd w:val="clear" w:color="auto" w:fill="4F81BC"/>
          </w:tcPr>
          <w:p>
            <w:pPr>
              <w:ind w:left="60"/>
              <w:spacing w:after="0"/>
              <w:rPr>
                <w:sz w:val="20"/>
                <w:szCs w:val="20"/>
                <w:color w:val="auto"/>
              </w:rPr>
            </w:pPr>
            <w:r>
              <w:rPr>
                <w:rFonts w:ascii="Arial" w:cs="Arial" w:eastAsia="Arial" w:hAnsi="Arial"/>
                <w:sz w:val="13"/>
                <w:szCs w:val="13"/>
                <w:b w:val="1"/>
                <w:bCs w:val="1"/>
                <w:color w:val="FFFFFF"/>
              </w:rPr>
              <w:t>Option Exercise Price $</w:t>
            </w: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Date of</w:t>
            </w:r>
          </w:p>
        </w:tc>
      </w:tr>
      <w:tr>
        <w:trPr>
          <w:trHeight w:val="202"/>
        </w:trPr>
        <w:tc>
          <w:tcPr>
            <w:tcW w:w="2140" w:type="dxa"/>
            <w:vAlign w:val="bottom"/>
            <w:shd w:val="clear" w:color="auto" w:fill="4F81BC"/>
          </w:tcPr>
          <w:p>
            <w:pPr>
              <w:spacing w:after="0"/>
              <w:rPr>
                <w:sz w:val="17"/>
                <w:szCs w:val="17"/>
                <w:color w:val="auto"/>
              </w:rPr>
            </w:pP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Options</w:t>
            </w: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Stock Awards</w:t>
            </w:r>
          </w:p>
        </w:tc>
        <w:tc>
          <w:tcPr>
            <w:tcW w:w="1640" w:type="dxa"/>
            <w:vAlign w:val="bottom"/>
            <w:shd w:val="clear" w:color="auto" w:fill="4F81BC"/>
          </w:tcPr>
          <w:p>
            <w:pPr>
              <w:spacing w:after="0"/>
              <w:rPr>
                <w:sz w:val="17"/>
                <w:szCs w:val="17"/>
                <w:color w:val="auto"/>
              </w:rPr>
            </w:pP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Grant</w:t>
            </w:r>
          </w:p>
        </w:tc>
      </w:tr>
      <w:tr>
        <w:trPr>
          <w:trHeight w:val="221"/>
        </w:trPr>
        <w:tc>
          <w:tcPr>
            <w:tcW w:w="2140" w:type="dxa"/>
            <w:vAlign w:val="bottom"/>
            <w:shd w:val="clear" w:color="auto" w:fill="4F81BC"/>
          </w:tcPr>
          <w:p>
            <w:pPr>
              <w:ind w:left="60"/>
              <w:spacing w:after="0"/>
              <w:rPr>
                <w:sz w:val="20"/>
                <w:szCs w:val="20"/>
                <w:color w:val="auto"/>
              </w:rPr>
            </w:pPr>
            <w:r>
              <w:rPr>
                <w:rFonts w:ascii="Arial" w:cs="Arial" w:eastAsia="Arial" w:hAnsi="Arial"/>
                <w:sz w:val="15"/>
                <w:szCs w:val="15"/>
                <w:b w:val="1"/>
                <w:bCs w:val="1"/>
                <w:color w:val="FFFFFF"/>
              </w:rPr>
              <w:t>Ms. Elizabeth K. Arnold</w:t>
            </w: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1,209</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02.24.25</w:t>
            </w:r>
          </w:p>
        </w:tc>
      </w:tr>
      <w:tr>
        <w:trPr>
          <w:trHeight w:val="211"/>
        </w:trPr>
        <w:tc>
          <w:tcPr>
            <w:tcW w:w="2140" w:type="dxa"/>
            <w:vAlign w:val="bottom"/>
            <w:shd w:val="clear" w:color="auto" w:fill="4F81BC"/>
          </w:tcPr>
          <w:p>
            <w:pPr>
              <w:spacing w:after="0"/>
              <w:rPr>
                <w:sz w:val="18"/>
                <w:szCs w:val="18"/>
                <w:color w:val="auto"/>
              </w:rPr>
            </w:pPr>
          </w:p>
        </w:tc>
        <w:tc>
          <w:tcPr>
            <w:tcW w:w="1640" w:type="dxa"/>
            <w:vAlign w:val="bottom"/>
            <w:shd w:val="clear" w:color="auto" w:fill="C9D9EB"/>
          </w:tcPr>
          <w:p>
            <w:pPr>
              <w:spacing w:after="0"/>
              <w:rPr>
                <w:sz w:val="18"/>
                <w:szCs w:val="18"/>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782</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02.26.24</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297</w:t>
            </w: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109.42</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594</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326</w:t>
            </w: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w w:val="98"/>
              </w:rPr>
              <w:t>99.68</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02.21.22</w:t>
            </w:r>
          </w:p>
        </w:tc>
      </w:tr>
      <w:tr>
        <w:trPr>
          <w:trHeight w:val="228"/>
        </w:trPr>
        <w:tc>
          <w:tcPr>
            <w:tcW w:w="2140" w:type="dxa"/>
            <w:vAlign w:val="bottom"/>
            <w:tcBorders>
              <w:bottom w:val="single" w:sz="8" w:color="4F81BC"/>
            </w:tcBorders>
            <w:shd w:val="clear" w:color="auto" w:fill="4F81BC"/>
          </w:tcPr>
          <w:p>
            <w:pPr>
              <w:spacing w:after="0"/>
              <w:rPr>
                <w:sz w:val="19"/>
                <w:szCs w:val="19"/>
                <w:color w:val="auto"/>
              </w:rPr>
            </w:pPr>
          </w:p>
        </w:tc>
        <w:tc>
          <w:tcPr>
            <w:tcW w:w="1640" w:type="dxa"/>
            <w:vAlign w:val="bottom"/>
            <w:tcBorders>
              <w:bottom w:val="single" w:sz="8" w:color="C9D9EB"/>
            </w:tcBorders>
            <w:shd w:val="clear" w:color="auto" w:fill="C9D9EB"/>
          </w:tcPr>
          <w:p>
            <w:pPr>
              <w:jc w:val="center"/>
              <w:spacing w:after="0"/>
              <w:rPr>
                <w:sz w:val="20"/>
                <w:szCs w:val="20"/>
                <w:color w:val="auto"/>
              </w:rPr>
            </w:pPr>
            <w:r>
              <w:rPr>
                <w:rFonts w:ascii="Arial" w:cs="Arial" w:eastAsia="Arial" w:hAnsi="Arial"/>
                <w:sz w:val="13"/>
                <w:szCs w:val="13"/>
                <w:color w:val="auto"/>
              </w:rPr>
              <w:t>300</w:t>
            </w:r>
          </w:p>
        </w:tc>
        <w:tc>
          <w:tcPr>
            <w:tcW w:w="1640" w:type="dxa"/>
            <w:vAlign w:val="bottom"/>
            <w:tcBorders>
              <w:bottom w:val="single" w:sz="8" w:color="C9D9EB"/>
            </w:tcBorders>
            <w:shd w:val="clear" w:color="auto" w:fill="C9D9EB"/>
          </w:tcPr>
          <w:p>
            <w:pPr>
              <w:spacing w:after="0"/>
              <w:rPr>
                <w:sz w:val="19"/>
                <w:szCs w:val="19"/>
                <w:color w:val="auto"/>
              </w:rPr>
            </w:pPr>
          </w:p>
        </w:tc>
        <w:tc>
          <w:tcPr>
            <w:tcW w:w="1640" w:type="dxa"/>
            <w:vAlign w:val="bottom"/>
            <w:tcBorders>
              <w:bottom w:val="single" w:sz="8" w:color="C9D9EB"/>
            </w:tcBorders>
            <w:shd w:val="clear" w:color="auto" w:fill="C9D9EB"/>
          </w:tcPr>
          <w:p>
            <w:pPr>
              <w:jc w:val="center"/>
              <w:spacing w:after="0"/>
              <w:rPr>
                <w:sz w:val="20"/>
                <w:szCs w:val="20"/>
                <w:color w:val="auto"/>
              </w:rPr>
            </w:pPr>
            <w:r>
              <w:rPr>
                <w:rFonts w:ascii="Arial" w:cs="Arial" w:eastAsia="Arial" w:hAnsi="Arial"/>
                <w:sz w:val="13"/>
                <w:szCs w:val="13"/>
                <w:color w:val="auto"/>
                <w:w w:val="98"/>
              </w:rPr>
              <w:t>99.97</w:t>
            </w:r>
          </w:p>
        </w:tc>
        <w:tc>
          <w:tcPr>
            <w:tcW w:w="1640" w:type="dxa"/>
            <w:vAlign w:val="bottom"/>
            <w:tcBorders>
              <w:bottom w:val="single" w:sz="8" w:color="C9D9EB"/>
            </w:tcBorders>
            <w:shd w:val="clear" w:color="auto" w:fill="C9D9EB"/>
          </w:tcPr>
          <w:p>
            <w:pPr>
              <w:jc w:val="center"/>
              <w:spacing w:after="0"/>
              <w:rPr>
                <w:sz w:val="20"/>
                <w:szCs w:val="20"/>
                <w:color w:val="auto"/>
              </w:rPr>
            </w:pPr>
            <w:r>
              <w:rPr>
                <w:rFonts w:ascii="Arial" w:cs="Arial" w:eastAsia="Arial" w:hAnsi="Arial"/>
                <w:sz w:val="13"/>
                <w:szCs w:val="13"/>
                <w:color w:val="auto"/>
              </w:rPr>
              <w:t>05.06.21</w:t>
            </w:r>
          </w:p>
        </w:tc>
      </w:tr>
      <w:tr>
        <w:trPr>
          <w:trHeight w:val="221"/>
        </w:trPr>
        <w:tc>
          <w:tcPr>
            <w:tcW w:w="2140" w:type="dxa"/>
            <w:vAlign w:val="bottom"/>
            <w:shd w:val="clear" w:color="auto" w:fill="4F81BC"/>
          </w:tcPr>
          <w:p>
            <w:pPr>
              <w:ind w:left="60"/>
              <w:spacing w:after="0"/>
              <w:rPr>
                <w:sz w:val="20"/>
                <w:szCs w:val="20"/>
                <w:color w:val="auto"/>
              </w:rPr>
            </w:pPr>
            <w:r>
              <w:rPr>
                <w:rFonts w:ascii="Arial" w:cs="Arial" w:eastAsia="Arial" w:hAnsi="Arial"/>
                <w:sz w:val="15"/>
                <w:szCs w:val="15"/>
                <w:b w:val="1"/>
                <w:bCs w:val="1"/>
                <w:color w:val="FFFFFF"/>
              </w:rPr>
              <w:t>Mr. Milton C. Blackmore</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1,209</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02.24.25</w:t>
            </w:r>
          </w:p>
        </w:tc>
      </w:tr>
      <w:tr>
        <w:trPr>
          <w:trHeight w:val="211"/>
        </w:trPr>
        <w:tc>
          <w:tcPr>
            <w:tcW w:w="2140" w:type="dxa"/>
            <w:vAlign w:val="bottom"/>
            <w:shd w:val="clear" w:color="auto" w:fill="4F81BC"/>
          </w:tcPr>
          <w:p>
            <w:pPr>
              <w:spacing w:after="0"/>
              <w:rPr>
                <w:sz w:val="18"/>
                <w:szCs w:val="18"/>
                <w:color w:val="auto"/>
              </w:rPr>
            </w:pPr>
          </w:p>
        </w:tc>
        <w:tc>
          <w:tcPr>
            <w:tcW w:w="1640" w:type="dxa"/>
            <w:vAlign w:val="bottom"/>
            <w:shd w:val="clear" w:color="auto" w:fill="ECF3F8"/>
          </w:tcPr>
          <w:p>
            <w:pPr>
              <w:spacing w:after="0"/>
              <w:rPr>
                <w:sz w:val="18"/>
                <w:szCs w:val="18"/>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782</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02.26.24</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297</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109.42</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594</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326</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99.68</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02.21.22</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300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99.85</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02.22.21</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313</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95.70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02.24.20</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370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81.07</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02.25.19</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880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68.20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02.20.18</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850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70.60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02.21.17</w:t>
            </w:r>
          </w:p>
        </w:tc>
      </w:tr>
      <w:tr>
        <w:trPr>
          <w:trHeight w:val="228"/>
        </w:trPr>
        <w:tc>
          <w:tcPr>
            <w:tcW w:w="2140" w:type="dxa"/>
            <w:vAlign w:val="bottom"/>
            <w:tcBorders>
              <w:bottom w:val="single" w:sz="8" w:color="4F81BC"/>
            </w:tcBorders>
            <w:shd w:val="clear" w:color="auto" w:fill="4F81BC"/>
          </w:tcPr>
          <w:p>
            <w:pPr>
              <w:spacing w:after="0"/>
              <w:rPr>
                <w:sz w:val="19"/>
                <w:szCs w:val="19"/>
                <w:color w:val="auto"/>
              </w:rPr>
            </w:pPr>
          </w:p>
        </w:tc>
        <w:tc>
          <w:tcPr>
            <w:tcW w:w="1640" w:type="dxa"/>
            <w:vAlign w:val="bottom"/>
            <w:tcBorders>
              <w:bottom w:val="single" w:sz="8" w:color="ECF3F8"/>
            </w:tcBorders>
            <w:shd w:val="clear" w:color="auto" w:fill="ECF3F8"/>
          </w:tcPr>
          <w:p>
            <w:pPr>
              <w:jc w:val="center"/>
              <w:spacing w:after="0"/>
              <w:rPr>
                <w:sz w:val="20"/>
                <w:szCs w:val="20"/>
                <w:color w:val="auto"/>
              </w:rPr>
            </w:pPr>
            <w:r>
              <w:rPr>
                <w:rFonts w:ascii="Arial" w:cs="Arial" w:eastAsia="Arial" w:hAnsi="Arial"/>
                <w:sz w:val="13"/>
                <w:szCs w:val="13"/>
                <w:color w:val="auto"/>
              </w:rPr>
              <w:t>1,030</w:t>
            </w:r>
          </w:p>
        </w:tc>
        <w:tc>
          <w:tcPr>
            <w:tcW w:w="1640" w:type="dxa"/>
            <w:vAlign w:val="bottom"/>
            <w:tcBorders>
              <w:bottom w:val="single" w:sz="8" w:color="ECF3F8"/>
            </w:tcBorders>
            <w:shd w:val="clear" w:color="auto" w:fill="ECF3F8"/>
          </w:tcPr>
          <w:p>
            <w:pPr>
              <w:spacing w:after="0"/>
              <w:rPr>
                <w:sz w:val="19"/>
                <w:szCs w:val="19"/>
                <w:color w:val="auto"/>
              </w:rPr>
            </w:pPr>
          </w:p>
        </w:tc>
        <w:tc>
          <w:tcPr>
            <w:tcW w:w="1640" w:type="dxa"/>
            <w:vAlign w:val="bottom"/>
            <w:tcBorders>
              <w:bottom w:val="single" w:sz="8" w:color="ECF3F8"/>
            </w:tcBorders>
            <w:shd w:val="clear" w:color="auto" w:fill="ECF3F8"/>
          </w:tcPr>
          <w:p>
            <w:pPr>
              <w:jc w:val="center"/>
              <w:spacing w:after="0"/>
              <w:rPr>
                <w:sz w:val="20"/>
                <w:szCs w:val="20"/>
                <w:color w:val="auto"/>
              </w:rPr>
            </w:pPr>
            <w:r>
              <w:rPr>
                <w:rFonts w:ascii="Arial" w:cs="Arial" w:eastAsia="Arial" w:hAnsi="Arial"/>
                <w:sz w:val="13"/>
                <w:szCs w:val="13"/>
                <w:color w:val="auto"/>
                <w:w w:val="98"/>
              </w:rPr>
              <w:t>44.18</w:t>
            </w:r>
          </w:p>
        </w:tc>
        <w:tc>
          <w:tcPr>
            <w:tcW w:w="1640" w:type="dxa"/>
            <w:vAlign w:val="bottom"/>
            <w:tcBorders>
              <w:bottom w:val="single" w:sz="8" w:color="ECF3F8"/>
            </w:tcBorders>
            <w:shd w:val="clear" w:color="auto" w:fill="ECF3F8"/>
          </w:tcPr>
          <w:p>
            <w:pPr>
              <w:jc w:val="center"/>
              <w:spacing w:after="0"/>
              <w:rPr>
                <w:sz w:val="20"/>
                <w:szCs w:val="20"/>
                <w:color w:val="auto"/>
              </w:rPr>
            </w:pPr>
            <w:r>
              <w:rPr>
                <w:rFonts w:ascii="Arial" w:cs="Arial" w:eastAsia="Arial" w:hAnsi="Arial"/>
                <w:sz w:val="13"/>
                <w:szCs w:val="13"/>
                <w:color w:val="auto"/>
              </w:rPr>
              <w:t>02.22.16</w:t>
            </w:r>
          </w:p>
        </w:tc>
      </w:tr>
      <w:tr>
        <w:trPr>
          <w:trHeight w:val="221"/>
        </w:trPr>
        <w:tc>
          <w:tcPr>
            <w:tcW w:w="2140" w:type="dxa"/>
            <w:vAlign w:val="bottom"/>
            <w:shd w:val="clear" w:color="auto" w:fill="4F81BC"/>
          </w:tcPr>
          <w:p>
            <w:pPr>
              <w:ind w:left="60"/>
              <w:spacing w:after="0"/>
              <w:rPr>
                <w:sz w:val="20"/>
                <w:szCs w:val="20"/>
                <w:color w:val="auto"/>
              </w:rPr>
            </w:pPr>
            <w:r>
              <w:rPr>
                <w:rFonts w:ascii="Arial" w:cs="Arial" w:eastAsia="Arial" w:hAnsi="Arial"/>
                <w:sz w:val="15"/>
                <w:szCs w:val="15"/>
                <w:b w:val="1"/>
                <w:bCs w:val="1"/>
                <w:color w:val="FFFFFF"/>
              </w:rPr>
              <w:t>Mr. David F. Landless</w:t>
            </w: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1,209</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02.24.25</w:t>
            </w:r>
          </w:p>
        </w:tc>
      </w:tr>
      <w:tr>
        <w:trPr>
          <w:trHeight w:val="211"/>
        </w:trPr>
        <w:tc>
          <w:tcPr>
            <w:tcW w:w="2140" w:type="dxa"/>
            <w:vAlign w:val="bottom"/>
            <w:shd w:val="clear" w:color="auto" w:fill="4F81BC"/>
          </w:tcPr>
          <w:p>
            <w:pPr>
              <w:spacing w:after="0"/>
              <w:rPr>
                <w:sz w:val="18"/>
                <w:szCs w:val="18"/>
                <w:color w:val="auto"/>
              </w:rPr>
            </w:pPr>
          </w:p>
        </w:tc>
        <w:tc>
          <w:tcPr>
            <w:tcW w:w="1640" w:type="dxa"/>
            <w:vAlign w:val="bottom"/>
            <w:shd w:val="clear" w:color="auto" w:fill="C9D9EB"/>
          </w:tcPr>
          <w:p>
            <w:pPr>
              <w:spacing w:after="0"/>
              <w:rPr>
                <w:sz w:val="18"/>
                <w:szCs w:val="18"/>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782</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02.26.24</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297</w:t>
            </w: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109.42</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594</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326</w:t>
            </w: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w w:val="98"/>
              </w:rPr>
              <w:t>99.68</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02.21.22</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652</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02.21.22</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300</w:t>
            </w: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w w:val="98"/>
              </w:rPr>
              <w:t>99.85</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02.22.21</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313</w:t>
            </w: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w w:val="98"/>
              </w:rPr>
              <w:t>95.70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02.24.20</w:t>
            </w:r>
          </w:p>
        </w:tc>
      </w:tr>
      <w:tr>
        <w:trPr>
          <w:trHeight w:val="228"/>
        </w:trPr>
        <w:tc>
          <w:tcPr>
            <w:tcW w:w="2140" w:type="dxa"/>
            <w:vAlign w:val="bottom"/>
            <w:tcBorders>
              <w:bottom w:val="single" w:sz="8" w:color="4F81BC"/>
            </w:tcBorders>
            <w:shd w:val="clear" w:color="auto" w:fill="4F81BC"/>
          </w:tcPr>
          <w:p>
            <w:pPr>
              <w:spacing w:after="0"/>
              <w:rPr>
                <w:sz w:val="19"/>
                <w:szCs w:val="19"/>
                <w:color w:val="auto"/>
              </w:rPr>
            </w:pPr>
          </w:p>
        </w:tc>
        <w:tc>
          <w:tcPr>
            <w:tcW w:w="1640" w:type="dxa"/>
            <w:vAlign w:val="bottom"/>
            <w:tcBorders>
              <w:bottom w:val="single" w:sz="8" w:color="C9D9EB"/>
            </w:tcBorders>
            <w:shd w:val="clear" w:color="auto" w:fill="C9D9EB"/>
          </w:tcPr>
          <w:p>
            <w:pPr>
              <w:jc w:val="center"/>
              <w:spacing w:after="0"/>
              <w:rPr>
                <w:sz w:val="20"/>
                <w:szCs w:val="20"/>
                <w:color w:val="auto"/>
              </w:rPr>
            </w:pPr>
            <w:r>
              <w:rPr>
                <w:rFonts w:ascii="Arial" w:cs="Arial" w:eastAsia="Arial" w:hAnsi="Arial"/>
                <w:sz w:val="13"/>
                <w:szCs w:val="13"/>
                <w:color w:val="auto"/>
              </w:rPr>
              <w:t>370</w:t>
            </w:r>
          </w:p>
        </w:tc>
        <w:tc>
          <w:tcPr>
            <w:tcW w:w="1640" w:type="dxa"/>
            <w:vAlign w:val="bottom"/>
            <w:tcBorders>
              <w:bottom w:val="single" w:sz="8" w:color="C9D9EB"/>
            </w:tcBorders>
            <w:shd w:val="clear" w:color="auto" w:fill="C9D9EB"/>
          </w:tcPr>
          <w:p>
            <w:pPr>
              <w:spacing w:after="0"/>
              <w:rPr>
                <w:sz w:val="19"/>
                <w:szCs w:val="19"/>
                <w:color w:val="auto"/>
              </w:rPr>
            </w:pPr>
          </w:p>
        </w:tc>
        <w:tc>
          <w:tcPr>
            <w:tcW w:w="1640" w:type="dxa"/>
            <w:vAlign w:val="bottom"/>
            <w:tcBorders>
              <w:bottom w:val="single" w:sz="8" w:color="C9D9EB"/>
            </w:tcBorders>
            <w:shd w:val="clear" w:color="auto" w:fill="C9D9EB"/>
          </w:tcPr>
          <w:p>
            <w:pPr>
              <w:jc w:val="center"/>
              <w:spacing w:after="0"/>
              <w:rPr>
                <w:sz w:val="20"/>
                <w:szCs w:val="20"/>
                <w:color w:val="auto"/>
              </w:rPr>
            </w:pPr>
            <w:r>
              <w:rPr>
                <w:rFonts w:ascii="Arial" w:cs="Arial" w:eastAsia="Arial" w:hAnsi="Arial"/>
                <w:sz w:val="13"/>
                <w:szCs w:val="13"/>
                <w:color w:val="auto"/>
                <w:w w:val="98"/>
              </w:rPr>
              <w:t>81.07</w:t>
            </w:r>
          </w:p>
        </w:tc>
        <w:tc>
          <w:tcPr>
            <w:tcW w:w="1640" w:type="dxa"/>
            <w:vAlign w:val="bottom"/>
            <w:tcBorders>
              <w:bottom w:val="single" w:sz="8" w:color="C9D9EB"/>
            </w:tcBorders>
            <w:shd w:val="clear" w:color="auto" w:fill="C9D9EB"/>
          </w:tcPr>
          <w:p>
            <w:pPr>
              <w:jc w:val="center"/>
              <w:spacing w:after="0"/>
              <w:rPr>
                <w:sz w:val="20"/>
                <w:szCs w:val="20"/>
                <w:color w:val="auto"/>
              </w:rPr>
            </w:pPr>
            <w:r>
              <w:rPr>
                <w:rFonts w:ascii="Arial" w:cs="Arial" w:eastAsia="Arial" w:hAnsi="Arial"/>
                <w:sz w:val="13"/>
                <w:szCs w:val="13"/>
                <w:color w:val="auto"/>
              </w:rPr>
              <w:t>02.25.19</w:t>
            </w:r>
          </w:p>
        </w:tc>
      </w:tr>
      <w:tr>
        <w:trPr>
          <w:trHeight w:val="221"/>
        </w:trPr>
        <w:tc>
          <w:tcPr>
            <w:tcW w:w="2140" w:type="dxa"/>
            <w:vAlign w:val="bottom"/>
            <w:shd w:val="clear" w:color="auto" w:fill="4F81BC"/>
          </w:tcPr>
          <w:p>
            <w:pPr>
              <w:ind w:left="60"/>
              <w:spacing w:after="0"/>
              <w:rPr>
                <w:sz w:val="20"/>
                <w:szCs w:val="20"/>
                <w:color w:val="auto"/>
              </w:rPr>
            </w:pPr>
            <w:r>
              <w:rPr>
                <w:rFonts w:ascii="Arial" w:cs="Arial" w:eastAsia="Arial" w:hAnsi="Arial"/>
                <w:sz w:val="15"/>
                <w:szCs w:val="15"/>
                <w:b w:val="1"/>
                <w:bCs w:val="1"/>
                <w:color w:val="FFFFFF"/>
              </w:rPr>
              <w:t>Mr. Lawrence J. Padfield</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782</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02.26.24</w:t>
            </w:r>
          </w:p>
        </w:tc>
      </w:tr>
      <w:tr>
        <w:trPr>
          <w:trHeight w:val="211"/>
        </w:trPr>
        <w:tc>
          <w:tcPr>
            <w:tcW w:w="2140" w:type="dxa"/>
            <w:vAlign w:val="bottom"/>
            <w:shd w:val="clear" w:color="auto" w:fill="4F81BC"/>
          </w:tcPr>
          <w:p>
            <w:pPr>
              <w:spacing w:after="0"/>
              <w:rPr>
                <w:sz w:val="18"/>
                <w:szCs w:val="18"/>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297</w:t>
            </w:r>
          </w:p>
        </w:tc>
        <w:tc>
          <w:tcPr>
            <w:tcW w:w="1640" w:type="dxa"/>
            <w:vAlign w:val="bottom"/>
            <w:shd w:val="clear" w:color="auto" w:fill="ECF3F8"/>
          </w:tcPr>
          <w:p>
            <w:pPr>
              <w:spacing w:after="0"/>
              <w:rPr>
                <w:sz w:val="18"/>
                <w:szCs w:val="18"/>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109.42</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594</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326</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99.68</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02.21.22</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652</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02.21.22</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300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99.85</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02.22.21</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313</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95.70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02.24.20</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370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81.07</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02.25.19</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880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68.20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02.20.18</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850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70.60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02.21.17</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1,030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44.18</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02.22.16</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1,035</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43.95</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02.23.15</w:t>
            </w:r>
          </w:p>
        </w:tc>
      </w:tr>
      <w:tr>
        <w:trPr>
          <w:trHeight w:val="25"/>
        </w:trPr>
        <w:tc>
          <w:tcPr>
            <w:tcW w:w="2140" w:type="dxa"/>
            <w:vAlign w:val="bottom"/>
            <w:shd w:val="clear" w:color="auto" w:fill="4F81BC"/>
          </w:tcPr>
          <w:p>
            <w:pPr>
              <w:spacing w:after="0"/>
              <w:rPr>
                <w:sz w:val="2"/>
                <w:szCs w:val="2"/>
                <w:color w:val="auto"/>
              </w:rPr>
            </w:pPr>
          </w:p>
        </w:tc>
        <w:tc>
          <w:tcPr>
            <w:tcW w:w="1640" w:type="dxa"/>
            <w:vAlign w:val="bottom"/>
            <w:shd w:val="clear" w:color="auto" w:fill="ECF3F8"/>
          </w:tcPr>
          <w:p>
            <w:pPr>
              <w:spacing w:after="0"/>
              <w:rPr>
                <w:sz w:val="2"/>
                <w:szCs w:val="2"/>
                <w:color w:val="auto"/>
              </w:rPr>
            </w:pPr>
          </w:p>
        </w:tc>
        <w:tc>
          <w:tcPr>
            <w:tcW w:w="1640" w:type="dxa"/>
            <w:vAlign w:val="bottom"/>
            <w:shd w:val="clear" w:color="auto" w:fill="ECF3F8"/>
          </w:tcPr>
          <w:p>
            <w:pPr>
              <w:spacing w:after="0"/>
              <w:rPr>
                <w:sz w:val="2"/>
                <w:szCs w:val="2"/>
                <w:color w:val="auto"/>
              </w:rPr>
            </w:pPr>
          </w:p>
        </w:tc>
        <w:tc>
          <w:tcPr>
            <w:tcW w:w="1640" w:type="dxa"/>
            <w:vAlign w:val="bottom"/>
            <w:shd w:val="clear" w:color="auto" w:fill="ECF3F8"/>
          </w:tcPr>
          <w:p>
            <w:pPr>
              <w:spacing w:after="0"/>
              <w:rPr>
                <w:sz w:val="2"/>
                <w:szCs w:val="2"/>
                <w:color w:val="auto"/>
              </w:rPr>
            </w:pPr>
          </w:p>
        </w:tc>
        <w:tc>
          <w:tcPr>
            <w:tcW w:w="1640" w:type="dxa"/>
            <w:vAlign w:val="bottom"/>
            <w:shd w:val="clear" w:color="auto" w:fill="ECF3F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1421130</wp:posOffset>
            </wp:positionV>
            <wp:extent cx="297180" cy="290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7180" cy="29019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-5401945</wp:posOffset>
            </wp:positionV>
            <wp:extent cx="5515610" cy="54095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15610" cy="540956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9" w:name="page50"/>
    <w:bookmarkEnd w:id="49"/>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2140" w:type="dxa"/>
            <w:vAlign w:val="bottom"/>
            <w:shd w:val="clear" w:color="auto" w:fill="4F81BC"/>
          </w:tcPr>
          <w:p>
            <w:pPr>
              <w:ind w:left="60"/>
              <w:spacing w:after="0"/>
              <w:rPr>
                <w:sz w:val="20"/>
                <w:szCs w:val="20"/>
                <w:color w:val="auto"/>
              </w:rPr>
            </w:pPr>
            <w:r>
              <w:rPr>
                <w:rFonts w:ascii="Arial" w:cs="Arial" w:eastAsia="Arial" w:hAnsi="Arial"/>
                <w:sz w:val="13"/>
                <w:szCs w:val="13"/>
                <w:b w:val="1"/>
                <w:bCs w:val="1"/>
                <w:color w:val="FFFFFF"/>
              </w:rPr>
              <w:t>Name</w:t>
            </w: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Number of</w:t>
            </w: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Number of</w:t>
            </w:r>
          </w:p>
        </w:tc>
        <w:tc>
          <w:tcPr>
            <w:tcW w:w="1640" w:type="dxa"/>
            <w:vAlign w:val="bottom"/>
            <w:shd w:val="clear" w:color="auto" w:fill="4F81BC"/>
          </w:tcPr>
          <w:p>
            <w:pPr>
              <w:ind w:left="60"/>
              <w:spacing w:after="0"/>
              <w:rPr>
                <w:sz w:val="20"/>
                <w:szCs w:val="20"/>
                <w:color w:val="auto"/>
              </w:rPr>
            </w:pPr>
            <w:r>
              <w:rPr>
                <w:rFonts w:ascii="Arial" w:cs="Arial" w:eastAsia="Arial" w:hAnsi="Arial"/>
                <w:sz w:val="13"/>
                <w:szCs w:val="13"/>
                <w:b w:val="1"/>
                <w:bCs w:val="1"/>
                <w:color w:val="FFFFFF"/>
              </w:rPr>
              <w:t>Option Exercise Price $</w:t>
            </w: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Date of</w:t>
            </w:r>
          </w:p>
        </w:tc>
      </w:tr>
      <w:tr>
        <w:trPr>
          <w:trHeight w:val="202"/>
        </w:trPr>
        <w:tc>
          <w:tcPr>
            <w:tcW w:w="2140" w:type="dxa"/>
            <w:vAlign w:val="bottom"/>
            <w:shd w:val="clear" w:color="auto" w:fill="4F81BC"/>
          </w:tcPr>
          <w:p>
            <w:pPr>
              <w:spacing w:after="0"/>
              <w:rPr>
                <w:sz w:val="17"/>
                <w:szCs w:val="17"/>
                <w:color w:val="auto"/>
              </w:rPr>
            </w:pP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Options</w:t>
            </w: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Stock Awards</w:t>
            </w:r>
          </w:p>
        </w:tc>
        <w:tc>
          <w:tcPr>
            <w:tcW w:w="1640" w:type="dxa"/>
            <w:vAlign w:val="bottom"/>
            <w:shd w:val="clear" w:color="auto" w:fill="4F81BC"/>
          </w:tcPr>
          <w:p>
            <w:pPr>
              <w:spacing w:after="0"/>
              <w:rPr>
                <w:sz w:val="17"/>
                <w:szCs w:val="17"/>
                <w:color w:val="auto"/>
              </w:rPr>
            </w:pPr>
          </w:p>
        </w:tc>
        <w:tc>
          <w:tcPr>
            <w:tcW w:w="1640" w:type="dxa"/>
            <w:vAlign w:val="bottom"/>
            <w:shd w:val="clear" w:color="auto" w:fill="4F81BC"/>
          </w:tcPr>
          <w:p>
            <w:pPr>
              <w:jc w:val="center"/>
              <w:spacing w:after="0"/>
              <w:rPr>
                <w:sz w:val="20"/>
                <w:szCs w:val="20"/>
                <w:color w:val="auto"/>
              </w:rPr>
            </w:pPr>
            <w:r>
              <w:rPr>
                <w:rFonts w:ascii="Arial" w:cs="Arial" w:eastAsia="Arial" w:hAnsi="Arial"/>
                <w:sz w:val="13"/>
                <w:szCs w:val="13"/>
                <w:b w:val="1"/>
                <w:bCs w:val="1"/>
                <w:color w:val="FFFFFF"/>
              </w:rPr>
              <w:t>Grant</w:t>
            </w:r>
          </w:p>
        </w:tc>
      </w:tr>
      <w:tr>
        <w:trPr>
          <w:trHeight w:val="217"/>
        </w:trPr>
        <w:tc>
          <w:tcPr>
            <w:tcW w:w="2140" w:type="dxa"/>
            <w:vAlign w:val="bottom"/>
            <w:shd w:val="clear" w:color="auto" w:fill="4F81BC"/>
          </w:tcPr>
          <w:p>
            <w:pPr>
              <w:ind w:left="60"/>
              <w:spacing w:after="0"/>
              <w:rPr>
                <w:sz w:val="20"/>
                <w:szCs w:val="20"/>
                <w:color w:val="auto"/>
              </w:rPr>
            </w:pPr>
            <w:r>
              <w:rPr>
                <w:rFonts w:ascii="Arial" w:cs="Arial" w:eastAsia="Arial" w:hAnsi="Arial"/>
                <w:sz w:val="13"/>
                <w:szCs w:val="13"/>
                <w:b w:val="1"/>
                <w:bCs w:val="1"/>
                <w:color w:val="FFFFFF"/>
              </w:rPr>
              <w:t>Mr. Leslie J. Parrette</w:t>
            </w:r>
          </w:p>
        </w:tc>
        <w:tc>
          <w:tcPr>
            <w:tcW w:w="1640" w:type="dxa"/>
            <w:vAlign w:val="bottom"/>
            <w:shd w:val="clear" w:color="auto" w:fill="C9D9EB"/>
          </w:tcPr>
          <w:p>
            <w:pPr>
              <w:spacing w:after="0"/>
              <w:rPr>
                <w:sz w:val="18"/>
                <w:szCs w:val="18"/>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1,209</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02.24.25</w:t>
            </w:r>
          </w:p>
        </w:tc>
      </w:tr>
      <w:tr>
        <w:trPr>
          <w:trHeight w:val="215"/>
        </w:trPr>
        <w:tc>
          <w:tcPr>
            <w:tcW w:w="2140" w:type="dxa"/>
            <w:vAlign w:val="bottom"/>
            <w:shd w:val="clear" w:color="auto" w:fill="4F81BC"/>
          </w:tcPr>
          <w:p>
            <w:pPr>
              <w:spacing w:after="0"/>
              <w:rPr>
                <w:sz w:val="18"/>
                <w:szCs w:val="18"/>
                <w:color w:val="auto"/>
              </w:rPr>
            </w:pPr>
          </w:p>
        </w:tc>
        <w:tc>
          <w:tcPr>
            <w:tcW w:w="1640" w:type="dxa"/>
            <w:vAlign w:val="bottom"/>
            <w:shd w:val="clear" w:color="auto" w:fill="C9D9EB"/>
          </w:tcPr>
          <w:p>
            <w:pPr>
              <w:spacing w:after="0"/>
              <w:rPr>
                <w:sz w:val="18"/>
                <w:szCs w:val="18"/>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782</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02.26.24</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297</w:t>
            </w: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109.42</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C9D9EB"/>
          </w:tcPr>
          <w:p>
            <w:pPr>
              <w:spacing w:after="0"/>
              <w:rPr>
                <w:sz w:val="19"/>
                <w:szCs w:val="19"/>
                <w:color w:val="auto"/>
              </w:rPr>
            </w:pP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594</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C9D9EB"/>
          </w:tcPr>
          <w:p>
            <w:pPr>
              <w:jc w:val="center"/>
              <w:spacing w:after="0"/>
              <w:rPr>
                <w:sz w:val="20"/>
                <w:szCs w:val="20"/>
                <w:color w:val="auto"/>
              </w:rPr>
            </w:pPr>
            <w:r>
              <w:rPr>
                <w:rFonts w:ascii="Arial" w:cs="Arial" w:eastAsia="Arial" w:hAnsi="Arial"/>
                <w:sz w:val="13"/>
                <w:szCs w:val="13"/>
                <w:color w:val="auto"/>
              </w:rPr>
              <w:t>02.27.23</w:t>
            </w:r>
          </w:p>
        </w:tc>
      </w:tr>
      <w:tr>
        <w:trPr>
          <w:trHeight w:val="228"/>
        </w:trPr>
        <w:tc>
          <w:tcPr>
            <w:tcW w:w="2140" w:type="dxa"/>
            <w:vAlign w:val="bottom"/>
            <w:tcBorders>
              <w:bottom w:val="single" w:sz="8" w:color="4F81BC"/>
            </w:tcBorders>
            <w:shd w:val="clear" w:color="auto" w:fill="4F81BC"/>
          </w:tcPr>
          <w:p>
            <w:pPr>
              <w:spacing w:after="0"/>
              <w:rPr>
                <w:sz w:val="19"/>
                <w:szCs w:val="19"/>
                <w:color w:val="auto"/>
              </w:rPr>
            </w:pPr>
          </w:p>
        </w:tc>
        <w:tc>
          <w:tcPr>
            <w:tcW w:w="1640" w:type="dxa"/>
            <w:vAlign w:val="bottom"/>
            <w:tcBorders>
              <w:bottom w:val="single" w:sz="8" w:color="C9D9EB"/>
            </w:tcBorders>
            <w:shd w:val="clear" w:color="auto" w:fill="C9D9EB"/>
          </w:tcPr>
          <w:p>
            <w:pPr>
              <w:jc w:val="center"/>
              <w:spacing w:after="0"/>
              <w:rPr>
                <w:sz w:val="20"/>
                <w:szCs w:val="20"/>
                <w:color w:val="auto"/>
              </w:rPr>
            </w:pPr>
            <w:r>
              <w:rPr>
                <w:rFonts w:ascii="Arial" w:cs="Arial" w:eastAsia="Arial" w:hAnsi="Arial"/>
                <w:sz w:val="13"/>
                <w:szCs w:val="13"/>
                <w:color w:val="auto"/>
              </w:rPr>
              <w:t>325</w:t>
            </w:r>
          </w:p>
        </w:tc>
        <w:tc>
          <w:tcPr>
            <w:tcW w:w="1640" w:type="dxa"/>
            <w:vAlign w:val="bottom"/>
            <w:tcBorders>
              <w:bottom w:val="single" w:sz="8" w:color="C9D9EB"/>
            </w:tcBorders>
            <w:shd w:val="clear" w:color="auto" w:fill="C9D9EB"/>
          </w:tcPr>
          <w:p>
            <w:pPr>
              <w:spacing w:after="0"/>
              <w:rPr>
                <w:sz w:val="19"/>
                <w:szCs w:val="19"/>
                <w:color w:val="auto"/>
              </w:rPr>
            </w:pPr>
          </w:p>
        </w:tc>
        <w:tc>
          <w:tcPr>
            <w:tcW w:w="1640" w:type="dxa"/>
            <w:vAlign w:val="bottom"/>
            <w:tcBorders>
              <w:bottom w:val="single" w:sz="8" w:color="C9D9EB"/>
            </w:tcBorders>
            <w:shd w:val="clear" w:color="auto" w:fill="C9D9EB"/>
          </w:tcPr>
          <w:p>
            <w:pPr>
              <w:jc w:val="center"/>
              <w:spacing w:after="0"/>
              <w:rPr>
                <w:sz w:val="20"/>
                <w:szCs w:val="20"/>
                <w:color w:val="auto"/>
              </w:rPr>
            </w:pPr>
            <w:r>
              <w:rPr>
                <w:rFonts w:ascii="Arial" w:cs="Arial" w:eastAsia="Arial" w:hAnsi="Arial"/>
                <w:sz w:val="13"/>
                <w:szCs w:val="13"/>
                <w:color w:val="auto"/>
                <w:w w:val="98"/>
              </w:rPr>
              <w:t>99.94</w:t>
            </w:r>
          </w:p>
        </w:tc>
        <w:tc>
          <w:tcPr>
            <w:tcW w:w="1640" w:type="dxa"/>
            <w:vAlign w:val="bottom"/>
            <w:tcBorders>
              <w:bottom w:val="single" w:sz="8" w:color="C9D9EB"/>
            </w:tcBorders>
            <w:shd w:val="clear" w:color="auto" w:fill="C9D9EB"/>
          </w:tcPr>
          <w:p>
            <w:pPr>
              <w:jc w:val="center"/>
              <w:spacing w:after="0"/>
              <w:rPr>
                <w:sz w:val="20"/>
                <w:szCs w:val="20"/>
                <w:color w:val="auto"/>
              </w:rPr>
            </w:pPr>
            <w:r>
              <w:rPr>
                <w:rFonts w:ascii="Arial" w:cs="Arial" w:eastAsia="Arial" w:hAnsi="Arial"/>
                <w:sz w:val="13"/>
                <w:szCs w:val="13"/>
                <w:color w:val="auto"/>
              </w:rPr>
              <w:t>05.06.22</w:t>
            </w:r>
          </w:p>
        </w:tc>
      </w:tr>
      <w:tr>
        <w:trPr>
          <w:trHeight w:val="217"/>
        </w:trPr>
        <w:tc>
          <w:tcPr>
            <w:tcW w:w="2140" w:type="dxa"/>
            <w:vAlign w:val="bottom"/>
            <w:shd w:val="clear" w:color="auto" w:fill="4F81BC"/>
          </w:tcPr>
          <w:p>
            <w:pPr>
              <w:ind w:left="60"/>
              <w:spacing w:after="0"/>
              <w:rPr>
                <w:sz w:val="20"/>
                <w:szCs w:val="20"/>
                <w:color w:val="auto"/>
              </w:rPr>
            </w:pPr>
            <w:r>
              <w:rPr>
                <w:rFonts w:ascii="Arial" w:cs="Arial" w:eastAsia="Arial" w:hAnsi="Arial"/>
                <w:sz w:val="13"/>
                <w:szCs w:val="13"/>
                <w:b w:val="1"/>
                <w:bCs w:val="1"/>
                <w:color w:val="FFFFFF"/>
              </w:rPr>
              <w:t>Ms. Claudia P. Poccia</w:t>
            </w:r>
          </w:p>
        </w:tc>
        <w:tc>
          <w:tcPr>
            <w:tcW w:w="1640" w:type="dxa"/>
            <w:vAlign w:val="bottom"/>
            <w:shd w:val="clear" w:color="auto" w:fill="ECF3F8"/>
          </w:tcPr>
          <w:p>
            <w:pPr>
              <w:spacing w:after="0"/>
              <w:rPr>
                <w:sz w:val="18"/>
                <w:szCs w:val="18"/>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1,209</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02.24.25</w:t>
            </w:r>
          </w:p>
        </w:tc>
      </w:tr>
      <w:tr>
        <w:trPr>
          <w:trHeight w:val="215"/>
        </w:trPr>
        <w:tc>
          <w:tcPr>
            <w:tcW w:w="2140" w:type="dxa"/>
            <w:vAlign w:val="bottom"/>
            <w:shd w:val="clear" w:color="auto" w:fill="4F81BC"/>
          </w:tcPr>
          <w:p>
            <w:pPr>
              <w:spacing w:after="0"/>
              <w:rPr>
                <w:sz w:val="18"/>
                <w:szCs w:val="18"/>
                <w:color w:val="auto"/>
              </w:rPr>
            </w:pPr>
          </w:p>
        </w:tc>
        <w:tc>
          <w:tcPr>
            <w:tcW w:w="1640" w:type="dxa"/>
            <w:vAlign w:val="bottom"/>
            <w:shd w:val="clear" w:color="auto" w:fill="ECF3F8"/>
          </w:tcPr>
          <w:p>
            <w:pPr>
              <w:spacing w:after="0"/>
              <w:rPr>
                <w:sz w:val="18"/>
                <w:szCs w:val="18"/>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782</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02.26.24</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297</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109.42</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594</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02.27.23</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326</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99.68</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02.21.22</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652</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0.00</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02.21.22</w:t>
            </w:r>
          </w:p>
        </w:tc>
      </w:tr>
      <w:tr>
        <w:trPr>
          <w:trHeight w:val="223"/>
        </w:trPr>
        <w:tc>
          <w:tcPr>
            <w:tcW w:w="2140" w:type="dxa"/>
            <w:vAlign w:val="bottom"/>
            <w:shd w:val="clear" w:color="auto" w:fill="4F81BC"/>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300</w:t>
            </w:r>
          </w:p>
        </w:tc>
        <w:tc>
          <w:tcPr>
            <w:tcW w:w="1640" w:type="dxa"/>
            <w:vAlign w:val="bottom"/>
            <w:shd w:val="clear" w:color="auto" w:fill="ECF3F8"/>
          </w:tcPr>
          <w:p>
            <w:pPr>
              <w:spacing w:after="0"/>
              <w:rPr>
                <w:sz w:val="19"/>
                <w:szCs w:val="19"/>
                <w:color w:val="auto"/>
              </w:rPr>
            </w:pP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w w:val="98"/>
              </w:rPr>
              <w:t>99.85</w:t>
            </w:r>
          </w:p>
        </w:tc>
        <w:tc>
          <w:tcPr>
            <w:tcW w:w="1640" w:type="dxa"/>
            <w:vAlign w:val="bottom"/>
            <w:shd w:val="clear" w:color="auto" w:fill="ECF3F8"/>
          </w:tcPr>
          <w:p>
            <w:pPr>
              <w:jc w:val="center"/>
              <w:spacing w:after="0"/>
              <w:rPr>
                <w:sz w:val="20"/>
                <w:szCs w:val="20"/>
                <w:color w:val="auto"/>
              </w:rPr>
            </w:pPr>
            <w:r>
              <w:rPr>
                <w:rFonts w:ascii="Arial" w:cs="Arial" w:eastAsia="Arial" w:hAnsi="Arial"/>
                <w:sz w:val="13"/>
                <w:szCs w:val="13"/>
                <w:color w:val="auto"/>
              </w:rPr>
              <w:t>02.22.21</w:t>
            </w:r>
          </w:p>
        </w:tc>
      </w:tr>
      <w:tr>
        <w:trPr>
          <w:trHeight w:val="25"/>
        </w:trPr>
        <w:tc>
          <w:tcPr>
            <w:tcW w:w="2140" w:type="dxa"/>
            <w:vAlign w:val="bottom"/>
            <w:shd w:val="clear" w:color="auto" w:fill="4F81BC"/>
          </w:tcPr>
          <w:p>
            <w:pPr>
              <w:spacing w:after="0"/>
              <w:rPr>
                <w:sz w:val="2"/>
                <w:szCs w:val="2"/>
                <w:color w:val="auto"/>
              </w:rPr>
            </w:pPr>
          </w:p>
        </w:tc>
        <w:tc>
          <w:tcPr>
            <w:tcW w:w="1640" w:type="dxa"/>
            <w:vAlign w:val="bottom"/>
            <w:shd w:val="clear" w:color="auto" w:fill="ECF3F8"/>
          </w:tcPr>
          <w:p>
            <w:pPr>
              <w:spacing w:after="0"/>
              <w:rPr>
                <w:sz w:val="2"/>
                <w:szCs w:val="2"/>
                <w:color w:val="auto"/>
              </w:rPr>
            </w:pPr>
          </w:p>
        </w:tc>
        <w:tc>
          <w:tcPr>
            <w:tcW w:w="1640" w:type="dxa"/>
            <w:vAlign w:val="bottom"/>
            <w:shd w:val="clear" w:color="auto" w:fill="ECF3F8"/>
          </w:tcPr>
          <w:p>
            <w:pPr>
              <w:spacing w:after="0"/>
              <w:rPr>
                <w:sz w:val="2"/>
                <w:szCs w:val="2"/>
                <w:color w:val="auto"/>
              </w:rPr>
            </w:pPr>
          </w:p>
        </w:tc>
        <w:tc>
          <w:tcPr>
            <w:tcW w:w="1640" w:type="dxa"/>
            <w:vAlign w:val="bottom"/>
            <w:shd w:val="clear" w:color="auto" w:fill="ECF3F8"/>
          </w:tcPr>
          <w:p>
            <w:pPr>
              <w:spacing w:after="0"/>
              <w:rPr>
                <w:sz w:val="2"/>
                <w:szCs w:val="2"/>
                <w:color w:val="auto"/>
              </w:rPr>
            </w:pPr>
          </w:p>
        </w:tc>
        <w:tc>
          <w:tcPr>
            <w:tcW w:w="1640" w:type="dxa"/>
            <w:vAlign w:val="bottom"/>
            <w:shd w:val="clear" w:color="auto" w:fill="ECF3F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5267960</wp:posOffset>
            </wp:positionV>
            <wp:extent cx="297180" cy="290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97180" cy="29019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-1710690</wp:posOffset>
            </wp:positionV>
            <wp:extent cx="5515610" cy="17113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15610" cy="171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60"/>
        <w:spacing w:after="0"/>
        <w:rPr>
          <w:sz w:val="20"/>
          <w:szCs w:val="20"/>
          <w:color w:val="auto"/>
        </w:rPr>
      </w:pPr>
      <w:r>
        <w:rPr>
          <w:rFonts w:ascii="Arial" w:cs="Arial" w:eastAsia="Arial" w:hAnsi="Arial"/>
          <w:sz w:val="12"/>
          <w:szCs w:val="12"/>
          <w:b w:val="1"/>
          <w:bCs w:val="1"/>
          <w:color w:val="auto"/>
        </w:rPr>
        <w: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815340</wp:posOffset>
            </wp:positionV>
            <wp:extent cx="7207885"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78" w:lineRule="exact"/>
        <w:rPr>
          <w:sz w:val="20"/>
          <w:szCs w:val="20"/>
          <w:color w:val="auto"/>
        </w:rPr>
      </w:pPr>
    </w:p>
    <w:p>
      <w:pPr>
        <w:ind w:left="200" w:right="459"/>
        <w:spacing w:after="0" w:line="278" w:lineRule="auto"/>
        <w:rPr>
          <w:sz w:val="20"/>
          <w:szCs w:val="20"/>
          <w:color w:val="auto"/>
        </w:rPr>
      </w:pPr>
      <w:r>
        <w:rPr>
          <w:rFonts w:ascii="Arial" w:cs="Arial" w:eastAsia="Arial" w:hAnsi="Arial"/>
          <w:sz w:val="27"/>
          <w:szCs w:val="27"/>
          <w:b w:val="1"/>
          <w:bCs w:val="1"/>
          <w:color w:val="874796"/>
        </w:rPr>
        <w:t>WHO OWNS OUR STOCK? INFORMATION ABOUT OUR COMMON STOCK OWNERSHIP</w:t>
      </w:r>
    </w:p>
    <w:p>
      <w:pPr>
        <w:spacing w:after="0" w:line="70"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The table “Stock Ownership of Directors and Executive Officers as of February 15, 2026”, sets out information with regard to the Directors of the Company, our Executive Officers who are named in the “Summary Compensation Table” which appears later in this Proxy Statement (“Named Executive Officers” or “NEOs”), and all current Directors and Executive Officers of the Company as a group.</w:t>
      </w:r>
    </w:p>
    <w:p>
      <w:pPr>
        <w:spacing w:after="0" w:line="94"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table “Beneficial Owners at Fiscal Year-End 2025” sets out certain information with respect to the beneficial ownership of the Company’s Common Stock as of December 31, 2025 by holders of more than 5% of the Company’s outstanding Common Stock.</w:t>
      </w:r>
    </w:p>
    <w:p>
      <w:pPr>
        <w:spacing w:after="0" w:line="75"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As of December 31, 2025, excluding treasury stock, there were 24,884,675 shares of Common Stock outstanding. To the knowledge of the Company, each stockholder listed in the tables below has sole voting and investment power with respect to the stock indicated as beneficially owned, unless otherwise indicated in a footnote. Unless otherwise indicated, the business address of each person is the Company’s corporate address.</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874796"/>
        </w:rPr>
        <w:t>STOCK OWNERSHIP OF DIRECTORS AND EXECUTIVE OFFICERS AS OF</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874796"/>
        </w:rPr>
        <w:t>FEBRUARY 15, 2026</w:t>
      </w:r>
    </w:p>
    <w:p>
      <w:pPr>
        <w:spacing w:after="0" w:line="175"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following table sets out the amount of our Common Stock beneficially owned by each of the Directors, the CEO, the CFO and the other NEOs of the Company:</w:t>
      </w:r>
    </w:p>
    <w:p>
      <w:pPr>
        <w:spacing w:after="0" w:line="90"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2680" w:type="dxa"/>
            <w:vAlign w:val="bottom"/>
            <w:shd w:val="clear" w:color="auto" w:fill="874796"/>
          </w:tcPr>
          <w:p>
            <w:pPr>
              <w:ind w:left="60"/>
              <w:spacing w:after="0"/>
              <w:rPr>
                <w:sz w:val="20"/>
                <w:szCs w:val="20"/>
                <w:color w:val="auto"/>
              </w:rPr>
            </w:pPr>
            <w:r>
              <w:rPr>
                <w:rFonts w:ascii="Arial" w:cs="Arial" w:eastAsia="Arial" w:hAnsi="Arial"/>
                <w:sz w:val="13"/>
                <w:szCs w:val="13"/>
                <w:b w:val="1"/>
                <w:bCs w:val="1"/>
                <w:color w:val="FFFFFF"/>
              </w:rPr>
              <w:t>Name</w:t>
            </w:r>
          </w:p>
        </w:tc>
        <w:tc>
          <w:tcPr>
            <w:tcW w:w="640" w:type="dxa"/>
            <w:vAlign w:val="bottom"/>
            <w:shd w:val="clear" w:color="auto" w:fill="874796"/>
          </w:tcPr>
          <w:p>
            <w:pPr>
              <w:spacing w:after="0"/>
              <w:rPr>
                <w:sz w:val="17"/>
                <w:szCs w:val="17"/>
                <w:color w:val="auto"/>
              </w:rPr>
            </w:pPr>
          </w:p>
        </w:tc>
        <w:tc>
          <w:tcPr>
            <w:tcW w:w="1560" w:type="dxa"/>
            <w:vAlign w:val="bottom"/>
            <w:shd w:val="clear" w:color="auto" w:fill="874796"/>
          </w:tcPr>
          <w:p>
            <w:pPr>
              <w:jc w:val="center"/>
              <w:ind w:right="213"/>
              <w:spacing w:after="0"/>
              <w:rPr>
                <w:sz w:val="20"/>
                <w:szCs w:val="20"/>
                <w:color w:val="auto"/>
              </w:rPr>
            </w:pPr>
            <w:r>
              <w:rPr>
                <w:rFonts w:ascii="Arial" w:cs="Arial" w:eastAsia="Arial" w:hAnsi="Arial"/>
                <w:sz w:val="13"/>
                <w:szCs w:val="13"/>
                <w:b w:val="1"/>
                <w:bCs w:val="1"/>
                <w:color w:val="FFFFFF"/>
              </w:rPr>
              <w:t>Shares Owned</w:t>
            </w:r>
          </w:p>
        </w:tc>
        <w:tc>
          <w:tcPr>
            <w:tcW w:w="1420" w:type="dxa"/>
            <w:vAlign w:val="bottom"/>
            <w:shd w:val="clear" w:color="auto" w:fill="874796"/>
          </w:tcPr>
          <w:p>
            <w:pPr>
              <w:ind w:left="440"/>
              <w:spacing w:after="0"/>
              <w:rPr>
                <w:sz w:val="20"/>
                <w:szCs w:val="20"/>
                <w:color w:val="auto"/>
              </w:rPr>
            </w:pPr>
            <w:r>
              <w:rPr>
                <w:rFonts w:ascii="Arial" w:cs="Arial" w:eastAsia="Arial" w:hAnsi="Arial"/>
                <w:sz w:val="13"/>
                <w:szCs w:val="13"/>
                <w:b w:val="1"/>
                <w:bCs w:val="1"/>
                <w:color w:val="FFFFFF"/>
              </w:rPr>
              <w:t>Right to</w:t>
            </w:r>
          </w:p>
        </w:tc>
        <w:tc>
          <w:tcPr>
            <w:tcW w:w="1220" w:type="dxa"/>
            <w:vAlign w:val="bottom"/>
            <w:shd w:val="clear" w:color="auto" w:fill="874796"/>
          </w:tcPr>
          <w:p>
            <w:pPr>
              <w:ind w:left="560"/>
              <w:spacing w:after="0"/>
              <w:rPr>
                <w:sz w:val="20"/>
                <w:szCs w:val="20"/>
                <w:color w:val="auto"/>
              </w:rPr>
            </w:pPr>
            <w:r>
              <w:rPr>
                <w:rFonts w:ascii="Arial" w:cs="Arial" w:eastAsia="Arial" w:hAnsi="Arial"/>
                <w:sz w:val="13"/>
                <w:szCs w:val="13"/>
                <w:b w:val="1"/>
                <w:bCs w:val="1"/>
                <w:color w:val="FFFFFF"/>
              </w:rPr>
              <w:t>Total</w:t>
            </w:r>
          </w:p>
        </w:tc>
        <w:tc>
          <w:tcPr>
            <w:tcW w:w="1160" w:type="dxa"/>
            <w:vAlign w:val="bottom"/>
            <w:shd w:val="clear" w:color="auto" w:fill="874796"/>
          </w:tcPr>
          <w:p>
            <w:pPr>
              <w:jc w:val="center"/>
              <w:spacing w:after="0"/>
              <w:rPr>
                <w:sz w:val="20"/>
                <w:szCs w:val="20"/>
                <w:color w:val="auto"/>
              </w:rPr>
            </w:pPr>
            <w:r>
              <w:rPr>
                <w:rFonts w:ascii="Arial" w:cs="Arial" w:eastAsia="Arial" w:hAnsi="Arial"/>
                <w:sz w:val="13"/>
                <w:szCs w:val="13"/>
                <w:b w:val="1"/>
                <w:bCs w:val="1"/>
                <w:color w:val="FFFFFF"/>
              </w:rPr>
              <w:t>Percent of</w:t>
            </w:r>
          </w:p>
        </w:tc>
      </w:tr>
      <w:tr>
        <w:trPr>
          <w:trHeight w:val="178"/>
        </w:trPr>
        <w:tc>
          <w:tcPr>
            <w:tcW w:w="2680" w:type="dxa"/>
            <w:vAlign w:val="bottom"/>
            <w:shd w:val="clear" w:color="auto" w:fill="874796"/>
          </w:tcPr>
          <w:p>
            <w:pPr>
              <w:spacing w:after="0"/>
              <w:rPr>
                <w:sz w:val="15"/>
                <w:szCs w:val="15"/>
                <w:color w:val="auto"/>
              </w:rPr>
            </w:pPr>
          </w:p>
        </w:tc>
        <w:tc>
          <w:tcPr>
            <w:tcW w:w="640" w:type="dxa"/>
            <w:vAlign w:val="bottom"/>
            <w:shd w:val="clear" w:color="auto" w:fill="874796"/>
          </w:tcPr>
          <w:p>
            <w:pPr>
              <w:spacing w:after="0"/>
              <w:rPr>
                <w:sz w:val="15"/>
                <w:szCs w:val="15"/>
                <w:color w:val="auto"/>
              </w:rPr>
            </w:pPr>
          </w:p>
        </w:tc>
        <w:tc>
          <w:tcPr>
            <w:tcW w:w="1560" w:type="dxa"/>
            <w:vAlign w:val="bottom"/>
            <w:shd w:val="clear" w:color="auto" w:fill="874796"/>
          </w:tcPr>
          <w:p>
            <w:pPr>
              <w:jc w:val="center"/>
              <w:ind w:right="193"/>
              <w:spacing w:after="0"/>
              <w:rPr>
                <w:sz w:val="20"/>
                <w:szCs w:val="20"/>
                <w:color w:val="auto"/>
              </w:rPr>
            </w:pPr>
            <w:r>
              <w:rPr>
                <w:rFonts w:ascii="Arial" w:cs="Arial" w:eastAsia="Arial" w:hAnsi="Arial"/>
                <w:sz w:val="13"/>
                <w:szCs w:val="13"/>
                <w:b w:val="1"/>
                <w:bCs w:val="1"/>
                <w:color w:val="FFFFFF"/>
              </w:rPr>
              <w:t>Directly or</w:t>
            </w:r>
          </w:p>
        </w:tc>
        <w:tc>
          <w:tcPr>
            <w:tcW w:w="1420" w:type="dxa"/>
            <w:vAlign w:val="bottom"/>
            <w:shd w:val="clear" w:color="auto" w:fill="874796"/>
          </w:tcPr>
          <w:p>
            <w:pPr>
              <w:ind w:left="440"/>
              <w:spacing w:after="0"/>
              <w:rPr>
                <w:sz w:val="20"/>
                <w:szCs w:val="20"/>
                <w:color w:val="auto"/>
              </w:rPr>
            </w:pPr>
            <w:r>
              <w:rPr>
                <w:rFonts w:ascii="Arial" w:cs="Arial" w:eastAsia="Arial" w:hAnsi="Arial"/>
                <w:sz w:val="13"/>
                <w:szCs w:val="13"/>
                <w:b w:val="1"/>
                <w:bCs w:val="1"/>
                <w:color w:val="FFFFFF"/>
              </w:rPr>
              <w:t>Acquire</w:t>
            </w:r>
          </w:p>
        </w:tc>
        <w:tc>
          <w:tcPr>
            <w:tcW w:w="1220" w:type="dxa"/>
            <w:vAlign w:val="bottom"/>
            <w:shd w:val="clear" w:color="auto" w:fill="874796"/>
          </w:tcPr>
          <w:p>
            <w:pPr>
              <w:spacing w:after="0"/>
              <w:rPr>
                <w:sz w:val="15"/>
                <w:szCs w:val="15"/>
                <w:color w:val="auto"/>
              </w:rPr>
            </w:pPr>
          </w:p>
        </w:tc>
        <w:tc>
          <w:tcPr>
            <w:tcW w:w="1160" w:type="dxa"/>
            <w:vAlign w:val="bottom"/>
            <w:shd w:val="clear" w:color="auto" w:fill="874796"/>
          </w:tcPr>
          <w:p>
            <w:pPr>
              <w:jc w:val="center"/>
              <w:spacing w:after="0"/>
              <w:rPr>
                <w:sz w:val="20"/>
                <w:szCs w:val="20"/>
                <w:color w:val="auto"/>
              </w:rPr>
            </w:pPr>
            <w:r>
              <w:rPr>
                <w:rFonts w:ascii="Arial" w:cs="Arial" w:eastAsia="Arial" w:hAnsi="Arial"/>
                <w:sz w:val="13"/>
                <w:szCs w:val="13"/>
                <w:b w:val="1"/>
                <w:bCs w:val="1"/>
                <w:color w:val="FFFFFF"/>
              </w:rPr>
              <w:t>Class</w:t>
            </w:r>
          </w:p>
        </w:tc>
      </w:tr>
      <w:tr>
        <w:trPr>
          <w:trHeight w:val="202"/>
        </w:trPr>
        <w:tc>
          <w:tcPr>
            <w:tcW w:w="2680" w:type="dxa"/>
            <w:vAlign w:val="bottom"/>
            <w:shd w:val="clear" w:color="auto" w:fill="874796"/>
          </w:tcPr>
          <w:p>
            <w:pPr>
              <w:spacing w:after="0"/>
              <w:rPr>
                <w:sz w:val="17"/>
                <w:szCs w:val="17"/>
                <w:color w:val="auto"/>
              </w:rPr>
            </w:pPr>
          </w:p>
        </w:tc>
        <w:tc>
          <w:tcPr>
            <w:tcW w:w="640" w:type="dxa"/>
            <w:vAlign w:val="bottom"/>
            <w:shd w:val="clear" w:color="auto" w:fill="874796"/>
          </w:tcPr>
          <w:p>
            <w:pPr>
              <w:spacing w:after="0"/>
              <w:rPr>
                <w:sz w:val="17"/>
                <w:szCs w:val="17"/>
                <w:color w:val="auto"/>
              </w:rPr>
            </w:pPr>
          </w:p>
        </w:tc>
        <w:tc>
          <w:tcPr>
            <w:tcW w:w="1560" w:type="dxa"/>
            <w:vAlign w:val="bottom"/>
            <w:shd w:val="clear" w:color="auto" w:fill="874796"/>
          </w:tcPr>
          <w:p>
            <w:pPr>
              <w:jc w:val="center"/>
              <w:ind w:right="213"/>
              <w:spacing w:after="0"/>
              <w:rPr>
                <w:sz w:val="20"/>
                <w:szCs w:val="20"/>
                <w:color w:val="auto"/>
              </w:rPr>
            </w:pPr>
            <w:r>
              <w:rPr>
                <w:rFonts w:ascii="Arial" w:cs="Arial" w:eastAsia="Arial" w:hAnsi="Arial"/>
                <w:sz w:val="13"/>
                <w:szCs w:val="13"/>
                <w:b w:val="1"/>
                <w:bCs w:val="1"/>
                <w:color w:val="FFFFFF"/>
              </w:rPr>
              <w:t>Indirectly</w:t>
            </w:r>
          </w:p>
        </w:tc>
        <w:tc>
          <w:tcPr>
            <w:tcW w:w="1420" w:type="dxa"/>
            <w:vAlign w:val="bottom"/>
            <w:shd w:val="clear" w:color="auto" w:fill="874796"/>
          </w:tcPr>
          <w:p>
            <w:pPr>
              <w:spacing w:after="0"/>
              <w:rPr>
                <w:sz w:val="17"/>
                <w:szCs w:val="17"/>
                <w:color w:val="auto"/>
              </w:rPr>
            </w:pPr>
          </w:p>
        </w:tc>
        <w:tc>
          <w:tcPr>
            <w:tcW w:w="1220" w:type="dxa"/>
            <w:vAlign w:val="bottom"/>
            <w:shd w:val="clear" w:color="auto" w:fill="874796"/>
          </w:tcPr>
          <w:p>
            <w:pPr>
              <w:spacing w:after="0"/>
              <w:rPr>
                <w:sz w:val="17"/>
                <w:szCs w:val="17"/>
                <w:color w:val="auto"/>
              </w:rPr>
            </w:pPr>
          </w:p>
        </w:tc>
        <w:tc>
          <w:tcPr>
            <w:tcW w:w="1160" w:type="dxa"/>
            <w:vAlign w:val="bottom"/>
            <w:shd w:val="clear" w:color="auto" w:fill="874796"/>
          </w:tcPr>
          <w:p>
            <w:pPr>
              <w:spacing w:after="0"/>
              <w:rPr>
                <w:sz w:val="17"/>
                <w:szCs w:val="17"/>
                <w:color w:val="auto"/>
              </w:rPr>
            </w:pPr>
          </w:p>
        </w:tc>
      </w:tr>
      <w:tr>
        <w:trPr>
          <w:trHeight w:val="234"/>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Ms. Elizabeth K. Arnold</w:t>
            </w:r>
          </w:p>
        </w:tc>
        <w:tc>
          <w:tcPr>
            <w:tcW w:w="64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DBC7DF"/>
          </w:tcPr>
          <w:p>
            <w:pPr>
              <w:jc w:val="center"/>
              <w:ind w:right="193"/>
              <w:spacing w:after="0"/>
              <w:rPr>
                <w:sz w:val="20"/>
                <w:szCs w:val="20"/>
                <w:color w:val="auto"/>
              </w:rPr>
            </w:pPr>
            <w:r>
              <w:rPr>
                <w:rFonts w:ascii="Arial" w:cs="Arial" w:eastAsia="Arial" w:hAnsi="Arial"/>
                <w:sz w:val="13"/>
                <w:szCs w:val="13"/>
                <w:color w:val="auto"/>
              </w:rPr>
              <w:t>2,252</w:t>
            </w:r>
          </w:p>
        </w:tc>
        <w:tc>
          <w:tcPr>
            <w:tcW w:w="1420" w:type="dxa"/>
            <w:vAlign w:val="bottom"/>
            <w:shd w:val="clear" w:color="auto" w:fill="DBC7DF"/>
          </w:tcPr>
          <w:p>
            <w:pPr>
              <w:jc w:val="center"/>
              <w:spacing w:after="0"/>
              <w:rPr>
                <w:sz w:val="20"/>
                <w:szCs w:val="20"/>
                <w:color w:val="auto"/>
              </w:rPr>
            </w:pPr>
            <w:r>
              <w:rPr>
                <w:rFonts w:ascii="Arial" w:cs="Arial" w:eastAsia="Arial" w:hAnsi="Arial"/>
                <w:sz w:val="13"/>
                <w:szCs w:val="13"/>
                <w:color w:val="auto"/>
                <w:w w:val="98"/>
              </w:rPr>
              <w:t>1,517</w:t>
            </w:r>
          </w:p>
        </w:tc>
        <w:tc>
          <w:tcPr>
            <w:tcW w:w="1220" w:type="dxa"/>
            <w:vAlign w:val="bottom"/>
            <w:shd w:val="clear" w:color="auto" w:fill="DBC7DF"/>
          </w:tcPr>
          <w:p>
            <w:pPr>
              <w:jc w:val="center"/>
              <w:ind w:left="133"/>
              <w:spacing w:after="0"/>
              <w:rPr>
                <w:sz w:val="20"/>
                <w:szCs w:val="20"/>
                <w:color w:val="auto"/>
              </w:rPr>
            </w:pPr>
            <w:r>
              <w:rPr>
                <w:rFonts w:ascii="Arial" w:cs="Arial" w:eastAsia="Arial" w:hAnsi="Arial"/>
                <w:sz w:val="13"/>
                <w:szCs w:val="13"/>
                <w:color w:val="auto"/>
              </w:rPr>
              <w:t>3,769</w:t>
            </w:r>
          </w:p>
        </w:tc>
        <w:tc>
          <w:tcPr>
            <w:tcW w:w="116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w:t>
            </w:r>
          </w:p>
        </w:tc>
      </w:tr>
      <w:tr>
        <w:trPr>
          <w:trHeight w:val="225"/>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Mr. Corbin Barnes</w:t>
            </w:r>
          </w:p>
        </w:tc>
        <w:tc>
          <w:tcPr>
            <w:tcW w:w="64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F3ECF4"/>
          </w:tcPr>
          <w:p>
            <w:pPr>
              <w:jc w:val="center"/>
              <w:ind w:right="193"/>
              <w:spacing w:after="0"/>
              <w:rPr>
                <w:sz w:val="20"/>
                <w:szCs w:val="20"/>
                <w:color w:val="auto"/>
              </w:rPr>
            </w:pPr>
            <w:r>
              <w:rPr>
                <w:rFonts w:ascii="Arial" w:cs="Arial" w:eastAsia="Arial" w:hAnsi="Arial"/>
                <w:sz w:val="13"/>
                <w:szCs w:val="13"/>
                <w:color w:val="auto"/>
              </w:rPr>
              <w:t>6,062</w:t>
            </w:r>
          </w:p>
        </w:tc>
        <w:tc>
          <w:tcPr>
            <w:tcW w:w="1420" w:type="dxa"/>
            <w:vAlign w:val="bottom"/>
            <w:shd w:val="clear" w:color="auto" w:fill="F3ECF4"/>
          </w:tcPr>
          <w:p>
            <w:pPr>
              <w:jc w:val="center"/>
              <w:spacing w:after="0"/>
              <w:rPr>
                <w:sz w:val="20"/>
                <w:szCs w:val="20"/>
                <w:color w:val="auto"/>
              </w:rPr>
            </w:pPr>
            <w:r>
              <w:rPr>
                <w:rFonts w:ascii="Arial" w:cs="Arial" w:eastAsia="Arial" w:hAnsi="Arial"/>
                <w:sz w:val="13"/>
                <w:szCs w:val="13"/>
                <w:color w:val="auto"/>
                <w:w w:val="98"/>
              </w:rPr>
              <w:t>3,252</w:t>
            </w:r>
          </w:p>
        </w:tc>
        <w:tc>
          <w:tcPr>
            <w:tcW w:w="1220" w:type="dxa"/>
            <w:vAlign w:val="bottom"/>
            <w:shd w:val="clear" w:color="auto" w:fill="F3ECF4"/>
          </w:tcPr>
          <w:p>
            <w:pPr>
              <w:jc w:val="center"/>
              <w:ind w:left="133"/>
              <w:spacing w:after="0"/>
              <w:rPr>
                <w:sz w:val="20"/>
                <w:szCs w:val="20"/>
                <w:color w:val="auto"/>
              </w:rPr>
            </w:pPr>
            <w:r>
              <w:rPr>
                <w:rFonts w:ascii="Arial" w:cs="Arial" w:eastAsia="Arial" w:hAnsi="Arial"/>
                <w:sz w:val="13"/>
                <w:szCs w:val="13"/>
                <w:color w:val="auto"/>
              </w:rPr>
              <w:t>9,314</w:t>
            </w:r>
          </w:p>
        </w:tc>
        <w:tc>
          <w:tcPr>
            <w:tcW w:w="116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w:t>
            </w:r>
          </w:p>
        </w:tc>
      </w:tr>
      <w:tr>
        <w:trPr>
          <w:trHeight w:val="242"/>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Mr. Milton C. Blackmore</w:t>
            </w:r>
          </w:p>
        </w:tc>
        <w:tc>
          <w:tcPr>
            <w:tcW w:w="64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(1)(2)</w:t>
            </w:r>
          </w:p>
        </w:tc>
        <w:tc>
          <w:tcPr>
            <w:tcW w:w="1560" w:type="dxa"/>
            <w:vAlign w:val="bottom"/>
            <w:shd w:val="clear" w:color="auto" w:fill="DBC7DF"/>
          </w:tcPr>
          <w:p>
            <w:pPr>
              <w:jc w:val="center"/>
              <w:ind w:right="193"/>
              <w:spacing w:after="0"/>
              <w:rPr>
                <w:sz w:val="20"/>
                <w:szCs w:val="20"/>
                <w:color w:val="auto"/>
              </w:rPr>
            </w:pPr>
            <w:r>
              <w:rPr>
                <w:rFonts w:ascii="Arial" w:cs="Arial" w:eastAsia="Arial" w:hAnsi="Arial"/>
                <w:sz w:val="13"/>
                <w:szCs w:val="13"/>
                <w:color w:val="auto"/>
              </w:rPr>
              <w:t>7,000</w:t>
            </w:r>
          </w:p>
        </w:tc>
        <w:tc>
          <w:tcPr>
            <w:tcW w:w="1420" w:type="dxa"/>
            <w:vAlign w:val="bottom"/>
            <w:shd w:val="clear" w:color="auto" w:fill="DBC7DF"/>
          </w:tcPr>
          <w:p>
            <w:pPr>
              <w:jc w:val="center"/>
              <w:spacing w:after="0"/>
              <w:rPr>
                <w:sz w:val="20"/>
                <w:szCs w:val="20"/>
                <w:color w:val="auto"/>
              </w:rPr>
            </w:pPr>
            <w:r>
              <w:rPr>
                <w:rFonts w:ascii="Arial" w:cs="Arial" w:eastAsia="Arial" w:hAnsi="Arial"/>
                <w:sz w:val="13"/>
                <w:szCs w:val="13"/>
                <w:color w:val="auto"/>
                <w:w w:val="98"/>
              </w:rPr>
              <w:t>4,960</w:t>
            </w:r>
          </w:p>
        </w:tc>
        <w:tc>
          <w:tcPr>
            <w:tcW w:w="1220" w:type="dxa"/>
            <w:vAlign w:val="bottom"/>
            <w:shd w:val="clear" w:color="auto" w:fill="DBC7DF"/>
          </w:tcPr>
          <w:p>
            <w:pPr>
              <w:jc w:val="center"/>
              <w:ind w:left="153"/>
              <w:spacing w:after="0"/>
              <w:rPr>
                <w:sz w:val="20"/>
                <w:szCs w:val="20"/>
                <w:color w:val="auto"/>
              </w:rPr>
            </w:pPr>
            <w:r>
              <w:rPr>
                <w:rFonts w:ascii="Arial" w:cs="Arial" w:eastAsia="Arial" w:hAnsi="Arial"/>
                <w:sz w:val="13"/>
                <w:szCs w:val="13"/>
                <w:color w:val="auto"/>
              </w:rPr>
              <w:t>11,960</w:t>
            </w:r>
          </w:p>
        </w:tc>
        <w:tc>
          <w:tcPr>
            <w:tcW w:w="116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w:t>
            </w:r>
          </w:p>
        </w:tc>
      </w:tr>
      <w:tr>
        <w:trPr>
          <w:trHeight w:val="225"/>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Mr. Ian C. Cleminson</w:t>
            </w:r>
          </w:p>
        </w:tc>
        <w:tc>
          <w:tcPr>
            <w:tcW w:w="64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F3ECF4"/>
          </w:tcPr>
          <w:p>
            <w:pPr>
              <w:jc w:val="center"/>
              <w:ind w:right="193"/>
              <w:spacing w:after="0"/>
              <w:rPr>
                <w:sz w:val="20"/>
                <w:szCs w:val="20"/>
                <w:color w:val="auto"/>
              </w:rPr>
            </w:pPr>
            <w:r>
              <w:rPr>
                <w:rFonts w:ascii="Arial" w:cs="Arial" w:eastAsia="Arial" w:hAnsi="Arial"/>
                <w:sz w:val="13"/>
                <w:szCs w:val="13"/>
                <w:color w:val="auto"/>
              </w:rPr>
              <w:t>10,977</w:t>
            </w:r>
          </w:p>
        </w:tc>
        <w:tc>
          <w:tcPr>
            <w:tcW w:w="1420" w:type="dxa"/>
            <w:vAlign w:val="bottom"/>
            <w:shd w:val="clear" w:color="auto" w:fill="F3ECF4"/>
          </w:tcPr>
          <w:p>
            <w:pPr>
              <w:jc w:val="center"/>
              <w:spacing w:after="0"/>
              <w:rPr>
                <w:sz w:val="20"/>
                <w:szCs w:val="20"/>
                <w:color w:val="auto"/>
              </w:rPr>
            </w:pPr>
            <w:r>
              <w:rPr>
                <w:rFonts w:ascii="Arial" w:cs="Arial" w:eastAsia="Arial" w:hAnsi="Arial"/>
                <w:sz w:val="13"/>
                <w:szCs w:val="13"/>
                <w:color w:val="auto"/>
                <w:w w:val="98"/>
              </w:rPr>
              <w:t>5,425</w:t>
            </w:r>
          </w:p>
        </w:tc>
        <w:tc>
          <w:tcPr>
            <w:tcW w:w="1220" w:type="dxa"/>
            <w:vAlign w:val="bottom"/>
            <w:shd w:val="clear" w:color="auto" w:fill="F3ECF4"/>
          </w:tcPr>
          <w:p>
            <w:pPr>
              <w:jc w:val="center"/>
              <w:ind w:left="153"/>
              <w:spacing w:after="0"/>
              <w:rPr>
                <w:sz w:val="20"/>
                <w:szCs w:val="20"/>
                <w:color w:val="auto"/>
              </w:rPr>
            </w:pPr>
            <w:r>
              <w:rPr>
                <w:rFonts w:ascii="Arial" w:cs="Arial" w:eastAsia="Arial" w:hAnsi="Arial"/>
                <w:sz w:val="13"/>
                <w:szCs w:val="13"/>
                <w:color w:val="auto"/>
              </w:rPr>
              <w:t>16,402</w:t>
            </w:r>
          </w:p>
        </w:tc>
        <w:tc>
          <w:tcPr>
            <w:tcW w:w="116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w:t>
            </w:r>
          </w:p>
        </w:tc>
      </w:tr>
      <w:tr>
        <w:trPr>
          <w:trHeight w:val="242"/>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Mr. David F. Landless</w:t>
            </w:r>
          </w:p>
        </w:tc>
        <w:tc>
          <w:tcPr>
            <w:tcW w:w="64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DBC7DF"/>
          </w:tcPr>
          <w:p>
            <w:pPr>
              <w:jc w:val="center"/>
              <w:ind w:right="193"/>
              <w:spacing w:after="0"/>
              <w:rPr>
                <w:sz w:val="20"/>
                <w:szCs w:val="20"/>
                <w:color w:val="auto"/>
              </w:rPr>
            </w:pPr>
            <w:r>
              <w:rPr>
                <w:rFonts w:ascii="Arial" w:cs="Arial" w:eastAsia="Arial" w:hAnsi="Arial"/>
                <w:sz w:val="13"/>
                <w:szCs w:val="13"/>
                <w:color w:val="auto"/>
              </w:rPr>
              <w:t>4,102</w:t>
            </w:r>
          </w:p>
        </w:tc>
        <w:tc>
          <w:tcPr>
            <w:tcW w:w="1420" w:type="dxa"/>
            <w:vAlign w:val="bottom"/>
            <w:shd w:val="clear" w:color="auto" w:fill="DBC7DF"/>
          </w:tcPr>
          <w:p>
            <w:pPr>
              <w:jc w:val="center"/>
              <w:spacing w:after="0"/>
              <w:rPr>
                <w:sz w:val="20"/>
                <w:szCs w:val="20"/>
                <w:color w:val="auto"/>
              </w:rPr>
            </w:pPr>
            <w:r>
              <w:rPr>
                <w:rFonts w:ascii="Arial" w:cs="Arial" w:eastAsia="Arial" w:hAnsi="Arial"/>
                <w:sz w:val="13"/>
                <w:szCs w:val="13"/>
                <w:color w:val="auto"/>
                <w:w w:val="98"/>
              </w:rPr>
              <w:t>2,200</w:t>
            </w:r>
          </w:p>
        </w:tc>
        <w:tc>
          <w:tcPr>
            <w:tcW w:w="1220" w:type="dxa"/>
            <w:vAlign w:val="bottom"/>
            <w:shd w:val="clear" w:color="auto" w:fill="DBC7DF"/>
          </w:tcPr>
          <w:p>
            <w:pPr>
              <w:jc w:val="center"/>
              <w:ind w:left="133"/>
              <w:spacing w:after="0"/>
              <w:rPr>
                <w:sz w:val="20"/>
                <w:szCs w:val="20"/>
                <w:color w:val="auto"/>
              </w:rPr>
            </w:pPr>
            <w:r>
              <w:rPr>
                <w:rFonts w:ascii="Arial" w:cs="Arial" w:eastAsia="Arial" w:hAnsi="Arial"/>
                <w:sz w:val="13"/>
                <w:szCs w:val="13"/>
                <w:color w:val="auto"/>
              </w:rPr>
              <w:t>6,302</w:t>
            </w:r>
          </w:p>
        </w:tc>
        <w:tc>
          <w:tcPr>
            <w:tcW w:w="116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w:t>
            </w:r>
          </w:p>
        </w:tc>
      </w:tr>
      <w:tr>
        <w:trPr>
          <w:trHeight w:val="225"/>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Mr. Trey Griffin</w:t>
            </w:r>
          </w:p>
        </w:tc>
        <w:tc>
          <w:tcPr>
            <w:tcW w:w="64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F3ECF4"/>
          </w:tcPr>
          <w:p>
            <w:pPr>
              <w:jc w:val="center"/>
              <w:ind w:right="193"/>
              <w:spacing w:after="0"/>
              <w:rPr>
                <w:sz w:val="20"/>
                <w:szCs w:val="20"/>
                <w:color w:val="auto"/>
              </w:rPr>
            </w:pPr>
            <w:r>
              <w:rPr>
                <w:rFonts w:ascii="Arial" w:cs="Arial" w:eastAsia="Arial" w:hAnsi="Arial"/>
                <w:sz w:val="13"/>
                <w:szCs w:val="13"/>
                <w:color w:val="auto"/>
              </w:rPr>
              <w:t>4,023</w:t>
            </w:r>
          </w:p>
        </w:tc>
        <w:tc>
          <w:tcPr>
            <w:tcW w:w="1420" w:type="dxa"/>
            <w:vAlign w:val="bottom"/>
            <w:shd w:val="clear" w:color="auto" w:fill="F3ECF4"/>
          </w:tcPr>
          <w:p>
            <w:pPr>
              <w:jc w:val="center"/>
              <w:spacing w:after="0"/>
              <w:rPr>
                <w:sz w:val="20"/>
                <w:szCs w:val="20"/>
                <w:color w:val="auto"/>
              </w:rPr>
            </w:pPr>
            <w:r>
              <w:rPr>
                <w:rFonts w:ascii="Arial" w:cs="Arial" w:eastAsia="Arial" w:hAnsi="Arial"/>
                <w:sz w:val="13"/>
                <w:szCs w:val="13"/>
                <w:color w:val="auto"/>
                <w:w w:val="98"/>
              </w:rPr>
              <w:t>2,804</w:t>
            </w:r>
          </w:p>
        </w:tc>
        <w:tc>
          <w:tcPr>
            <w:tcW w:w="1220" w:type="dxa"/>
            <w:vAlign w:val="bottom"/>
            <w:shd w:val="clear" w:color="auto" w:fill="F3ECF4"/>
          </w:tcPr>
          <w:p>
            <w:pPr>
              <w:jc w:val="center"/>
              <w:ind w:left="133"/>
              <w:spacing w:after="0"/>
              <w:rPr>
                <w:sz w:val="20"/>
                <w:szCs w:val="20"/>
                <w:color w:val="auto"/>
              </w:rPr>
            </w:pPr>
            <w:r>
              <w:rPr>
                <w:rFonts w:ascii="Arial" w:cs="Arial" w:eastAsia="Arial" w:hAnsi="Arial"/>
                <w:sz w:val="13"/>
                <w:szCs w:val="13"/>
                <w:color w:val="auto"/>
              </w:rPr>
              <w:t>6,827</w:t>
            </w:r>
          </w:p>
        </w:tc>
        <w:tc>
          <w:tcPr>
            <w:tcW w:w="116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w:t>
            </w:r>
          </w:p>
        </w:tc>
      </w:tr>
      <w:tr>
        <w:trPr>
          <w:trHeight w:val="242"/>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Dr. Ian M. McRobbie</w:t>
            </w:r>
          </w:p>
        </w:tc>
        <w:tc>
          <w:tcPr>
            <w:tcW w:w="64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DBC7DF"/>
          </w:tcPr>
          <w:p>
            <w:pPr>
              <w:jc w:val="center"/>
              <w:ind w:right="193"/>
              <w:spacing w:after="0"/>
              <w:rPr>
                <w:sz w:val="20"/>
                <w:szCs w:val="20"/>
                <w:color w:val="auto"/>
              </w:rPr>
            </w:pPr>
            <w:r>
              <w:rPr>
                <w:rFonts w:ascii="Arial" w:cs="Arial" w:eastAsia="Arial" w:hAnsi="Arial"/>
                <w:sz w:val="13"/>
                <w:szCs w:val="13"/>
                <w:color w:val="auto"/>
              </w:rPr>
              <w:t>35,979</w:t>
            </w:r>
          </w:p>
        </w:tc>
        <w:tc>
          <w:tcPr>
            <w:tcW w:w="142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0</w:t>
            </w:r>
          </w:p>
        </w:tc>
        <w:tc>
          <w:tcPr>
            <w:tcW w:w="1220" w:type="dxa"/>
            <w:vAlign w:val="bottom"/>
            <w:shd w:val="clear" w:color="auto" w:fill="DBC7DF"/>
          </w:tcPr>
          <w:p>
            <w:pPr>
              <w:jc w:val="center"/>
              <w:ind w:left="153"/>
              <w:spacing w:after="0"/>
              <w:rPr>
                <w:sz w:val="20"/>
                <w:szCs w:val="20"/>
                <w:color w:val="auto"/>
              </w:rPr>
            </w:pPr>
            <w:r>
              <w:rPr>
                <w:rFonts w:ascii="Arial" w:cs="Arial" w:eastAsia="Arial" w:hAnsi="Arial"/>
                <w:sz w:val="13"/>
                <w:szCs w:val="13"/>
                <w:color w:val="auto"/>
              </w:rPr>
              <w:t>35,979</w:t>
            </w:r>
          </w:p>
        </w:tc>
        <w:tc>
          <w:tcPr>
            <w:tcW w:w="116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w:t>
            </w:r>
          </w:p>
        </w:tc>
      </w:tr>
      <w:tr>
        <w:trPr>
          <w:trHeight w:val="225"/>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Mr. Lawrence J. Padfield</w:t>
            </w:r>
          </w:p>
        </w:tc>
        <w:tc>
          <w:tcPr>
            <w:tcW w:w="64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F3ECF4"/>
          </w:tcPr>
          <w:p>
            <w:pPr>
              <w:jc w:val="center"/>
              <w:ind w:right="193"/>
              <w:spacing w:after="0"/>
              <w:rPr>
                <w:sz w:val="20"/>
                <w:szCs w:val="20"/>
                <w:color w:val="auto"/>
              </w:rPr>
            </w:pPr>
            <w:r>
              <w:rPr>
                <w:rFonts w:ascii="Arial" w:cs="Arial" w:eastAsia="Arial" w:hAnsi="Arial"/>
                <w:sz w:val="13"/>
                <w:szCs w:val="13"/>
                <w:color w:val="auto"/>
              </w:rPr>
              <w:t>5,923</w:t>
            </w:r>
          </w:p>
        </w:tc>
        <w:tc>
          <w:tcPr>
            <w:tcW w:w="1420" w:type="dxa"/>
            <w:vAlign w:val="bottom"/>
            <w:shd w:val="clear" w:color="auto" w:fill="F3ECF4"/>
          </w:tcPr>
          <w:p>
            <w:pPr>
              <w:jc w:val="center"/>
              <w:spacing w:after="0"/>
              <w:rPr>
                <w:sz w:val="20"/>
                <w:szCs w:val="20"/>
                <w:color w:val="auto"/>
              </w:rPr>
            </w:pPr>
            <w:r>
              <w:rPr>
                <w:rFonts w:ascii="Arial" w:cs="Arial" w:eastAsia="Arial" w:hAnsi="Arial"/>
                <w:sz w:val="13"/>
                <w:szCs w:val="13"/>
                <w:color w:val="auto"/>
                <w:w w:val="98"/>
              </w:rPr>
              <w:t>5,995</w:t>
            </w:r>
          </w:p>
        </w:tc>
        <w:tc>
          <w:tcPr>
            <w:tcW w:w="1220" w:type="dxa"/>
            <w:vAlign w:val="bottom"/>
            <w:shd w:val="clear" w:color="auto" w:fill="F3ECF4"/>
          </w:tcPr>
          <w:p>
            <w:pPr>
              <w:jc w:val="center"/>
              <w:ind w:left="153"/>
              <w:spacing w:after="0"/>
              <w:rPr>
                <w:sz w:val="20"/>
                <w:szCs w:val="20"/>
                <w:color w:val="auto"/>
              </w:rPr>
            </w:pPr>
            <w:r>
              <w:rPr>
                <w:rFonts w:ascii="Arial" w:cs="Arial" w:eastAsia="Arial" w:hAnsi="Arial"/>
                <w:sz w:val="13"/>
                <w:szCs w:val="13"/>
                <w:color w:val="auto"/>
              </w:rPr>
              <w:t>11,918</w:t>
            </w:r>
          </w:p>
        </w:tc>
        <w:tc>
          <w:tcPr>
            <w:tcW w:w="116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w:t>
            </w:r>
          </w:p>
        </w:tc>
      </w:tr>
      <w:tr>
        <w:trPr>
          <w:trHeight w:val="242"/>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Mr. Leslie J. Parrette</w:t>
            </w:r>
          </w:p>
        </w:tc>
        <w:tc>
          <w:tcPr>
            <w:tcW w:w="64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DBC7DF"/>
          </w:tcPr>
          <w:p>
            <w:pPr>
              <w:jc w:val="center"/>
              <w:ind w:right="193"/>
              <w:spacing w:after="0"/>
              <w:rPr>
                <w:sz w:val="20"/>
                <w:szCs w:val="20"/>
                <w:color w:val="auto"/>
              </w:rPr>
            </w:pPr>
            <w:r>
              <w:rPr>
                <w:rFonts w:ascii="Arial" w:cs="Arial" w:eastAsia="Arial" w:hAnsi="Arial"/>
                <w:sz w:val="13"/>
                <w:szCs w:val="13"/>
                <w:color w:val="auto"/>
              </w:rPr>
              <w:t>3,252</w:t>
            </w:r>
          </w:p>
        </w:tc>
        <w:tc>
          <w:tcPr>
            <w:tcW w:w="1420" w:type="dxa"/>
            <w:vAlign w:val="bottom"/>
            <w:shd w:val="clear" w:color="auto" w:fill="DBC7DF"/>
          </w:tcPr>
          <w:p>
            <w:pPr>
              <w:jc w:val="center"/>
              <w:spacing w:after="0"/>
              <w:rPr>
                <w:sz w:val="20"/>
                <w:szCs w:val="20"/>
                <w:color w:val="auto"/>
              </w:rPr>
            </w:pPr>
            <w:r>
              <w:rPr>
                <w:rFonts w:ascii="Arial" w:cs="Arial" w:eastAsia="Arial" w:hAnsi="Arial"/>
                <w:sz w:val="13"/>
                <w:szCs w:val="13"/>
                <w:color w:val="auto"/>
                <w:w w:val="98"/>
              </w:rPr>
              <w:t>1,216</w:t>
            </w:r>
          </w:p>
        </w:tc>
        <w:tc>
          <w:tcPr>
            <w:tcW w:w="1220" w:type="dxa"/>
            <w:vAlign w:val="bottom"/>
            <w:shd w:val="clear" w:color="auto" w:fill="DBC7DF"/>
          </w:tcPr>
          <w:p>
            <w:pPr>
              <w:jc w:val="center"/>
              <w:ind w:left="133"/>
              <w:spacing w:after="0"/>
              <w:rPr>
                <w:sz w:val="20"/>
                <w:szCs w:val="20"/>
                <w:color w:val="auto"/>
              </w:rPr>
            </w:pPr>
            <w:r>
              <w:rPr>
                <w:rFonts w:ascii="Arial" w:cs="Arial" w:eastAsia="Arial" w:hAnsi="Arial"/>
                <w:sz w:val="13"/>
                <w:szCs w:val="13"/>
                <w:color w:val="auto"/>
              </w:rPr>
              <w:t>4,468</w:t>
            </w:r>
          </w:p>
        </w:tc>
        <w:tc>
          <w:tcPr>
            <w:tcW w:w="116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w:t>
            </w:r>
          </w:p>
        </w:tc>
      </w:tr>
      <w:tr>
        <w:trPr>
          <w:trHeight w:val="225"/>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Ms. Claudia P. Poccia</w:t>
            </w:r>
          </w:p>
        </w:tc>
        <w:tc>
          <w:tcPr>
            <w:tcW w:w="64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F3ECF4"/>
          </w:tcPr>
          <w:p>
            <w:pPr>
              <w:jc w:val="center"/>
              <w:ind w:right="193"/>
              <w:spacing w:after="0"/>
              <w:rPr>
                <w:sz w:val="20"/>
                <w:szCs w:val="20"/>
                <w:color w:val="auto"/>
              </w:rPr>
            </w:pPr>
            <w:r>
              <w:rPr>
                <w:rFonts w:ascii="Arial" w:cs="Arial" w:eastAsia="Arial" w:hAnsi="Arial"/>
                <w:sz w:val="13"/>
                <w:szCs w:val="13"/>
                <w:color w:val="auto"/>
              </w:rPr>
              <w:t>2,503</w:t>
            </w:r>
          </w:p>
        </w:tc>
        <w:tc>
          <w:tcPr>
            <w:tcW w:w="1420" w:type="dxa"/>
            <w:vAlign w:val="bottom"/>
            <w:shd w:val="clear" w:color="auto" w:fill="F3ECF4"/>
          </w:tcPr>
          <w:p>
            <w:pPr>
              <w:jc w:val="center"/>
              <w:spacing w:after="0"/>
              <w:rPr>
                <w:sz w:val="20"/>
                <w:szCs w:val="20"/>
                <w:color w:val="auto"/>
              </w:rPr>
            </w:pPr>
            <w:r>
              <w:rPr>
                <w:rFonts w:ascii="Arial" w:cs="Arial" w:eastAsia="Arial" w:hAnsi="Arial"/>
                <w:sz w:val="13"/>
                <w:szCs w:val="13"/>
                <w:color w:val="auto"/>
                <w:w w:val="98"/>
              </w:rPr>
              <w:t>1,217</w:t>
            </w:r>
          </w:p>
        </w:tc>
        <w:tc>
          <w:tcPr>
            <w:tcW w:w="1220" w:type="dxa"/>
            <w:vAlign w:val="bottom"/>
            <w:shd w:val="clear" w:color="auto" w:fill="F3ECF4"/>
          </w:tcPr>
          <w:p>
            <w:pPr>
              <w:jc w:val="center"/>
              <w:ind w:left="133"/>
              <w:spacing w:after="0"/>
              <w:rPr>
                <w:sz w:val="20"/>
                <w:szCs w:val="20"/>
                <w:color w:val="auto"/>
              </w:rPr>
            </w:pPr>
            <w:r>
              <w:rPr>
                <w:rFonts w:ascii="Arial" w:cs="Arial" w:eastAsia="Arial" w:hAnsi="Arial"/>
                <w:sz w:val="13"/>
                <w:szCs w:val="13"/>
                <w:color w:val="auto"/>
              </w:rPr>
              <w:t>3,720</w:t>
            </w:r>
          </w:p>
        </w:tc>
        <w:tc>
          <w:tcPr>
            <w:tcW w:w="116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w:t>
            </w:r>
          </w:p>
        </w:tc>
      </w:tr>
      <w:tr>
        <w:trPr>
          <w:trHeight w:val="242"/>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David B. Jones</w:t>
            </w:r>
          </w:p>
        </w:tc>
        <w:tc>
          <w:tcPr>
            <w:tcW w:w="64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DBC7DF"/>
          </w:tcPr>
          <w:p>
            <w:pPr>
              <w:jc w:val="center"/>
              <w:ind w:right="193"/>
              <w:spacing w:after="0"/>
              <w:rPr>
                <w:sz w:val="20"/>
                <w:szCs w:val="20"/>
                <w:color w:val="auto"/>
              </w:rPr>
            </w:pPr>
            <w:r>
              <w:rPr>
                <w:rFonts w:ascii="Arial" w:cs="Arial" w:eastAsia="Arial" w:hAnsi="Arial"/>
                <w:sz w:val="13"/>
                <w:szCs w:val="13"/>
                <w:color w:val="auto"/>
              </w:rPr>
              <w:t>8,131</w:t>
            </w:r>
          </w:p>
        </w:tc>
        <w:tc>
          <w:tcPr>
            <w:tcW w:w="1420" w:type="dxa"/>
            <w:vAlign w:val="bottom"/>
            <w:shd w:val="clear" w:color="auto" w:fill="DBC7DF"/>
          </w:tcPr>
          <w:p>
            <w:pPr>
              <w:jc w:val="center"/>
              <w:spacing w:after="0"/>
              <w:rPr>
                <w:sz w:val="20"/>
                <w:szCs w:val="20"/>
                <w:color w:val="auto"/>
              </w:rPr>
            </w:pPr>
            <w:r>
              <w:rPr>
                <w:rFonts w:ascii="Arial" w:cs="Arial" w:eastAsia="Arial" w:hAnsi="Arial"/>
                <w:sz w:val="13"/>
                <w:szCs w:val="13"/>
                <w:color w:val="auto"/>
                <w:w w:val="98"/>
              </w:rPr>
              <w:t>3,778</w:t>
            </w:r>
          </w:p>
        </w:tc>
        <w:tc>
          <w:tcPr>
            <w:tcW w:w="1220" w:type="dxa"/>
            <w:vAlign w:val="bottom"/>
            <w:shd w:val="clear" w:color="auto" w:fill="DBC7DF"/>
          </w:tcPr>
          <w:p>
            <w:pPr>
              <w:jc w:val="center"/>
              <w:ind w:left="153"/>
              <w:spacing w:after="0"/>
              <w:rPr>
                <w:sz w:val="20"/>
                <w:szCs w:val="20"/>
                <w:color w:val="auto"/>
              </w:rPr>
            </w:pPr>
            <w:r>
              <w:rPr>
                <w:rFonts w:ascii="Arial" w:cs="Arial" w:eastAsia="Arial" w:hAnsi="Arial"/>
                <w:sz w:val="13"/>
                <w:szCs w:val="13"/>
                <w:color w:val="auto"/>
              </w:rPr>
              <w:t>11,909</w:t>
            </w:r>
          </w:p>
        </w:tc>
        <w:tc>
          <w:tcPr>
            <w:tcW w:w="116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w:t>
            </w:r>
          </w:p>
        </w:tc>
      </w:tr>
      <w:tr>
        <w:trPr>
          <w:trHeight w:val="225"/>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Mr. Patrick S. Williams</w:t>
            </w:r>
          </w:p>
        </w:tc>
        <w:tc>
          <w:tcPr>
            <w:tcW w:w="64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F3ECF4"/>
          </w:tcPr>
          <w:p>
            <w:pPr>
              <w:jc w:val="center"/>
              <w:ind w:right="193"/>
              <w:spacing w:after="0"/>
              <w:rPr>
                <w:sz w:val="20"/>
                <w:szCs w:val="20"/>
                <w:color w:val="auto"/>
              </w:rPr>
            </w:pPr>
            <w:r>
              <w:rPr>
                <w:rFonts w:ascii="Arial" w:cs="Arial" w:eastAsia="Arial" w:hAnsi="Arial"/>
                <w:sz w:val="13"/>
                <w:szCs w:val="13"/>
                <w:color w:val="auto"/>
              </w:rPr>
              <w:t>172,730</w:t>
            </w:r>
          </w:p>
        </w:tc>
        <w:tc>
          <w:tcPr>
            <w:tcW w:w="142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66,284</w:t>
            </w:r>
          </w:p>
        </w:tc>
        <w:tc>
          <w:tcPr>
            <w:tcW w:w="1220" w:type="dxa"/>
            <w:vAlign w:val="bottom"/>
            <w:shd w:val="clear" w:color="auto" w:fill="F3ECF4"/>
          </w:tcPr>
          <w:p>
            <w:pPr>
              <w:jc w:val="center"/>
              <w:ind w:left="153"/>
              <w:spacing w:after="0"/>
              <w:rPr>
                <w:sz w:val="20"/>
                <w:szCs w:val="20"/>
                <w:color w:val="auto"/>
              </w:rPr>
            </w:pPr>
            <w:r>
              <w:rPr>
                <w:rFonts w:ascii="Arial" w:cs="Arial" w:eastAsia="Arial" w:hAnsi="Arial"/>
                <w:sz w:val="13"/>
                <w:szCs w:val="13"/>
                <w:color w:val="auto"/>
              </w:rPr>
              <w:t>239,014</w:t>
            </w:r>
          </w:p>
        </w:tc>
        <w:tc>
          <w:tcPr>
            <w:tcW w:w="116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w:t>
            </w:r>
          </w:p>
        </w:tc>
      </w:tr>
      <w:tr>
        <w:trPr>
          <w:trHeight w:val="219"/>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Directors and Executive Officers</w:t>
            </w:r>
          </w:p>
        </w:tc>
        <w:tc>
          <w:tcPr>
            <w:tcW w:w="64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(2)</w:t>
            </w:r>
          </w:p>
        </w:tc>
        <w:tc>
          <w:tcPr>
            <w:tcW w:w="1560" w:type="dxa"/>
            <w:vAlign w:val="bottom"/>
            <w:shd w:val="clear" w:color="auto" w:fill="DBC7DF"/>
          </w:tcPr>
          <w:p>
            <w:pPr>
              <w:jc w:val="center"/>
              <w:ind w:right="193"/>
              <w:spacing w:after="0"/>
              <w:rPr>
                <w:sz w:val="20"/>
                <w:szCs w:val="20"/>
                <w:color w:val="auto"/>
              </w:rPr>
            </w:pPr>
            <w:r>
              <w:rPr>
                <w:rFonts w:ascii="Arial" w:cs="Arial" w:eastAsia="Arial" w:hAnsi="Arial"/>
                <w:sz w:val="13"/>
                <w:szCs w:val="13"/>
                <w:color w:val="auto"/>
              </w:rPr>
              <w:t>262,934</w:t>
            </w:r>
          </w:p>
        </w:tc>
        <w:tc>
          <w:tcPr>
            <w:tcW w:w="142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98,648</w:t>
            </w:r>
          </w:p>
        </w:tc>
        <w:tc>
          <w:tcPr>
            <w:tcW w:w="1220" w:type="dxa"/>
            <w:vAlign w:val="bottom"/>
            <w:shd w:val="clear" w:color="auto" w:fill="DBC7DF"/>
          </w:tcPr>
          <w:p>
            <w:pPr>
              <w:jc w:val="center"/>
              <w:ind w:left="153"/>
              <w:spacing w:after="0"/>
              <w:rPr>
                <w:sz w:val="20"/>
                <w:szCs w:val="20"/>
                <w:color w:val="auto"/>
              </w:rPr>
            </w:pPr>
            <w:r>
              <w:rPr>
                <w:rFonts w:ascii="Arial" w:cs="Arial" w:eastAsia="Arial" w:hAnsi="Arial"/>
                <w:sz w:val="13"/>
                <w:szCs w:val="13"/>
                <w:color w:val="auto"/>
              </w:rPr>
              <w:t>362,582</w:t>
            </w:r>
          </w:p>
        </w:tc>
        <w:tc>
          <w:tcPr>
            <w:tcW w:w="1160" w:type="dxa"/>
            <w:vAlign w:val="bottom"/>
            <w:shd w:val="clear" w:color="auto" w:fill="DBC7DF"/>
          </w:tcPr>
          <w:p>
            <w:pPr>
              <w:jc w:val="center"/>
              <w:spacing w:after="0"/>
              <w:rPr>
                <w:sz w:val="20"/>
                <w:szCs w:val="20"/>
                <w:color w:val="auto"/>
              </w:rPr>
            </w:pPr>
            <w:r>
              <w:rPr>
                <w:rFonts w:ascii="Arial" w:cs="Arial" w:eastAsia="Arial" w:hAnsi="Arial"/>
                <w:sz w:val="13"/>
                <w:szCs w:val="13"/>
                <w:color w:val="auto"/>
              </w:rPr>
              <w:t>1.45</w:t>
            </w:r>
          </w:p>
        </w:tc>
      </w:tr>
      <w:tr>
        <w:trPr>
          <w:trHeight w:val="202"/>
        </w:trPr>
        <w:tc>
          <w:tcPr>
            <w:tcW w:w="2680" w:type="dxa"/>
            <w:vAlign w:val="bottom"/>
            <w:shd w:val="clear" w:color="auto" w:fill="874796"/>
          </w:tcPr>
          <w:p>
            <w:pPr>
              <w:ind w:left="80"/>
              <w:spacing w:after="0"/>
              <w:rPr>
                <w:sz w:val="20"/>
                <w:szCs w:val="20"/>
                <w:color w:val="auto"/>
              </w:rPr>
            </w:pPr>
            <w:r>
              <w:rPr>
                <w:rFonts w:ascii="Arial" w:cs="Arial" w:eastAsia="Arial" w:hAnsi="Arial"/>
                <w:sz w:val="13"/>
                <w:szCs w:val="13"/>
                <w:b w:val="1"/>
                <w:bCs w:val="1"/>
                <w:color w:val="FFFFFF"/>
              </w:rPr>
              <w:t>as a group (12 persons)</w:t>
            </w:r>
          </w:p>
        </w:tc>
        <w:tc>
          <w:tcPr>
            <w:tcW w:w="640" w:type="dxa"/>
            <w:vAlign w:val="bottom"/>
            <w:shd w:val="clear" w:color="auto" w:fill="DBC7DF"/>
          </w:tcPr>
          <w:p>
            <w:pPr>
              <w:spacing w:after="0"/>
              <w:rPr>
                <w:sz w:val="17"/>
                <w:szCs w:val="17"/>
                <w:color w:val="auto"/>
              </w:rPr>
            </w:pPr>
          </w:p>
        </w:tc>
        <w:tc>
          <w:tcPr>
            <w:tcW w:w="1560" w:type="dxa"/>
            <w:vAlign w:val="bottom"/>
            <w:shd w:val="clear" w:color="auto" w:fill="DBC7DF"/>
          </w:tcPr>
          <w:p>
            <w:pPr>
              <w:spacing w:after="0"/>
              <w:rPr>
                <w:sz w:val="17"/>
                <w:szCs w:val="17"/>
                <w:color w:val="auto"/>
              </w:rPr>
            </w:pPr>
          </w:p>
        </w:tc>
        <w:tc>
          <w:tcPr>
            <w:tcW w:w="1420" w:type="dxa"/>
            <w:vAlign w:val="bottom"/>
            <w:shd w:val="clear" w:color="auto" w:fill="DBC7DF"/>
          </w:tcPr>
          <w:p>
            <w:pPr>
              <w:spacing w:after="0"/>
              <w:rPr>
                <w:sz w:val="17"/>
                <w:szCs w:val="17"/>
                <w:color w:val="auto"/>
              </w:rPr>
            </w:pPr>
          </w:p>
        </w:tc>
        <w:tc>
          <w:tcPr>
            <w:tcW w:w="1220" w:type="dxa"/>
            <w:vAlign w:val="bottom"/>
            <w:shd w:val="clear" w:color="auto" w:fill="DBC7DF"/>
          </w:tcPr>
          <w:p>
            <w:pPr>
              <w:spacing w:after="0"/>
              <w:rPr>
                <w:sz w:val="17"/>
                <w:szCs w:val="17"/>
                <w:color w:val="auto"/>
              </w:rPr>
            </w:pPr>
          </w:p>
        </w:tc>
        <w:tc>
          <w:tcPr>
            <w:tcW w:w="1160" w:type="dxa"/>
            <w:vAlign w:val="bottom"/>
            <w:shd w:val="clear" w:color="auto" w:fill="DBC7D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-2042795</wp:posOffset>
            </wp:positionV>
            <wp:extent cx="5515610" cy="2050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15610" cy="2050415"/>
                    </a:xfrm>
                    <a:prstGeom prst="rect">
                      <a:avLst/>
                    </a:prstGeom>
                    <a:noFill/>
                  </pic:spPr>
                </pic:pic>
              </a:graphicData>
            </a:graphic>
          </wp:anchor>
        </w:drawing>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Footnotes to “Stock Ownership” table:</w:t>
      </w:r>
    </w:p>
    <w:p>
      <w:pPr>
        <w:spacing w:after="0" w:line="131" w:lineRule="exact"/>
        <w:rPr>
          <w:sz w:val="20"/>
          <w:szCs w:val="20"/>
          <w:color w:val="auto"/>
        </w:rPr>
      </w:pPr>
    </w:p>
    <w:p>
      <w:pPr>
        <w:ind w:left="540" w:hanging="335"/>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07" w:lineRule="exact"/>
        <w:rPr>
          <w:sz w:val="20"/>
          <w:szCs w:val="20"/>
          <w:color w:val="auto"/>
        </w:rPr>
      </w:pPr>
    </w:p>
    <w:p>
      <w:pPr>
        <w:ind w:left="540" w:hanging="335"/>
        <w:spacing w:after="0"/>
        <w:tabs>
          <w:tab w:leader="none" w:pos="5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 the case of Mr. Blackmore this figure includes shares held by ‘The Milton &amp; Janet Blackmore Trust’</w:t>
      </w:r>
    </w:p>
    <w:p>
      <w:pPr>
        <w:spacing w:after="0" w:line="95" w:lineRule="exact"/>
        <w:rPr>
          <w:rFonts w:ascii="Arial" w:cs="Arial" w:eastAsia="Arial" w:hAnsi="Arial"/>
          <w:sz w:val="12"/>
          <w:szCs w:val="12"/>
          <w:color w:val="auto"/>
        </w:rPr>
      </w:pPr>
    </w:p>
    <w:p>
      <w:pPr>
        <w:ind w:left="540" w:right="139" w:hanging="335"/>
        <w:spacing w:after="0" w:line="340" w:lineRule="auto"/>
        <w:tabs>
          <w:tab w:leader="none" w:pos="5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“Right to Acquire” column in the table represents the number of shares subject to options exercisable or restricted stock units subject to vesting, both within 60 days following February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1608455</wp:posOffset>
            </wp:positionV>
            <wp:extent cx="297180" cy="290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1" w:name="page52"/>
    <w:bookmarkEnd w:id="51"/>
    <w:p>
      <w:pPr>
        <w:spacing w:after="0" w:line="98" w:lineRule="exact"/>
        <w:rPr>
          <w:sz w:val="20"/>
          <w:szCs w:val="20"/>
          <w:color w:val="auto"/>
        </w:rPr>
      </w:pPr>
    </w:p>
    <w:p>
      <w:pPr>
        <w:ind w:left="1680"/>
        <w:spacing w:after="0"/>
        <w:rPr>
          <w:sz w:val="20"/>
          <w:szCs w:val="20"/>
          <w:color w:val="auto"/>
        </w:rPr>
      </w:pPr>
      <w:r>
        <w:rPr>
          <w:rFonts w:ascii="Arial" w:cs="Arial" w:eastAsia="Arial" w:hAnsi="Arial"/>
          <w:sz w:val="19"/>
          <w:szCs w:val="19"/>
          <w:b w:val="1"/>
          <w:bCs w:val="1"/>
          <w:color w:val="874796"/>
        </w:rPr>
        <w:t>PRINCIPAL BENEFICIAL OWNERS AT FISCAL YEAR END 2025</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This table lists all entities that are beneficial owner of more than 5% of Innospec Inc. common stock:</w:t>
      </w:r>
    </w:p>
    <w:p>
      <w:pPr>
        <w:spacing w:after="0" w:line="143" w:lineRule="exact"/>
        <w:rPr>
          <w:sz w:val="20"/>
          <w:szCs w:val="20"/>
          <w:color w:val="auto"/>
        </w:rPr>
      </w:pPr>
    </w:p>
    <w:tbl>
      <w:tblPr>
        <w:tblLayout w:type="fixed"/>
        <w:tblInd w:w="210" w:type="dxa"/>
        <w:tblCellMar>
          <w:top w:w="0" w:type="dxa"/>
          <w:left w:w="0" w:type="dxa"/>
          <w:bottom w:w="0" w:type="dxa"/>
          <w:right w:w="0" w:type="dxa"/>
        </w:tblCellMar>
      </w:tblPr>
      <w:tr>
        <w:trPr>
          <w:trHeight w:val="199"/>
        </w:trPr>
        <w:tc>
          <w:tcPr>
            <w:tcW w:w="3880" w:type="dxa"/>
            <w:vAlign w:val="bottom"/>
            <w:tcBorders>
              <w:left w:val="single" w:sz="8" w:color="874796"/>
              <w:right w:val="single" w:sz="8" w:color="874796"/>
            </w:tcBorders>
            <w:shd w:val="clear" w:color="auto" w:fill="874796"/>
          </w:tcPr>
          <w:p>
            <w:pPr>
              <w:ind w:left="60"/>
              <w:spacing w:after="0"/>
              <w:rPr>
                <w:sz w:val="20"/>
                <w:szCs w:val="20"/>
                <w:color w:val="auto"/>
              </w:rPr>
            </w:pPr>
            <w:r>
              <w:rPr>
                <w:rFonts w:ascii="Arial" w:cs="Arial" w:eastAsia="Arial" w:hAnsi="Arial"/>
                <w:sz w:val="13"/>
                <w:szCs w:val="13"/>
                <w:b w:val="1"/>
                <w:bCs w:val="1"/>
                <w:color w:val="FFFFFF"/>
              </w:rPr>
              <w:t>Name and Address of Beneficial Owner</w:t>
            </w:r>
          </w:p>
        </w:tc>
        <w:tc>
          <w:tcPr>
            <w:tcW w:w="460" w:type="dxa"/>
            <w:vAlign w:val="bottom"/>
            <w:tcBorders>
              <w:right w:val="single" w:sz="8" w:color="874796"/>
            </w:tcBorders>
            <w:shd w:val="clear" w:color="auto" w:fill="874796"/>
          </w:tcPr>
          <w:p>
            <w:pPr>
              <w:spacing w:after="0"/>
              <w:rPr>
                <w:sz w:val="17"/>
                <w:szCs w:val="17"/>
                <w:color w:val="auto"/>
              </w:rPr>
            </w:pPr>
          </w:p>
        </w:tc>
        <w:tc>
          <w:tcPr>
            <w:tcW w:w="2180" w:type="dxa"/>
            <w:vAlign w:val="bottom"/>
            <w:tcBorders>
              <w:right w:val="single" w:sz="8" w:color="874796"/>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Amount and Nature of</w:t>
            </w:r>
          </w:p>
        </w:tc>
        <w:tc>
          <w:tcPr>
            <w:tcW w:w="2140" w:type="dxa"/>
            <w:vAlign w:val="bottom"/>
            <w:shd w:val="clear" w:color="auto" w:fill="874796"/>
          </w:tcPr>
          <w:p>
            <w:pPr>
              <w:ind w:left="540"/>
              <w:spacing w:after="0"/>
              <w:rPr>
                <w:sz w:val="20"/>
                <w:szCs w:val="20"/>
                <w:color w:val="auto"/>
              </w:rPr>
            </w:pPr>
            <w:r>
              <w:rPr>
                <w:rFonts w:ascii="Arial" w:cs="Arial" w:eastAsia="Arial" w:hAnsi="Arial"/>
                <w:sz w:val="13"/>
                <w:szCs w:val="13"/>
                <w:b w:val="1"/>
                <w:bCs w:val="1"/>
                <w:color w:val="FFFFFF"/>
              </w:rPr>
              <w:t>Percent of Class</w:t>
            </w:r>
          </w:p>
        </w:tc>
        <w:tc>
          <w:tcPr>
            <w:tcW w:w="20" w:type="dxa"/>
            <w:vAlign w:val="bottom"/>
          </w:tcPr>
          <w:p>
            <w:pPr>
              <w:spacing w:after="0"/>
              <w:rPr>
                <w:sz w:val="17"/>
                <w:szCs w:val="17"/>
                <w:color w:val="auto"/>
              </w:rPr>
            </w:pPr>
          </w:p>
        </w:tc>
      </w:tr>
      <w:tr>
        <w:trPr>
          <w:trHeight w:val="202"/>
        </w:trPr>
        <w:tc>
          <w:tcPr>
            <w:tcW w:w="3880" w:type="dxa"/>
            <w:vAlign w:val="bottom"/>
            <w:tcBorders>
              <w:left w:val="single" w:sz="8" w:color="874796"/>
              <w:right w:val="single" w:sz="8" w:color="874796"/>
            </w:tcBorders>
            <w:shd w:val="clear" w:color="auto" w:fill="874796"/>
          </w:tcPr>
          <w:p>
            <w:pPr>
              <w:spacing w:after="0"/>
              <w:rPr>
                <w:sz w:val="17"/>
                <w:szCs w:val="17"/>
                <w:color w:val="auto"/>
              </w:rPr>
            </w:pPr>
          </w:p>
        </w:tc>
        <w:tc>
          <w:tcPr>
            <w:tcW w:w="460" w:type="dxa"/>
            <w:vAlign w:val="bottom"/>
            <w:tcBorders>
              <w:right w:val="single" w:sz="8" w:color="874796"/>
            </w:tcBorders>
            <w:shd w:val="clear" w:color="auto" w:fill="874796"/>
          </w:tcPr>
          <w:p>
            <w:pPr>
              <w:spacing w:after="0"/>
              <w:rPr>
                <w:sz w:val="17"/>
                <w:szCs w:val="17"/>
                <w:color w:val="auto"/>
              </w:rPr>
            </w:pPr>
          </w:p>
        </w:tc>
        <w:tc>
          <w:tcPr>
            <w:tcW w:w="2180" w:type="dxa"/>
            <w:vAlign w:val="bottom"/>
            <w:tcBorders>
              <w:right w:val="single" w:sz="8" w:color="874796"/>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Beneficial Ownership</w:t>
            </w:r>
          </w:p>
        </w:tc>
        <w:tc>
          <w:tcPr>
            <w:tcW w:w="2140" w:type="dxa"/>
            <w:vAlign w:val="bottom"/>
            <w:shd w:val="clear" w:color="auto" w:fill="874796"/>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3880" w:type="dxa"/>
            <w:vAlign w:val="bottom"/>
            <w:tcBorders>
              <w:left w:val="single" w:sz="8" w:color="874796"/>
              <w:right w:val="single" w:sz="8" w:color="9E318D"/>
            </w:tcBorders>
            <w:shd w:val="clear" w:color="auto" w:fill="F3ECF4"/>
          </w:tcPr>
          <w:p>
            <w:pPr>
              <w:ind w:left="80"/>
              <w:spacing w:after="0"/>
              <w:rPr>
                <w:sz w:val="20"/>
                <w:szCs w:val="20"/>
                <w:color w:val="auto"/>
              </w:rPr>
            </w:pPr>
            <w:r>
              <w:rPr>
                <w:rFonts w:ascii="Arial" w:cs="Arial" w:eastAsia="Arial" w:hAnsi="Arial"/>
                <w:sz w:val="13"/>
                <w:szCs w:val="13"/>
                <w:b w:val="1"/>
                <w:bCs w:val="1"/>
                <w:color w:val="auto"/>
              </w:rPr>
              <w:t>BlackRock, Inc.</w:t>
            </w:r>
          </w:p>
        </w:tc>
        <w:tc>
          <w:tcPr>
            <w:tcW w:w="460" w:type="dxa"/>
            <w:vAlign w:val="bottom"/>
            <w:tcBorders>
              <w:right w:val="single" w:sz="8" w:color="9E318D"/>
            </w:tcBorders>
            <w:shd w:val="clear" w:color="auto" w:fill="F3ECF4"/>
          </w:tcPr>
          <w:p>
            <w:pPr>
              <w:jc w:val="right"/>
              <w:ind w:right="93"/>
              <w:spacing w:after="0"/>
              <w:rPr>
                <w:sz w:val="20"/>
                <w:szCs w:val="20"/>
                <w:color w:val="auto"/>
              </w:rPr>
            </w:pPr>
            <w:r>
              <w:rPr>
                <w:rFonts w:ascii="Arial" w:cs="Arial" w:eastAsia="Arial" w:hAnsi="Arial"/>
                <w:sz w:val="13"/>
                <w:szCs w:val="13"/>
                <w:color w:val="auto"/>
              </w:rPr>
              <w:t>(1)</w:t>
            </w:r>
          </w:p>
        </w:tc>
        <w:tc>
          <w:tcPr>
            <w:tcW w:w="2180" w:type="dxa"/>
            <w:vAlign w:val="bottom"/>
            <w:tcBorders>
              <w:right w:val="single" w:sz="8" w:color="9E318D"/>
            </w:tcBorders>
            <w:shd w:val="clear" w:color="auto" w:fill="F3ECF4"/>
          </w:tcPr>
          <w:p>
            <w:pPr>
              <w:jc w:val="center"/>
              <w:spacing w:after="0"/>
              <w:rPr>
                <w:sz w:val="20"/>
                <w:szCs w:val="20"/>
                <w:color w:val="auto"/>
              </w:rPr>
            </w:pPr>
            <w:r>
              <w:rPr>
                <w:rFonts w:ascii="Arial" w:cs="Arial" w:eastAsia="Arial" w:hAnsi="Arial"/>
                <w:sz w:val="13"/>
                <w:szCs w:val="13"/>
                <w:color w:val="auto"/>
              </w:rPr>
              <w:t>3,681,666</w:t>
            </w:r>
          </w:p>
        </w:tc>
        <w:tc>
          <w:tcPr>
            <w:tcW w:w="214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14.7%</w:t>
            </w:r>
          </w:p>
        </w:tc>
        <w:tc>
          <w:tcPr>
            <w:tcW w:w="20" w:type="dxa"/>
            <w:vAlign w:val="bottom"/>
            <w:shd w:val="clear" w:color="auto" w:fill="874796"/>
          </w:tcPr>
          <w:p>
            <w:pPr>
              <w:spacing w:after="0"/>
              <w:rPr>
                <w:sz w:val="17"/>
                <w:szCs w:val="17"/>
                <w:color w:val="auto"/>
              </w:rPr>
            </w:pPr>
          </w:p>
        </w:tc>
      </w:tr>
      <w:tr>
        <w:trPr>
          <w:trHeight w:val="175"/>
        </w:trPr>
        <w:tc>
          <w:tcPr>
            <w:tcW w:w="3880" w:type="dxa"/>
            <w:vAlign w:val="bottom"/>
            <w:tcBorders>
              <w:left w:val="single" w:sz="8" w:color="874796"/>
              <w:right w:val="single" w:sz="8" w:color="9E318D"/>
            </w:tcBorders>
            <w:shd w:val="clear" w:color="auto" w:fill="F3ECF4"/>
          </w:tcPr>
          <w:p>
            <w:pPr>
              <w:ind w:left="80"/>
              <w:spacing w:after="0"/>
              <w:rPr>
                <w:sz w:val="20"/>
                <w:szCs w:val="20"/>
                <w:color w:val="auto"/>
              </w:rPr>
            </w:pPr>
            <w:r>
              <w:rPr>
                <w:rFonts w:ascii="Arial" w:cs="Arial" w:eastAsia="Arial" w:hAnsi="Arial"/>
                <w:sz w:val="13"/>
                <w:szCs w:val="13"/>
                <w:color w:val="auto"/>
              </w:rPr>
              <w:t>55 East 52nd Street</w:t>
            </w:r>
          </w:p>
        </w:tc>
        <w:tc>
          <w:tcPr>
            <w:tcW w:w="460" w:type="dxa"/>
            <w:vAlign w:val="bottom"/>
            <w:tcBorders>
              <w:right w:val="single" w:sz="8" w:color="9E318D"/>
            </w:tcBorders>
            <w:shd w:val="clear" w:color="auto" w:fill="F3ECF4"/>
          </w:tcPr>
          <w:p>
            <w:pPr>
              <w:spacing w:after="0"/>
              <w:rPr>
                <w:sz w:val="15"/>
                <w:szCs w:val="15"/>
                <w:color w:val="auto"/>
              </w:rPr>
            </w:pPr>
          </w:p>
        </w:tc>
        <w:tc>
          <w:tcPr>
            <w:tcW w:w="2180" w:type="dxa"/>
            <w:vAlign w:val="bottom"/>
            <w:tcBorders>
              <w:right w:val="single" w:sz="8" w:color="9E318D"/>
            </w:tcBorders>
            <w:shd w:val="clear" w:color="auto" w:fill="F3ECF4"/>
          </w:tcPr>
          <w:p>
            <w:pPr>
              <w:spacing w:after="0"/>
              <w:rPr>
                <w:sz w:val="15"/>
                <w:szCs w:val="15"/>
                <w:color w:val="auto"/>
              </w:rPr>
            </w:pPr>
          </w:p>
        </w:tc>
        <w:tc>
          <w:tcPr>
            <w:tcW w:w="2140" w:type="dxa"/>
            <w:vAlign w:val="bottom"/>
            <w:shd w:val="clear" w:color="auto" w:fill="F3ECF4"/>
          </w:tcPr>
          <w:p>
            <w:pPr>
              <w:spacing w:after="0"/>
              <w:rPr>
                <w:sz w:val="15"/>
                <w:szCs w:val="15"/>
                <w:color w:val="auto"/>
              </w:rPr>
            </w:pPr>
          </w:p>
        </w:tc>
        <w:tc>
          <w:tcPr>
            <w:tcW w:w="20" w:type="dxa"/>
            <w:vAlign w:val="bottom"/>
            <w:shd w:val="clear" w:color="auto" w:fill="874796"/>
          </w:tcPr>
          <w:p>
            <w:pPr>
              <w:spacing w:after="0"/>
              <w:rPr>
                <w:sz w:val="15"/>
                <w:szCs w:val="15"/>
                <w:color w:val="auto"/>
              </w:rPr>
            </w:pPr>
          </w:p>
        </w:tc>
      </w:tr>
      <w:tr>
        <w:trPr>
          <w:trHeight w:val="178"/>
        </w:trPr>
        <w:tc>
          <w:tcPr>
            <w:tcW w:w="3880" w:type="dxa"/>
            <w:vAlign w:val="bottom"/>
            <w:tcBorders>
              <w:left w:val="single" w:sz="8" w:color="874796"/>
              <w:right w:val="single" w:sz="8" w:color="9E318D"/>
            </w:tcBorders>
            <w:shd w:val="clear" w:color="auto" w:fill="F3ECF4"/>
          </w:tcPr>
          <w:p>
            <w:pPr>
              <w:ind w:left="80"/>
              <w:spacing w:after="0"/>
              <w:rPr>
                <w:sz w:val="20"/>
                <w:szCs w:val="20"/>
                <w:color w:val="auto"/>
              </w:rPr>
            </w:pPr>
            <w:r>
              <w:rPr>
                <w:rFonts w:ascii="Arial" w:cs="Arial" w:eastAsia="Arial" w:hAnsi="Arial"/>
                <w:sz w:val="13"/>
                <w:szCs w:val="13"/>
                <w:color w:val="auto"/>
              </w:rPr>
              <w:t>New York</w:t>
            </w:r>
          </w:p>
        </w:tc>
        <w:tc>
          <w:tcPr>
            <w:tcW w:w="460" w:type="dxa"/>
            <w:vAlign w:val="bottom"/>
            <w:tcBorders>
              <w:right w:val="single" w:sz="8" w:color="9E318D"/>
            </w:tcBorders>
            <w:shd w:val="clear" w:color="auto" w:fill="F3ECF4"/>
          </w:tcPr>
          <w:p>
            <w:pPr>
              <w:spacing w:after="0"/>
              <w:rPr>
                <w:sz w:val="15"/>
                <w:szCs w:val="15"/>
                <w:color w:val="auto"/>
              </w:rPr>
            </w:pPr>
          </w:p>
        </w:tc>
        <w:tc>
          <w:tcPr>
            <w:tcW w:w="2180" w:type="dxa"/>
            <w:vAlign w:val="bottom"/>
            <w:tcBorders>
              <w:right w:val="single" w:sz="8" w:color="9E318D"/>
            </w:tcBorders>
            <w:shd w:val="clear" w:color="auto" w:fill="F3ECF4"/>
          </w:tcPr>
          <w:p>
            <w:pPr>
              <w:spacing w:after="0"/>
              <w:rPr>
                <w:sz w:val="15"/>
                <w:szCs w:val="15"/>
                <w:color w:val="auto"/>
              </w:rPr>
            </w:pPr>
          </w:p>
        </w:tc>
        <w:tc>
          <w:tcPr>
            <w:tcW w:w="2140" w:type="dxa"/>
            <w:vAlign w:val="bottom"/>
            <w:shd w:val="clear" w:color="auto" w:fill="F3ECF4"/>
          </w:tcPr>
          <w:p>
            <w:pPr>
              <w:spacing w:after="0"/>
              <w:rPr>
                <w:sz w:val="15"/>
                <w:szCs w:val="15"/>
                <w:color w:val="auto"/>
              </w:rPr>
            </w:pPr>
          </w:p>
        </w:tc>
        <w:tc>
          <w:tcPr>
            <w:tcW w:w="20" w:type="dxa"/>
            <w:vAlign w:val="bottom"/>
            <w:shd w:val="clear" w:color="auto" w:fill="874796"/>
          </w:tcPr>
          <w:p>
            <w:pPr>
              <w:spacing w:after="0"/>
              <w:rPr>
                <w:sz w:val="15"/>
                <w:szCs w:val="15"/>
                <w:color w:val="auto"/>
              </w:rPr>
            </w:pPr>
          </w:p>
        </w:tc>
      </w:tr>
      <w:tr>
        <w:trPr>
          <w:trHeight w:val="208"/>
        </w:trPr>
        <w:tc>
          <w:tcPr>
            <w:tcW w:w="3880" w:type="dxa"/>
            <w:vAlign w:val="bottom"/>
            <w:tcBorders>
              <w:left w:val="single" w:sz="8" w:color="874796"/>
              <w:bottom w:val="single" w:sz="8" w:color="F3ECF4"/>
              <w:right w:val="single" w:sz="8" w:color="9E318D"/>
            </w:tcBorders>
            <w:shd w:val="clear" w:color="auto" w:fill="F3ECF4"/>
          </w:tcPr>
          <w:p>
            <w:pPr>
              <w:ind w:left="80"/>
              <w:spacing w:after="0"/>
              <w:rPr>
                <w:sz w:val="20"/>
                <w:szCs w:val="20"/>
                <w:color w:val="auto"/>
              </w:rPr>
            </w:pPr>
            <w:r>
              <w:rPr>
                <w:rFonts w:ascii="Arial" w:cs="Arial" w:eastAsia="Arial" w:hAnsi="Arial"/>
                <w:sz w:val="13"/>
                <w:szCs w:val="13"/>
                <w:color w:val="auto"/>
              </w:rPr>
              <w:t>NY 10055</w:t>
            </w:r>
          </w:p>
        </w:tc>
        <w:tc>
          <w:tcPr>
            <w:tcW w:w="460" w:type="dxa"/>
            <w:vAlign w:val="bottom"/>
            <w:tcBorders>
              <w:bottom w:val="single" w:sz="8" w:color="F3ECF4"/>
              <w:right w:val="single" w:sz="8" w:color="9E318D"/>
            </w:tcBorders>
            <w:shd w:val="clear" w:color="auto" w:fill="F3ECF4"/>
          </w:tcPr>
          <w:p>
            <w:pPr>
              <w:spacing w:after="0"/>
              <w:rPr>
                <w:sz w:val="17"/>
                <w:szCs w:val="17"/>
                <w:color w:val="auto"/>
              </w:rPr>
            </w:pPr>
          </w:p>
        </w:tc>
        <w:tc>
          <w:tcPr>
            <w:tcW w:w="2180" w:type="dxa"/>
            <w:vAlign w:val="bottom"/>
            <w:tcBorders>
              <w:bottom w:val="single" w:sz="8" w:color="F3ECF4"/>
              <w:right w:val="single" w:sz="8" w:color="9E318D"/>
            </w:tcBorders>
            <w:shd w:val="clear" w:color="auto" w:fill="F3ECF4"/>
          </w:tcPr>
          <w:p>
            <w:pPr>
              <w:spacing w:after="0"/>
              <w:rPr>
                <w:sz w:val="17"/>
                <w:szCs w:val="17"/>
                <w:color w:val="auto"/>
              </w:rPr>
            </w:pPr>
          </w:p>
        </w:tc>
        <w:tc>
          <w:tcPr>
            <w:tcW w:w="2140" w:type="dxa"/>
            <w:vAlign w:val="bottom"/>
            <w:tcBorders>
              <w:bottom w:val="single" w:sz="8" w:color="F3ECF4"/>
            </w:tcBorders>
            <w:shd w:val="clear" w:color="auto" w:fill="F3ECF4"/>
          </w:tcPr>
          <w:p>
            <w:pPr>
              <w:spacing w:after="0"/>
              <w:rPr>
                <w:sz w:val="17"/>
                <w:szCs w:val="17"/>
                <w:color w:val="auto"/>
              </w:rPr>
            </w:pPr>
          </w:p>
        </w:tc>
        <w:tc>
          <w:tcPr>
            <w:tcW w:w="20" w:type="dxa"/>
            <w:vAlign w:val="bottom"/>
            <w:tcBorders>
              <w:bottom w:val="single" w:sz="8" w:color="874796"/>
            </w:tcBorders>
            <w:shd w:val="clear" w:color="auto" w:fill="874796"/>
          </w:tcPr>
          <w:p>
            <w:pPr>
              <w:spacing w:after="0"/>
              <w:rPr>
                <w:sz w:val="17"/>
                <w:szCs w:val="17"/>
                <w:color w:val="auto"/>
              </w:rPr>
            </w:pPr>
          </w:p>
        </w:tc>
      </w:tr>
      <w:tr>
        <w:trPr>
          <w:trHeight w:val="192"/>
        </w:trPr>
        <w:tc>
          <w:tcPr>
            <w:tcW w:w="3880" w:type="dxa"/>
            <w:vAlign w:val="bottom"/>
            <w:tcBorders>
              <w:top w:val="single" w:sz="8" w:color="9E318D"/>
              <w:left w:val="single" w:sz="8" w:color="874796"/>
              <w:right w:val="single" w:sz="8" w:color="9E318D"/>
            </w:tcBorders>
          </w:tcPr>
          <w:p>
            <w:pPr>
              <w:ind w:left="80"/>
              <w:spacing w:after="0"/>
              <w:rPr>
                <w:sz w:val="20"/>
                <w:szCs w:val="20"/>
                <w:color w:val="auto"/>
              </w:rPr>
            </w:pPr>
            <w:r>
              <w:rPr>
                <w:rFonts w:ascii="Arial" w:cs="Arial" w:eastAsia="Arial" w:hAnsi="Arial"/>
                <w:sz w:val="13"/>
                <w:szCs w:val="13"/>
                <w:b w:val="1"/>
                <w:bCs w:val="1"/>
                <w:color w:val="auto"/>
              </w:rPr>
              <w:t>The Vanguard Group</w:t>
            </w:r>
          </w:p>
        </w:tc>
        <w:tc>
          <w:tcPr>
            <w:tcW w:w="460" w:type="dxa"/>
            <w:vAlign w:val="bottom"/>
            <w:tcBorders>
              <w:top w:val="single" w:sz="8" w:color="9E318D"/>
              <w:right w:val="single" w:sz="8" w:color="9E318D"/>
            </w:tcBorders>
          </w:tcPr>
          <w:p>
            <w:pPr>
              <w:jc w:val="right"/>
              <w:ind w:right="93"/>
              <w:spacing w:after="0"/>
              <w:rPr>
                <w:sz w:val="20"/>
                <w:szCs w:val="20"/>
                <w:color w:val="auto"/>
              </w:rPr>
            </w:pPr>
            <w:r>
              <w:rPr>
                <w:rFonts w:ascii="Arial" w:cs="Arial" w:eastAsia="Arial" w:hAnsi="Arial"/>
                <w:sz w:val="13"/>
                <w:szCs w:val="13"/>
                <w:color w:val="auto"/>
              </w:rPr>
              <w:t>(2)</w:t>
            </w:r>
          </w:p>
        </w:tc>
        <w:tc>
          <w:tcPr>
            <w:tcW w:w="2180" w:type="dxa"/>
            <w:vAlign w:val="bottom"/>
            <w:tcBorders>
              <w:top w:val="single" w:sz="8" w:color="9E318D"/>
              <w:right w:val="single" w:sz="8" w:color="9E318D"/>
            </w:tcBorders>
          </w:tcPr>
          <w:p>
            <w:pPr>
              <w:jc w:val="center"/>
              <w:spacing w:after="0"/>
              <w:rPr>
                <w:sz w:val="20"/>
                <w:szCs w:val="20"/>
                <w:color w:val="auto"/>
              </w:rPr>
            </w:pPr>
            <w:r>
              <w:rPr>
                <w:rFonts w:ascii="Arial" w:cs="Arial" w:eastAsia="Arial" w:hAnsi="Arial"/>
                <w:sz w:val="13"/>
                <w:szCs w:val="13"/>
                <w:color w:val="auto"/>
              </w:rPr>
              <w:t>2,953,893</w:t>
            </w:r>
          </w:p>
        </w:tc>
        <w:tc>
          <w:tcPr>
            <w:tcW w:w="2140" w:type="dxa"/>
            <w:vAlign w:val="bottom"/>
            <w:tcBorders>
              <w:top w:val="single" w:sz="8" w:color="9E318D"/>
            </w:tcBorders>
          </w:tcPr>
          <w:p>
            <w:pPr>
              <w:jc w:val="center"/>
              <w:spacing w:after="0"/>
              <w:rPr>
                <w:sz w:val="20"/>
                <w:szCs w:val="20"/>
                <w:color w:val="auto"/>
              </w:rPr>
            </w:pPr>
            <w:r>
              <w:rPr>
                <w:rFonts w:ascii="Arial" w:cs="Arial" w:eastAsia="Arial" w:hAnsi="Arial"/>
                <w:sz w:val="13"/>
                <w:szCs w:val="13"/>
                <w:color w:val="auto"/>
              </w:rPr>
              <w:t>11.88%</w:t>
            </w:r>
          </w:p>
        </w:tc>
        <w:tc>
          <w:tcPr>
            <w:tcW w:w="20" w:type="dxa"/>
            <w:vAlign w:val="bottom"/>
            <w:tcBorders>
              <w:top w:val="single" w:sz="8" w:color="874796"/>
            </w:tcBorders>
            <w:shd w:val="clear" w:color="auto" w:fill="874796"/>
          </w:tcPr>
          <w:p>
            <w:pPr>
              <w:spacing w:after="0"/>
              <w:rPr>
                <w:sz w:val="16"/>
                <w:szCs w:val="16"/>
                <w:color w:val="auto"/>
              </w:rPr>
            </w:pPr>
          </w:p>
        </w:tc>
      </w:tr>
      <w:tr>
        <w:trPr>
          <w:trHeight w:val="175"/>
        </w:trPr>
        <w:tc>
          <w:tcPr>
            <w:tcW w:w="3880" w:type="dxa"/>
            <w:vAlign w:val="bottom"/>
            <w:tcBorders>
              <w:left w:val="single" w:sz="8" w:color="874796"/>
              <w:right w:val="single" w:sz="8" w:color="9E318D"/>
            </w:tcBorders>
          </w:tcPr>
          <w:p>
            <w:pPr>
              <w:ind w:left="80"/>
              <w:spacing w:after="0"/>
              <w:rPr>
                <w:sz w:val="20"/>
                <w:szCs w:val="20"/>
                <w:color w:val="auto"/>
              </w:rPr>
            </w:pPr>
            <w:r>
              <w:rPr>
                <w:rFonts w:ascii="Arial" w:cs="Arial" w:eastAsia="Arial" w:hAnsi="Arial"/>
                <w:sz w:val="13"/>
                <w:szCs w:val="13"/>
                <w:color w:val="auto"/>
              </w:rPr>
              <w:t>100 Vanguard Boulevard Malvern</w:t>
            </w:r>
          </w:p>
        </w:tc>
        <w:tc>
          <w:tcPr>
            <w:tcW w:w="460" w:type="dxa"/>
            <w:vAlign w:val="bottom"/>
            <w:tcBorders>
              <w:right w:val="single" w:sz="8" w:color="9E318D"/>
            </w:tcBorders>
          </w:tcPr>
          <w:p>
            <w:pPr>
              <w:spacing w:after="0"/>
              <w:rPr>
                <w:sz w:val="15"/>
                <w:szCs w:val="15"/>
                <w:color w:val="auto"/>
              </w:rPr>
            </w:pPr>
          </w:p>
        </w:tc>
        <w:tc>
          <w:tcPr>
            <w:tcW w:w="2180" w:type="dxa"/>
            <w:vAlign w:val="bottom"/>
            <w:tcBorders>
              <w:right w:val="single" w:sz="8" w:color="9E318D"/>
            </w:tcBorders>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shd w:val="clear" w:color="auto" w:fill="874796"/>
          </w:tcPr>
          <w:p>
            <w:pPr>
              <w:spacing w:after="0"/>
              <w:rPr>
                <w:sz w:val="15"/>
                <w:szCs w:val="15"/>
                <w:color w:val="auto"/>
              </w:rPr>
            </w:pPr>
          </w:p>
        </w:tc>
      </w:tr>
      <w:tr>
        <w:trPr>
          <w:trHeight w:val="178"/>
        </w:trPr>
        <w:tc>
          <w:tcPr>
            <w:tcW w:w="3880" w:type="dxa"/>
            <w:vAlign w:val="bottom"/>
            <w:tcBorders>
              <w:left w:val="single" w:sz="8" w:color="874796"/>
              <w:right w:val="single" w:sz="8" w:color="9E318D"/>
            </w:tcBorders>
          </w:tcPr>
          <w:p>
            <w:pPr>
              <w:ind w:left="80"/>
              <w:spacing w:after="0"/>
              <w:rPr>
                <w:sz w:val="20"/>
                <w:szCs w:val="20"/>
                <w:color w:val="auto"/>
              </w:rPr>
            </w:pPr>
            <w:r>
              <w:rPr>
                <w:rFonts w:ascii="Arial" w:cs="Arial" w:eastAsia="Arial" w:hAnsi="Arial"/>
                <w:sz w:val="13"/>
                <w:szCs w:val="13"/>
                <w:color w:val="auto"/>
              </w:rPr>
              <w:t>Pennsylvania</w:t>
            </w:r>
          </w:p>
        </w:tc>
        <w:tc>
          <w:tcPr>
            <w:tcW w:w="460" w:type="dxa"/>
            <w:vAlign w:val="bottom"/>
            <w:tcBorders>
              <w:right w:val="single" w:sz="8" w:color="9E318D"/>
            </w:tcBorders>
          </w:tcPr>
          <w:p>
            <w:pPr>
              <w:spacing w:after="0"/>
              <w:rPr>
                <w:sz w:val="15"/>
                <w:szCs w:val="15"/>
                <w:color w:val="auto"/>
              </w:rPr>
            </w:pPr>
          </w:p>
        </w:tc>
        <w:tc>
          <w:tcPr>
            <w:tcW w:w="2180" w:type="dxa"/>
            <w:vAlign w:val="bottom"/>
            <w:tcBorders>
              <w:right w:val="single" w:sz="8" w:color="9E318D"/>
            </w:tcBorders>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shd w:val="clear" w:color="auto" w:fill="874796"/>
          </w:tcPr>
          <w:p>
            <w:pPr>
              <w:spacing w:after="0"/>
              <w:rPr>
                <w:sz w:val="15"/>
                <w:szCs w:val="15"/>
                <w:color w:val="auto"/>
              </w:rPr>
            </w:pPr>
          </w:p>
        </w:tc>
      </w:tr>
      <w:tr>
        <w:trPr>
          <w:trHeight w:val="178"/>
        </w:trPr>
        <w:tc>
          <w:tcPr>
            <w:tcW w:w="3880" w:type="dxa"/>
            <w:vAlign w:val="bottom"/>
            <w:tcBorders>
              <w:left w:val="single" w:sz="8" w:color="874796"/>
              <w:right w:val="single" w:sz="8" w:color="9E318D"/>
            </w:tcBorders>
          </w:tcPr>
          <w:p>
            <w:pPr>
              <w:ind w:left="80"/>
              <w:spacing w:after="0"/>
              <w:rPr>
                <w:sz w:val="20"/>
                <w:szCs w:val="20"/>
                <w:color w:val="auto"/>
              </w:rPr>
            </w:pPr>
            <w:r>
              <w:rPr>
                <w:rFonts w:ascii="Arial" w:cs="Arial" w:eastAsia="Arial" w:hAnsi="Arial"/>
                <w:sz w:val="13"/>
                <w:szCs w:val="13"/>
                <w:color w:val="auto"/>
              </w:rPr>
              <w:t>PA 19355</w:t>
            </w:r>
          </w:p>
        </w:tc>
        <w:tc>
          <w:tcPr>
            <w:tcW w:w="460" w:type="dxa"/>
            <w:vAlign w:val="bottom"/>
            <w:tcBorders>
              <w:right w:val="single" w:sz="8" w:color="9E318D"/>
            </w:tcBorders>
          </w:tcPr>
          <w:p>
            <w:pPr>
              <w:spacing w:after="0"/>
              <w:rPr>
                <w:sz w:val="15"/>
                <w:szCs w:val="15"/>
                <w:color w:val="auto"/>
              </w:rPr>
            </w:pPr>
          </w:p>
        </w:tc>
        <w:tc>
          <w:tcPr>
            <w:tcW w:w="2180" w:type="dxa"/>
            <w:vAlign w:val="bottom"/>
            <w:tcBorders>
              <w:right w:val="single" w:sz="8" w:color="9E318D"/>
            </w:tcBorders>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shd w:val="clear" w:color="auto" w:fill="874796"/>
          </w:tcPr>
          <w:p>
            <w:pPr>
              <w:spacing w:after="0"/>
              <w:rPr>
                <w:sz w:val="15"/>
                <w:szCs w:val="15"/>
                <w:color w:val="auto"/>
              </w:rPr>
            </w:pPr>
          </w:p>
        </w:tc>
      </w:tr>
      <w:tr>
        <w:trPr>
          <w:trHeight w:val="25"/>
        </w:trPr>
        <w:tc>
          <w:tcPr>
            <w:tcW w:w="3880" w:type="dxa"/>
            <w:vAlign w:val="bottom"/>
            <w:tcBorders>
              <w:left w:val="single" w:sz="8" w:color="874796"/>
              <w:bottom w:val="single" w:sz="8" w:color="9E318D"/>
              <w:right w:val="single" w:sz="8" w:color="9E318D"/>
            </w:tcBorders>
          </w:tcPr>
          <w:p>
            <w:pPr>
              <w:spacing w:after="0"/>
              <w:rPr>
                <w:sz w:val="2"/>
                <w:szCs w:val="2"/>
                <w:color w:val="auto"/>
              </w:rPr>
            </w:pPr>
          </w:p>
        </w:tc>
        <w:tc>
          <w:tcPr>
            <w:tcW w:w="460" w:type="dxa"/>
            <w:vAlign w:val="bottom"/>
            <w:tcBorders>
              <w:bottom w:val="single" w:sz="8" w:color="9E318D"/>
              <w:right w:val="single" w:sz="8" w:color="9E318D"/>
            </w:tcBorders>
          </w:tcPr>
          <w:p>
            <w:pPr>
              <w:spacing w:after="0"/>
              <w:rPr>
                <w:sz w:val="2"/>
                <w:szCs w:val="2"/>
                <w:color w:val="auto"/>
              </w:rPr>
            </w:pPr>
          </w:p>
        </w:tc>
        <w:tc>
          <w:tcPr>
            <w:tcW w:w="2180" w:type="dxa"/>
            <w:vAlign w:val="bottom"/>
            <w:tcBorders>
              <w:bottom w:val="single" w:sz="8" w:color="9E318D"/>
              <w:right w:val="single" w:sz="8" w:color="9E318D"/>
            </w:tcBorders>
          </w:tcPr>
          <w:p>
            <w:pPr>
              <w:spacing w:after="0"/>
              <w:rPr>
                <w:sz w:val="2"/>
                <w:szCs w:val="2"/>
                <w:color w:val="auto"/>
              </w:rPr>
            </w:pPr>
          </w:p>
        </w:tc>
        <w:tc>
          <w:tcPr>
            <w:tcW w:w="2140" w:type="dxa"/>
            <w:vAlign w:val="bottom"/>
            <w:tcBorders>
              <w:bottom w:val="single" w:sz="8" w:color="9E318D"/>
            </w:tcBorders>
          </w:tcPr>
          <w:p>
            <w:pPr>
              <w:spacing w:after="0"/>
              <w:rPr>
                <w:sz w:val="2"/>
                <w:szCs w:val="2"/>
                <w:color w:val="auto"/>
              </w:rPr>
            </w:pPr>
          </w:p>
        </w:tc>
        <w:tc>
          <w:tcPr>
            <w:tcW w:w="20" w:type="dxa"/>
            <w:vAlign w:val="bottom"/>
            <w:tcBorders>
              <w:bottom w:val="single" w:sz="8" w:color="874796"/>
            </w:tcBorders>
            <w:shd w:val="clear" w:color="auto" w:fill="874796"/>
          </w:tcPr>
          <w:p>
            <w:pPr>
              <w:spacing w:after="0"/>
              <w:rPr>
                <w:sz w:val="2"/>
                <w:szCs w:val="2"/>
                <w:color w:val="auto"/>
              </w:rPr>
            </w:pPr>
          </w:p>
        </w:tc>
      </w:tr>
      <w:tr>
        <w:trPr>
          <w:trHeight w:val="192"/>
        </w:trPr>
        <w:tc>
          <w:tcPr>
            <w:tcW w:w="3880" w:type="dxa"/>
            <w:vAlign w:val="bottom"/>
            <w:tcBorders>
              <w:left w:val="single" w:sz="8" w:color="874796"/>
              <w:right w:val="single" w:sz="8" w:color="9E318D"/>
            </w:tcBorders>
            <w:shd w:val="clear" w:color="auto" w:fill="F3ECF4"/>
          </w:tcPr>
          <w:p>
            <w:pPr>
              <w:ind w:left="80"/>
              <w:spacing w:after="0"/>
              <w:rPr>
                <w:sz w:val="20"/>
                <w:szCs w:val="20"/>
                <w:color w:val="auto"/>
              </w:rPr>
            </w:pPr>
            <w:r>
              <w:rPr>
                <w:rFonts w:ascii="Arial" w:cs="Arial" w:eastAsia="Arial" w:hAnsi="Arial"/>
                <w:sz w:val="13"/>
                <w:szCs w:val="13"/>
                <w:b w:val="1"/>
                <w:bCs w:val="1"/>
                <w:color w:val="auto"/>
              </w:rPr>
              <w:t>Allspring Global Investments Holdings, LLC</w:t>
            </w:r>
          </w:p>
        </w:tc>
        <w:tc>
          <w:tcPr>
            <w:tcW w:w="460" w:type="dxa"/>
            <w:vAlign w:val="bottom"/>
            <w:tcBorders>
              <w:right w:val="single" w:sz="8" w:color="9E318D"/>
            </w:tcBorders>
            <w:shd w:val="clear" w:color="auto" w:fill="F3ECF4"/>
          </w:tcPr>
          <w:p>
            <w:pPr>
              <w:jc w:val="right"/>
              <w:ind w:right="93"/>
              <w:spacing w:after="0"/>
              <w:rPr>
                <w:sz w:val="20"/>
                <w:szCs w:val="20"/>
                <w:color w:val="auto"/>
              </w:rPr>
            </w:pPr>
            <w:r>
              <w:rPr>
                <w:rFonts w:ascii="Arial" w:cs="Arial" w:eastAsia="Arial" w:hAnsi="Arial"/>
                <w:sz w:val="13"/>
                <w:szCs w:val="13"/>
                <w:color w:val="auto"/>
              </w:rPr>
              <w:t>(3)</w:t>
            </w:r>
          </w:p>
        </w:tc>
        <w:tc>
          <w:tcPr>
            <w:tcW w:w="2180" w:type="dxa"/>
            <w:vAlign w:val="bottom"/>
            <w:tcBorders>
              <w:right w:val="single" w:sz="8" w:color="9E318D"/>
            </w:tcBorders>
            <w:shd w:val="clear" w:color="auto" w:fill="F3ECF4"/>
          </w:tcPr>
          <w:p>
            <w:pPr>
              <w:jc w:val="center"/>
              <w:spacing w:after="0"/>
              <w:rPr>
                <w:sz w:val="20"/>
                <w:szCs w:val="20"/>
                <w:color w:val="auto"/>
              </w:rPr>
            </w:pPr>
            <w:r>
              <w:rPr>
                <w:rFonts w:ascii="Arial" w:cs="Arial" w:eastAsia="Arial" w:hAnsi="Arial"/>
                <w:sz w:val="13"/>
                <w:szCs w:val="13"/>
                <w:color w:val="auto"/>
              </w:rPr>
              <w:t>2,337,644</w:t>
            </w:r>
          </w:p>
        </w:tc>
        <w:tc>
          <w:tcPr>
            <w:tcW w:w="2140" w:type="dxa"/>
            <w:vAlign w:val="bottom"/>
            <w:shd w:val="clear" w:color="auto" w:fill="F3ECF4"/>
          </w:tcPr>
          <w:p>
            <w:pPr>
              <w:jc w:val="center"/>
              <w:spacing w:after="0"/>
              <w:rPr>
                <w:sz w:val="20"/>
                <w:szCs w:val="20"/>
                <w:color w:val="auto"/>
              </w:rPr>
            </w:pPr>
            <w:r>
              <w:rPr>
                <w:rFonts w:ascii="Arial" w:cs="Arial" w:eastAsia="Arial" w:hAnsi="Arial"/>
                <w:sz w:val="13"/>
                <w:szCs w:val="13"/>
                <w:color w:val="auto"/>
              </w:rPr>
              <w:t>9.40%</w:t>
            </w:r>
          </w:p>
        </w:tc>
        <w:tc>
          <w:tcPr>
            <w:tcW w:w="20" w:type="dxa"/>
            <w:vAlign w:val="bottom"/>
            <w:shd w:val="clear" w:color="auto" w:fill="874796"/>
          </w:tcPr>
          <w:p>
            <w:pPr>
              <w:spacing w:after="0"/>
              <w:rPr>
                <w:sz w:val="16"/>
                <w:szCs w:val="16"/>
                <w:color w:val="auto"/>
              </w:rPr>
            </w:pPr>
          </w:p>
        </w:tc>
      </w:tr>
      <w:tr>
        <w:trPr>
          <w:trHeight w:val="175"/>
        </w:trPr>
        <w:tc>
          <w:tcPr>
            <w:tcW w:w="3880" w:type="dxa"/>
            <w:vAlign w:val="bottom"/>
            <w:tcBorders>
              <w:left w:val="single" w:sz="8" w:color="874796"/>
              <w:right w:val="single" w:sz="8" w:color="9E318D"/>
            </w:tcBorders>
            <w:shd w:val="clear" w:color="auto" w:fill="F3ECF4"/>
          </w:tcPr>
          <w:p>
            <w:pPr>
              <w:ind w:left="80"/>
              <w:spacing w:after="0"/>
              <w:rPr>
                <w:sz w:val="20"/>
                <w:szCs w:val="20"/>
                <w:color w:val="auto"/>
              </w:rPr>
            </w:pPr>
            <w:r>
              <w:rPr>
                <w:rFonts w:ascii="Arial" w:cs="Arial" w:eastAsia="Arial" w:hAnsi="Arial"/>
                <w:sz w:val="13"/>
                <w:szCs w:val="13"/>
                <w:color w:val="auto"/>
              </w:rPr>
              <w:t>1415 Vantage Park Drive</w:t>
            </w:r>
          </w:p>
        </w:tc>
        <w:tc>
          <w:tcPr>
            <w:tcW w:w="460" w:type="dxa"/>
            <w:vAlign w:val="bottom"/>
            <w:tcBorders>
              <w:right w:val="single" w:sz="8" w:color="9E318D"/>
            </w:tcBorders>
            <w:shd w:val="clear" w:color="auto" w:fill="F3ECF4"/>
          </w:tcPr>
          <w:p>
            <w:pPr>
              <w:spacing w:after="0"/>
              <w:rPr>
                <w:sz w:val="15"/>
                <w:szCs w:val="15"/>
                <w:color w:val="auto"/>
              </w:rPr>
            </w:pPr>
          </w:p>
        </w:tc>
        <w:tc>
          <w:tcPr>
            <w:tcW w:w="2180" w:type="dxa"/>
            <w:vAlign w:val="bottom"/>
            <w:tcBorders>
              <w:right w:val="single" w:sz="8" w:color="9E318D"/>
            </w:tcBorders>
            <w:shd w:val="clear" w:color="auto" w:fill="F3ECF4"/>
          </w:tcPr>
          <w:p>
            <w:pPr>
              <w:spacing w:after="0"/>
              <w:rPr>
                <w:sz w:val="15"/>
                <w:szCs w:val="15"/>
                <w:color w:val="auto"/>
              </w:rPr>
            </w:pPr>
          </w:p>
        </w:tc>
        <w:tc>
          <w:tcPr>
            <w:tcW w:w="2140" w:type="dxa"/>
            <w:vAlign w:val="bottom"/>
            <w:shd w:val="clear" w:color="auto" w:fill="F3ECF4"/>
          </w:tcPr>
          <w:p>
            <w:pPr>
              <w:spacing w:after="0"/>
              <w:rPr>
                <w:sz w:val="15"/>
                <w:szCs w:val="15"/>
                <w:color w:val="auto"/>
              </w:rPr>
            </w:pPr>
          </w:p>
        </w:tc>
        <w:tc>
          <w:tcPr>
            <w:tcW w:w="20" w:type="dxa"/>
            <w:vAlign w:val="bottom"/>
            <w:shd w:val="clear" w:color="auto" w:fill="874796"/>
          </w:tcPr>
          <w:p>
            <w:pPr>
              <w:spacing w:after="0"/>
              <w:rPr>
                <w:sz w:val="15"/>
                <w:szCs w:val="15"/>
                <w:color w:val="auto"/>
              </w:rPr>
            </w:pPr>
          </w:p>
        </w:tc>
      </w:tr>
      <w:tr>
        <w:trPr>
          <w:trHeight w:val="178"/>
        </w:trPr>
        <w:tc>
          <w:tcPr>
            <w:tcW w:w="3880" w:type="dxa"/>
            <w:vAlign w:val="bottom"/>
            <w:tcBorders>
              <w:left w:val="single" w:sz="8" w:color="874796"/>
              <w:right w:val="single" w:sz="8" w:color="9E318D"/>
            </w:tcBorders>
            <w:shd w:val="clear" w:color="auto" w:fill="F3ECF4"/>
          </w:tcPr>
          <w:p>
            <w:pPr>
              <w:ind w:left="80"/>
              <w:spacing w:after="0"/>
              <w:rPr>
                <w:sz w:val="20"/>
                <w:szCs w:val="20"/>
                <w:color w:val="auto"/>
              </w:rPr>
            </w:pPr>
            <w:r>
              <w:rPr>
                <w:rFonts w:ascii="Arial" w:cs="Arial" w:eastAsia="Arial" w:hAnsi="Arial"/>
                <w:sz w:val="13"/>
                <w:szCs w:val="13"/>
                <w:color w:val="auto"/>
              </w:rPr>
              <w:t>3rd Floor</w:t>
            </w:r>
          </w:p>
        </w:tc>
        <w:tc>
          <w:tcPr>
            <w:tcW w:w="460" w:type="dxa"/>
            <w:vAlign w:val="bottom"/>
            <w:tcBorders>
              <w:right w:val="single" w:sz="8" w:color="9E318D"/>
            </w:tcBorders>
            <w:shd w:val="clear" w:color="auto" w:fill="F3ECF4"/>
          </w:tcPr>
          <w:p>
            <w:pPr>
              <w:spacing w:after="0"/>
              <w:rPr>
                <w:sz w:val="15"/>
                <w:szCs w:val="15"/>
                <w:color w:val="auto"/>
              </w:rPr>
            </w:pPr>
          </w:p>
        </w:tc>
        <w:tc>
          <w:tcPr>
            <w:tcW w:w="2180" w:type="dxa"/>
            <w:vAlign w:val="bottom"/>
            <w:tcBorders>
              <w:right w:val="single" w:sz="8" w:color="9E318D"/>
            </w:tcBorders>
            <w:shd w:val="clear" w:color="auto" w:fill="F3ECF4"/>
          </w:tcPr>
          <w:p>
            <w:pPr>
              <w:spacing w:after="0"/>
              <w:rPr>
                <w:sz w:val="15"/>
                <w:szCs w:val="15"/>
                <w:color w:val="auto"/>
              </w:rPr>
            </w:pPr>
          </w:p>
        </w:tc>
        <w:tc>
          <w:tcPr>
            <w:tcW w:w="2140" w:type="dxa"/>
            <w:vAlign w:val="bottom"/>
            <w:shd w:val="clear" w:color="auto" w:fill="F3ECF4"/>
          </w:tcPr>
          <w:p>
            <w:pPr>
              <w:spacing w:after="0"/>
              <w:rPr>
                <w:sz w:val="15"/>
                <w:szCs w:val="15"/>
                <w:color w:val="auto"/>
              </w:rPr>
            </w:pPr>
          </w:p>
        </w:tc>
        <w:tc>
          <w:tcPr>
            <w:tcW w:w="20" w:type="dxa"/>
            <w:vAlign w:val="bottom"/>
            <w:shd w:val="clear" w:color="auto" w:fill="874796"/>
          </w:tcPr>
          <w:p>
            <w:pPr>
              <w:spacing w:after="0"/>
              <w:rPr>
                <w:sz w:val="15"/>
                <w:szCs w:val="15"/>
                <w:color w:val="auto"/>
              </w:rPr>
            </w:pPr>
          </w:p>
        </w:tc>
      </w:tr>
      <w:tr>
        <w:trPr>
          <w:trHeight w:val="183"/>
        </w:trPr>
        <w:tc>
          <w:tcPr>
            <w:tcW w:w="3880" w:type="dxa"/>
            <w:vAlign w:val="bottom"/>
            <w:tcBorders>
              <w:left w:val="single" w:sz="8" w:color="874796"/>
              <w:bottom w:val="single" w:sz="8" w:color="F3ECF4"/>
              <w:right w:val="single" w:sz="8" w:color="9E318D"/>
            </w:tcBorders>
            <w:shd w:val="clear" w:color="auto" w:fill="F3ECF4"/>
          </w:tcPr>
          <w:p>
            <w:pPr>
              <w:ind w:left="80"/>
              <w:spacing w:after="0"/>
              <w:rPr>
                <w:sz w:val="20"/>
                <w:szCs w:val="20"/>
                <w:color w:val="auto"/>
              </w:rPr>
            </w:pPr>
            <w:r>
              <w:rPr>
                <w:rFonts w:ascii="Arial" w:cs="Arial" w:eastAsia="Arial" w:hAnsi="Arial"/>
                <w:sz w:val="13"/>
                <w:szCs w:val="13"/>
                <w:color w:val="auto"/>
              </w:rPr>
              <w:t>Charlotte, NC 28203</w:t>
            </w:r>
          </w:p>
        </w:tc>
        <w:tc>
          <w:tcPr>
            <w:tcW w:w="460" w:type="dxa"/>
            <w:vAlign w:val="bottom"/>
            <w:tcBorders>
              <w:bottom w:val="single" w:sz="8" w:color="F3ECF4"/>
              <w:right w:val="single" w:sz="8" w:color="9E318D"/>
            </w:tcBorders>
            <w:shd w:val="clear" w:color="auto" w:fill="F3ECF4"/>
          </w:tcPr>
          <w:p>
            <w:pPr>
              <w:spacing w:after="0"/>
              <w:rPr>
                <w:sz w:val="15"/>
                <w:szCs w:val="15"/>
                <w:color w:val="auto"/>
              </w:rPr>
            </w:pPr>
          </w:p>
        </w:tc>
        <w:tc>
          <w:tcPr>
            <w:tcW w:w="2180" w:type="dxa"/>
            <w:vAlign w:val="bottom"/>
            <w:tcBorders>
              <w:bottom w:val="single" w:sz="8" w:color="F3ECF4"/>
              <w:right w:val="single" w:sz="8" w:color="9E318D"/>
            </w:tcBorders>
            <w:shd w:val="clear" w:color="auto" w:fill="F3ECF4"/>
          </w:tcPr>
          <w:p>
            <w:pPr>
              <w:spacing w:after="0"/>
              <w:rPr>
                <w:sz w:val="15"/>
                <w:szCs w:val="15"/>
                <w:color w:val="auto"/>
              </w:rPr>
            </w:pPr>
          </w:p>
        </w:tc>
        <w:tc>
          <w:tcPr>
            <w:tcW w:w="2140" w:type="dxa"/>
            <w:vAlign w:val="bottom"/>
            <w:tcBorders>
              <w:bottom w:val="single" w:sz="8" w:color="F3ECF4"/>
            </w:tcBorders>
            <w:shd w:val="clear" w:color="auto" w:fill="F3ECF4"/>
          </w:tcPr>
          <w:p>
            <w:pPr>
              <w:spacing w:after="0"/>
              <w:rPr>
                <w:sz w:val="15"/>
                <w:szCs w:val="15"/>
                <w:color w:val="auto"/>
              </w:rPr>
            </w:pPr>
          </w:p>
        </w:tc>
        <w:tc>
          <w:tcPr>
            <w:tcW w:w="20" w:type="dxa"/>
            <w:vAlign w:val="bottom"/>
            <w:tcBorders>
              <w:bottom w:val="single" w:sz="8" w:color="874796"/>
            </w:tcBorders>
            <w:shd w:val="clear" w:color="auto" w:fill="874796"/>
          </w:tcPr>
          <w:p>
            <w:pPr>
              <w:spacing w:after="0"/>
              <w:rPr>
                <w:sz w:val="15"/>
                <w:szCs w:val="15"/>
                <w:color w:val="auto"/>
              </w:rPr>
            </w:pPr>
          </w:p>
        </w:tc>
      </w:tr>
      <w:tr>
        <w:trPr>
          <w:trHeight w:val="20"/>
        </w:trPr>
        <w:tc>
          <w:tcPr>
            <w:tcW w:w="3880" w:type="dxa"/>
            <w:vAlign w:val="bottom"/>
            <w:tcBorders>
              <w:left w:val="single" w:sz="8" w:color="874796"/>
              <w:right w:val="single" w:sz="8" w:color="9E318D"/>
            </w:tcBorders>
            <w:shd w:val="clear" w:color="auto" w:fill="874796"/>
          </w:tcPr>
          <w:p>
            <w:pPr>
              <w:spacing w:after="0" w:line="20" w:lineRule="exact"/>
              <w:rPr>
                <w:sz w:val="1"/>
                <w:szCs w:val="1"/>
                <w:color w:val="auto"/>
              </w:rPr>
            </w:pPr>
          </w:p>
        </w:tc>
        <w:tc>
          <w:tcPr>
            <w:tcW w:w="460" w:type="dxa"/>
            <w:vAlign w:val="bottom"/>
            <w:tcBorders>
              <w:right w:val="single" w:sz="8" w:color="9E318D"/>
            </w:tcBorders>
            <w:shd w:val="clear" w:color="auto" w:fill="874796"/>
          </w:tcPr>
          <w:p>
            <w:pPr>
              <w:spacing w:after="0" w:line="20" w:lineRule="exact"/>
              <w:rPr>
                <w:sz w:val="1"/>
                <w:szCs w:val="1"/>
                <w:color w:val="auto"/>
              </w:rPr>
            </w:pPr>
          </w:p>
        </w:tc>
        <w:tc>
          <w:tcPr>
            <w:tcW w:w="2180" w:type="dxa"/>
            <w:vAlign w:val="bottom"/>
            <w:tcBorders>
              <w:right w:val="single" w:sz="8" w:color="9E318D"/>
            </w:tcBorders>
            <w:shd w:val="clear" w:color="auto" w:fill="874796"/>
          </w:tcPr>
          <w:p>
            <w:pPr>
              <w:spacing w:after="0" w:line="20" w:lineRule="exact"/>
              <w:rPr>
                <w:sz w:val="1"/>
                <w:szCs w:val="1"/>
                <w:color w:val="auto"/>
              </w:rPr>
            </w:pPr>
          </w:p>
        </w:tc>
        <w:tc>
          <w:tcPr>
            <w:tcW w:w="2140" w:type="dxa"/>
            <w:vAlign w:val="bottom"/>
            <w:shd w:val="clear" w:color="auto" w:fill="874796"/>
          </w:tcPr>
          <w:p>
            <w:pPr>
              <w:spacing w:after="0" w:line="20" w:lineRule="exact"/>
              <w:rPr>
                <w:sz w:val="1"/>
                <w:szCs w:val="1"/>
                <w:color w:val="auto"/>
              </w:rPr>
            </w:pPr>
          </w:p>
        </w:tc>
        <w:tc>
          <w:tcPr>
            <w:tcW w:w="20" w:type="dxa"/>
            <w:vAlign w:val="bottom"/>
            <w:shd w:val="clear" w:color="auto" w:fill="874796"/>
          </w:tcPr>
          <w:p>
            <w:pPr>
              <w:spacing w:after="0" w:line="20" w:lineRule="exact"/>
              <w:rPr>
                <w:sz w:val="1"/>
                <w:szCs w:val="1"/>
                <w:color w:val="auto"/>
              </w:rPr>
            </w:pPr>
          </w:p>
        </w:tc>
      </w:tr>
    </w:tbl>
    <w:p>
      <w:pPr>
        <w:spacing w:after="0" w:line="97"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Based on a review of filings with the SEC, the Company is unaware of other holders of more than 5% of the outstanding shares of Innospec Inc. Common Stock.</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Notes:</w:t>
      </w:r>
    </w:p>
    <w:p>
      <w:pPr>
        <w:spacing w:after="0" w:line="163" w:lineRule="exact"/>
        <w:rPr>
          <w:sz w:val="20"/>
          <w:szCs w:val="20"/>
          <w:color w:val="auto"/>
        </w:rPr>
      </w:pPr>
    </w:p>
    <w:p>
      <w:pPr>
        <w:ind w:left="880" w:right="139" w:hanging="340"/>
        <w:spacing w:after="0" w:line="340" w:lineRule="auto"/>
        <w:tabs>
          <w:tab w:leader="none" w:pos="8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According to a Schedule 13G/A dated April 30, 2025, BlackRock, Inc. has sole voting power over 3,650,446 shares and sole dispositive power over 3,681,666 shares.</w:t>
      </w:r>
    </w:p>
    <w:p>
      <w:pPr>
        <w:spacing w:after="0" w:line="21" w:lineRule="exact"/>
        <w:rPr>
          <w:rFonts w:ascii="Arial" w:cs="Arial" w:eastAsia="Arial" w:hAnsi="Arial"/>
          <w:sz w:val="12"/>
          <w:szCs w:val="12"/>
          <w:color w:val="auto"/>
        </w:rPr>
      </w:pPr>
    </w:p>
    <w:p>
      <w:pPr>
        <w:ind w:left="880" w:right="139" w:hanging="340"/>
        <w:spacing w:after="0" w:line="340" w:lineRule="auto"/>
        <w:tabs>
          <w:tab w:leader="none" w:pos="8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According to a Schedule 13G/A dated February 13, 2024, The Vanguard Group has shared voting power over 41,965 shares, sole dispositive power over 2,885,671 shares, shared dispositive power over 68,222 shares and beneficially holds 2,953,893 shares.</w:t>
      </w:r>
    </w:p>
    <w:p>
      <w:pPr>
        <w:spacing w:after="0" w:line="21" w:lineRule="exact"/>
        <w:rPr>
          <w:rFonts w:ascii="Arial" w:cs="Arial" w:eastAsia="Arial" w:hAnsi="Arial"/>
          <w:sz w:val="12"/>
          <w:szCs w:val="12"/>
          <w:color w:val="auto"/>
        </w:rPr>
      </w:pPr>
    </w:p>
    <w:p>
      <w:pPr>
        <w:jc w:val="both"/>
        <w:ind w:left="880" w:right="119" w:hanging="340"/>
        <w:spacing w:after="0" w:line="317" w:lineRule="auto"/>
        <w:tabs>
          <w:tab w:leader="none" w:pos="8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According to a Schedule 13G/A dated January 10, 2024 and filed jointly on behalf of Allspring Global Investments Holdings, LLC, Allspring Global Investments, LLC and Allspring Funds Management, LLC, Allspring Global Investments Holdings, LLC has sole voting power over 2,190,515 shares, sole dispositive power over 2,337,644 shares, and beneficially held shares of 2,337,6442. Allspring Global Investments, LLC has sole voting power over 529,931 shares, sole dispositive power over 2,335,589 shares and beneficially owns 2,335,589 shares and Allspring Funds Management, LLC has sole voting power over 1,660,584 shares, sole dispositive power over 2,055 shares, and beneficially owns 1,662,639 shares.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Delinquent Section 16(a) Reports</w:t>
      </w:r>
    </w:p>
    <w:p>
      <w:pPr>
        <w:spacing w:after="0" w:line="195" w:lineRule="exact"/>
        <w:rPr>
          <w:sz w:val="20"/>
          <w:szCs w:val="20"/>
          <w:color w:val="auto"/>
        </w:rPr>
      </w:pPr>
    </w:p>
    <w:p>
      <w:pPr>
        <w:jc w:val="both"/>
        <w:ind w:left="200" w:right="119"/>
        <w:spacing w:after="0" w:line="272" w:lineRule="auto"/>
        <w:rPr>
          <w:sz w:val="20"/>
          <w:szCs w:val="20"/>
          <w:color w:val="auto"/>
        </w:rPr>
      </w:pPr>
      <w:r>
        <w:rPr>
          <w:rFonts w:ascii="Arial" w:cs="Arial" w:eastAsia="Arial" w:hAnsi="Arial"/>
          <w:sz w:val="14"/>
          <w:szCs w:val="14"/>
          <w:color w:val="auto"/>
        </w:rPr>
        <w:t>Section 16(a) of the Exchange Act requires our executive officers, directors and “beneficial owners” of more than 10% of our common stock to file stock ownership reports of changes in ownership with the SEC. Based upon a review of those reports and written representations from the reporting persons, we believe that each of the Company’s officers, Directors and beneficial owners of more than 10% of the Common Stock complied with all Section 16(a) filing requirements applicable to them during fiscal 2025, except for the following: (1) each of the Directors (Ms. Arnold, Mr. Blackmore, Mr. Landless, Mr. Padfield, Mr. Paller, Mr. Parrette, Ms. Poccia, Mr. Williams) and each of the executive officers (Mr. Barnes, Mr. Cleminson, Mr. Griffin, and Mr. Jones) filed a late Form 4 reporting the annual RSU grant one day late; such Form 4 for each of Mr. Barnes and Mr. Griffin also included late disclosure of the exempt exercise of a stock appreciation right, and (2) Mr. Blair and Mr. McRobbie each filed one late Form 4 reporting a grant of phantom stock. Each late filing was due to administrative error and was filed no more than two days following the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2219325</wp:posOffset>
            </wp:positionV>
            <wp:extent cx="297180" cy="290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2" w:name="page53"/>
    <w:bookmarkEnd w:id="52"/>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Equity Compensation Plans</w:t>
      </w:r>
    </w:p>
    <w:p>
      <w:pPr>
        <w:spacing w:after="0" w:line="195"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The following table summarizes information, as of December 31, 2025, relating to our current equity compensation plans approved by security holders, pursuant to which grants of options, full value options, restricted stock, restricted stock units or other rights to acquire stock have been granted from time to time under the Company Stock Option Plan (“CSOP”), Performance Related Stock Option Plan (“PRSOP”), Non-Executive Directors Stock Option Plan (“NEDSOP”) and Omnibus Plan.</w:t>
      </w:r>
    </w:p>
    <w:p>
      <w:pPr>
        <w:spacing w:after="0" w:line="94"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The CSOP, PRSOP and the NEDSOP expired in May 2018, and no further options were granted under these plans after that date, although outstanding options granted under such plans remain exercisable until their respective expiration dates. Options and full value awards were granted under the Omnibus Plan. This plan provides for options exercisable for Common Stock and full value awards, such as restricted stock units and performance stock units that are settled in Common Stock, as well as cash incentive awards, which are payable in cash based on stock price.</w:t>
      </w:r>
    </w:p>
    <w:p>
      <w:pPr>
        <w:spacing w:after="0" w:line="82"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We do not have any equity compensation plans that have not been approved by stockholders. Additional information about the CSOP, PRSOP and Omnibus Plan can be found in the Compensation Discussion and Analysis section of this Proxy Statement.</w:t>
      </w:r>
    </w:p>
    <w:p>
      <w:pPr>
        <w:spacing w:after="0" w:line="70" w:lineRule="exact"/>
        <w:rPr>
          <w:sz w:val="20"/>
          <w:szCs w:val="20"/>
          <w:color w:val="auto"/>
        </w:rPr>
      </w:pPr>
    </w:p>
    <w:tbl>
      <w:tblPr>
        <w:tblLayout w:type="fixed"/>
        <w:tblInd w:w="210" w:type="dxa"/>
        <w:tblCellMar>
          <w:top w:w="0" w:type="dxa"/>
          <w:left w:w="0" w:type="dxa"/>
          <w:bottom w:w="0" w:type="dxa"/>
          <w:right w:w="0" w:type="dxa"/>
        </w:tblCellMar>
      </w:tblPr>
      <w:tr>
        <w:trPr>
          <w:trHeight w:val="210"/>
        </w:trPr>
        <w:tc>
          <w:tcPr>
            <w:tcW w:w="2200" w:type="dxa"/>
            <w:vAlign w:val="bottom"/>
            <w:tcBorders>
              <w:top w:val="single" w:sz="8" w:color="874796"/>
              <w:left w:val="single" w:sz="8" w:color="874796"/>
              <w:right w:val="single" w:sz="8" w:color="9E318D"/>
            </w:tcBorders>
            <w:shd w:val="clear" w:color="auto" w:fill="874796"/>
          </w:tcPr>
          <w:p>
            <w:pPr>
              <w:ind w:left="640"/>
              <w:spacing w:after="0"/>
              <w:rPr>
                <w:sz w:val="20"/>
                <w:szCs w:val="20"/>
                <w:color w:val="auto"/>
              </w:rPr>
            </w:pPr>
            <w:r>
              <w:rPr>
                <w:rFonts w:ascii="Arial" w:cs="Arial" w:eastAsia="Arial" w:hAnsi="Arial"/>
                <w:sz w:val="13"/>
                <w:szCs w:val="13"/>
                <w:b w:val="1"/>
                <w:bCs w:val="1"/>
                <w:color w:val="FFFFFF"/>
              </w:rPr>
              <w:t>Plan Category</w:t>
            </w:r>
          </w:p>
        </w:tc>
        <w:tc>
          <w:tcPr>
            <w:tcW w:w="2160" w:type="dxa"/>
            <w:vAlign w:val="bottom"/>
            <w:tcBorders>
              <w:top w:val="single" w:sz="8" w:color="874796"/>
              <w:right w:val="single" w:sz="8" w:color="9E318D"/>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Number of securities to be</w:t>
            </w:r>
          </w:p>
        </w:tc>
        <w:tc>
          <w:tcPr>
            <w:tcW w:w="2160" w:type="dxa"/>
            <w:vAlign w:val="bottom"/>
            <w:tcBorders>
              <w:top w:val="single" w:sz="8" w:color="874796"/>
              <w:right w:val="single" w:sz="8" w:color="9E318D"/>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Weighted average</w:t>
            </w:r>
          </w:p>
        </w:tc>
        <w:tc>
          <w:tcPr>
            <w:tcW w:w="2160" w:type="dxa"/>
            <w:vAlign w:val="bottom"/>
            <w:tcBorders>
              <w:top w:val="single" w:sz="8" w:color="874796"/>
              <w:right w:val="single" w:sz="8" w:color="874796"/>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Number of securities remaining</w:t>
            </w:r>
          </w:p>
        </w:tc>
        <w:tc>
          <w:tcPr>
            <w:tcW w:w="0" w:type="dxa"/>
            <w:vAlign w:val="bottom"/>
          </w:tcPr>
          <w:p>
            <w:pPr>
              <w:spacing w:after="0"/>
              <w:rPr>
                <w:sz w:val="1"/>
                <w:szCs w:val="1"/>
                <w:color w:val="auto"/>
              </w:rPr>
            </w:pPr>
          </w:p>
        </w:tc>
      </w:tr>
      <w:tr>
        <w:trPr>
          <w:trHeight w:val="178"/>
        </w:trPr>
        <w:tc>
          <w:tcPr>
            <w:tcW w:w="2200" w:type="dxa"/>
            <w:vAlign w:val="bottom"/>
            <w:tcBorders>
              <w:left w:val="single" w:sz="8" w:color="874796"/>
              <w:right w:val="single" w:sz="8" w:color="9E318D"/>
            </w:tcBorders>
            <w:shd w:val="clear" w:color="auto" w:fill="874796"/>
          </w:tcPr>
          <w:p>
            <w:pPr>
              <w:spacing w:after="0"/>
              <w:rPr>
                <w:sz w:val="15"/>
                <w:szCs w:val="15"/>
                <w:color w:val="auto"/>
              </w:rPr>
            </w:pPr>
          </w:p>
        </w:tc>
        <w:tc>
          <w:tcPr>
            <w:tcW w:w="2160" w:type="dxa"/>
            <w:vAlign w:val="bottom"/>
            <w:tcBorders>
              <w:right w:val="single" w:sz="8" w:color="9E318D"/>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issued upon exercise of</w:t>
            </w:r>
          </w:p>
        </w:tc>
        <w:tc>
          <w:tcPr>
            <w:tcW w:w="2160" w:type="dxa"/>
            <w:vAlign w:val="bottom"/>
            <w:tcBorders>
              <w:right w:val="single" w:sz="8" w:color="9E318D"/>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exercise price of</w:t>
            </w:r>
          </w:p>
        </w:tc>
        <w:tc>
          <w:tcPr>
            <w:tcW w:w="2160" w:type="dxa"/>
            <w:vAlign w:val="bottom"/>
            <w:tcBorders>
              <w:right w:val="single" w:sz="8" w:color="874796"/>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available for future issuance</w:t>
            </w:r>
          </w:p>
        </w:tc>
        <w:tc>
          <w:tcPr>
            <w:tcW w:w="0" w:type="dxa"/>
            <w:vAlign w:val="bottom"/>
          </w:tcPr>
          <w:p>
            <w:pPr>
              <w:spacing w:after="0"/>
              <w:rPr>
                <w:sz w:val="1"/>
                <w:szCs w:val="1"/>
                <w:color w:val="auto"/>
              </w:rPr>
            </w:pPr>
          </w:p>
        </w:tc>
      </w:tr>
      <w:tr>
        <w:trPr>
          <w:trHeight w:val="178"/>
        </w:trPr>
        <w:tc>
          <w:tcPr>
            <w:tcW w:w="2200" w:type="dxa"/>
            <w:vAlign w:val="bottom"/>
            <w:tcBorders>
              <w:left w:val="single" w:sz="8" w:color="874796"/>
              <w:right w:val="single" w:sz="8" w:color="9E318D"/>
            </w:tcBorders>
            <w:shd w:val="clear" w:color="auto" w:fill="874796"/>
          </w:tcPr>
          <w:p>
            <w:pPr>
              <w:spacing w:after="0"/>
              <w:rPr>
                <w:sz w:val="15"/>
                <w:szCs w:val="15"/>
                <w:color w:val="auto"/>
              </w:rPr>
            </w:pPr>
          </w:p>
        </w:tc>
        <w:tc>
          <w:tcPr>
            <w:tcW w:w="2160" w:type="dxa"/>
            <w:vAlign w:val="bottom"/>
            <w:tcBorders>
              <w:right w:val="single" w:sz="8" w:color="9E318D"/>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outstanding options, warrants</w:t>
            </w:r>
          </w:p>
        </w:tc>
        <w:tc>
          <w:tcPr>
            <w:tcW w:w="2160" w:type="dxa"/>
            <w:vAlign w:val="bottom"/>
            <w:tcBorders>
              <w:right w:val="single" w:sz="8" w:color="9E318D"/>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outstanding options, warrants</w:t>
            </w:r>
          </w:p>
        </w:tc>
        <w:tc>
          <w:tcPr>
            <w:tcW w:w="2160" w:type="dxa"/>
            <w:vAlign w:val="bottom"/>
            <w:tcBorders>
              <w:right w:val="single" w:sz="8" w:color="874796"/>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under equity compensation</w:t>
            </w:r>
          </w:p>
        </w:tc>
        <w:tc>
          <w:tcPr>
            <w:tcW w:w="0" w:type="dxa"/>
            <w:vAlign w:val="bottom"/>
          </w:tcPr>
          <w:p>
            <w:pPr>
              <w:spacing w:after="0"/>
              <w:rPr>
                <w:sz w:val="1"/>
                <w:szCs w:val="1"/>
                <w:color w:val="auto"/>
              </w:rPr>
            </w:pPr>
          </w:p>
        </w:tc>
      </w:tr>
      <w:tr>
        <w:trPr>
          <w:trHeight w:val="178"/>
        </w:trPr>
        <w:tc>
          <w:tcPr>
            <w:tcW w:w="2200" w:type="dxa"/>
            <w:vAlign w:val="bottom"/>
            <w:tcBorders>
              <w:left w:val="single" w:sz="8" w:color="874796"/>
              <w:right w:val="single" w:sz="8" w:color="9E318D"/>
            </w:tcBorders>
            <w:shd w:val="clear" w:color="auto" w:fill="874796"/>
          </w:tcPr>
          <w:p>
            <w:pPr>
              <w:spacing w:after="0"/>
              <w:rPr>
                <w:sz w:val="15"/>
                <w:szCs w:val="15"/>
                <w:color w:val="auto"/>
              </w:rPr>
            </w:pPr>
          </w:p>
        </w:tc>
        <w:tc>
          <w:tcPr>
            <w:tcW w:w="2160" w:type="dxa"/>
            <w:vAlign w:val="bottom"/>
            <w:tcBorders>
              <w:right w:val="single" w:sz="8" w:color="9E318D"/>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and rights</w:t>
            </w:r>
          </w:p>
        </w:tc>
        <w:tc>
          <w:tcPr>
            <w:tcW w:w="2160" w:type="dxa"/>
            <w:vAlign w:val="bottom"/>
            <w:tcBorders>
              <w:right w:val="single" w:sz="8" w:color="9E318D"/>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and rights</w:t>
            </w:r>
          </w:p>
        </w:tc>
        <w:tc>
          <w:tcPr>
            <w:tcW w:w="2160" w:type="dxa"/>
            <w:vAlign w:val="bottom"/>
            <w:tcBorders>
              <w:right w:val="single" w:sz="8" w:color="874796"/>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plans (excluding securities</w:t>
            </w:r>
          </w:p>
        </w:tc>
        <w:tc>
          <w:tcPr>
            <w:tcW w:w="0" w:type="dxa"/>
            <w:vAlign w:val="bottom"/>
          </w:tcPr>
          <w:p>
            <w:pPr>
              <w:spacing w:after="0"/>
              <w:rPr>
                <w:sz w:val="1"/>
                <w:szCs w:val="1"/>
                <w:color w:val="auto"/>
              </w:rPr>
            </w:pPr>
          </w:p>
        </w:tc>
      </w:tr>
      <w:tr>
        <w:trPr>
          <w:trHeight w:val="185"/>
        </w:trPr>
        <w:tc>
          <w:tcPr>
            <w:tcW w:w="2200" w:type="dxa"/>
            <w:vAlign w:val="bottom"/>
            <w:tcBorders>
              <w:left w:val="single" w:sz="8" w:color="874796"/>
              <w:right w:val="single" w:sz="8" w:color="9E318D"/>
            </w:tcBorders>
            <w:shd w:val="clear" w:color="auto" w:fill="874796"/>
          </w:tcPr>
          <w:p>
            <w:pPr>
              <w:spacing w:after="0"/>
              <w:rPr>
                <w:sz w:val="16"/>
                <w:szCs w:val="16"/>
                <w:color w:val="auto"/>
              </w:rPr>
            </w:pPr>
          </w:p>
        </w:tc>
        <w:tc>
          <w:tcPr>
            <w:tcW w:w="2160" w:type="dxa"/>
            <w:vAlign w:val="bottom"/>
            <w:tcBorders>
              <w:right w:val="single" w:sz="8" w:color="9E318D"/>
            </w:tcBorders>
            <w:shd w:val="clear" w:color="auto" w:fill="874796"/>
          </w:tcPr>
          <w:p>
            <w:pPr>
              <w:spacing w:after="0"/>
              <w:rPr>
                <w:sz w:val="16"/>
                <w:szCs w:val="16"/>
                <w:color w:val="auto"/>
              </w:rPr>
            </w:pPr>
          </w:p>
        </w:tc>
        <w:tc>
          <w:tcPr>
            <w:tcW w:w="2160" w:type="dxa"/>
            <w:vAlign w:val="bottom"/>
            <w:tcBorders>
              <w:right w:val="single" w:sz="8" w:color="9E318D"/>
            </w:tcBorders>
            <w:shd w:val="clear" w:color="auto" w:fill="874796"/>
          </w:tcPr>
          <w:p>
            <w:pPr>
              <w:spacing w:after="0"/>
              <w:rPr>
                <w:sz w:val="16"/>
                <w:szCs w:val="16"/>
                <w:color w:val="auto"/>
              </w:rPr>
            </w:pPr>
          </w:p>
        </w:tc>
        <w:tc>
          <w:tcPr>
            <w:tcW w:w="2160" w:type="dxa"/>
            <w:vAlign w:val="bottom"/>
            <w:tcBorders>
              <w:right w:val="single" w:sz="8" w:color="874796"/>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reflected in column (a))</w:t>
            </w:r>
          </w:p>
        </w:tc>
        <w:tc>
          <w:tcPr>
            <w:tcW w:w="0" w:type="dxa"/>
            <w:vAlign w:val="bottom"/>
          </w:tcPr>
          <w:p>
            <w:pPr>
              <w:spacing w:after="0"/>
              <w:rPr>
                <w:sz w:val="1"/>
                <w:szCs w:val="1"/>
                <w:color w:val="auto"/>
              </w:rPr>
            </w:pPr>
          </w:p>
        </w:tc>
      </w:tr>
      <w:tr>
        <w:trPr>
          <w:trHeight w:val="234"/>
        </w:trPr>
        <w:tc>
          <w:tcPr>
            <w:tcW w:w="2200" w:type="dxa"/>
            <w:vAlign w:val="bottom"/>
            <w:tcBorders>
              <w:left w:val="single" w:sz="8" w:color="874796"/>
              <w:right w:val="single" w:sz="8" w:color="9E318D"/>
            </w:tcBorders>
            <w:shd w:val="clear" w:color="auto" w:fill="874796"/>
          </w:tcPr>
          <w:p>
            <w:pPr>
              <w:spacing w:after="0"/>
              <w:rPr>
                <w:sz w:val="20"/>
                <w:szCs w:val="20"/>
                <w:color w:val="auto"/>
              </w:rPr>
            </w:pPr>
          </w:p>
        </w:tc>
        <w:tc>
          <w:tcPr>
            <w:tcW w:w="2160" w:type="dxa"/>
            <w:vAlign w:val="bottom"/>
            <w:tcBorders>
              <w:right w:val="single" w:sz="8" w:color="9E318D"/>
            </w:tcBorders>
            <w:vMerge w:val="restart"/>
            <w:shd w:val="clear" w:color="auto" w:fill="874796"/>
          </w:tcPr>
          <w:p>
            <w:pPr>
              <w:jc w:val="center"/>
              <w:spacing w:after="0"/>
              <w:rPr>
                <w:sz w:val="20"/>
                <w:szCs w:val="20"/>
                <w:color w:val="auto"/>
              </w:rPr>
            </w:pPr>
            <w:r>
              <w:rPr>
                <w:rFonts w:ascii="Arial" w:cs="Arial" w:eastAsia="Arial" w:hAnsi="Arial"/>
                <w:sz w:val="13"/>
                <w:szCs w:val="13"/>
                <w:b w:val="1"/>
                <w:bCs w:val="1"/>
                <w:color w:val="FFFFFF"/>
              </w:rPr>
              <w:t>(a)</w:t>
            </w:r>
          </w:p>
        </w:tc>
        <w:tc>
          <w:tcPr>
            <w:tcW w:w="2160" w:type="dxa"/>
            <w:vAlign w:val="bottom"/>
            <w:tcBorders>
              <w:right w:val="single" w:sz="8" w:color="9E318D"/>
            </w:tcBorders>
            <w:vMerge w:val="restart"/>
            <w:shd w:val="clear" w:color="auto" w:fill="874796"/>
          </w:tcPr>
          <w:p>
            <w:pPr>
              <w:jc w:val="center"/>
              <w:spacing w:after="0"/>
              <w:rPr>
                <w:sz w:val="20"/>
                <w:szCs w:val="20"/>
                <w:color w:val="auto"/>
              </w:rPr>
            </w:pPr>
            <w:r>
              <w:rPr>
                <w:rFonts w:ascii="Arial" w:cs="Arial" w:eastAsia="Arial" w:hAnsi="Arial"/>
                <w:sz w:val="13"/>
                <w:szCs w:val="13"/>
                <w:b w:val="1"/>
                <w:bCs w:val="1"/>
                <w:color w:val="FFFFFF"/>
              </w:rPr>
              <w:t>(b)</w:t>
            </w:r>
          </w:p>
        </w:tc>
        <w:tc>
          <w:tcPr>
            <w:tcW w:w="2160" w:type="dxa"/>
            <w:vAlign w:val="bottom"/>
            <w:tcBorders>
              <w:right w:val="single" w:sz="8" w:color="874796"/>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(c)</w:t>
            </w:r>
          </w:p>
        </w:tc>
        <w:tc>
          <w:tcPr>
            <w:tcW w:w="0" w:type="dxa"/>
            <w:vAlign w:val="bottom"/>
          </w:tcPr>
          <w:p>
            <w:pPr>
              <w:spacing w:after="0"/>
              <w:rPr>
                <w:sz w:val="1"/>
                <w:szCs w:val="1"/>
                <w:color w:val="auto"/>
              </w:rPr>
            </w:pPr>
          </w:p>
        </w:tc>
      </w:tr>
      <w:tr>
        <w:trPr>
          <w:trHeight w:val="206"/>
        </w:trPr>
        <w:tc>
          <w:tcPr>
            <w:tcW w:w="2200" w:type="dxa"/>
            <w:vAlign w:val="bottom"/>
            <w:tcBorders>
              <w:left w:val="single" w:sz="8" w:color="874796"/>
              <w:right w:val="single" w:sz="8" w:color="9E318D"/>
            </w:tcBorders>
            <w:shd w:val="clear" w:color="auto" w:fill="874796"/>
          </w:tcPr>
          <w:p>
            <w:pPr>
              <w:spacing w:after="0"/>
              <w:rPr>
                <w:sz w:val="17"/>
                <w:szCs w:val="17"/>
                <w:color w:val="auto"/>
              </w:rPr>
            </w:pPr>
          </w:p>
        </w:tc>
        <w:tc>
          <w:tcPr>
            <w:tcW w:w="2160" w:type="dxa"/>
            <w:vAlign w:val="bottom"/>
            <w:tcBorders>
              <w:right w:val="single" w:sz="8" w:color="9E318D"/>
            </w:tcBorders>
            <w:vMerge w:val="continue"/>
            <w:shd w:val="clear" w:color="auto" w:fill="874796"/>
          </w:tcPr>
          <w:p>
            <w:pPr>
              <w:spacing w:after="0"/>
              <w:rPr>
                <w:sz w:val="17"/>
                <w:szCs w:val="17"/>
                <w:color w:val="auto"/>
              </w:rPr>
            </w:pPr>
          </w:p>
        </w:tc>
        <w:tc>
          <w:tcPr>
            <w:tcW w:w="2160" w:type="dxa"/>
            <w:vAlign w:val="bottom"/>
            <w:tcBorders>
              <w:right w:val="single" w:sz="8" w:color="9E318D"/>
            </w:tcBorders>
            <w:vMerge w:val="continue"/>
            <w:shd w:val="clear" w:color="auto" w:fill="874796"/>
          </w:tcPr>
          <w:p>
            <w:pPr>
              <w:spacing w:after="0"/>
              <w:rPr>
                <w:sz w:val="17"/>
                <w:szCs w:val="17"/>
                <w:color w:val="auto"/>
              </w:rPr>
            </w:pPr>
          </w:p>
        </w:tc>
        <w:tc>
          <w:tcPr>
            <w:tcW w:w="2160" w:type="dxa"/>
            <w:vAlign w:val="bottom"/>
            <w:tcBorders>
              <w:right w:val="single" w:sz="8" w:color="874796"/>
            </w:tcBorders>
            <w:shd w:val="clear" w:color="auto" w:fill="87479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00" w:type="dxa"/>
            <w:vAlign w:val="bottom"/>
            <w:tcBorders>
              <w:left w:val="single" w:sz="8" w:color="874796"/>
              <w:right w:val="single" w:sz="8" w:color="9E318D"/>
            </w:tcBorders>
            <w:shd w:val="clear" w:color="auto" w:fill="F3ECF4"/>
          </w:tcPr>
          <w:p>
            <w:pPr>
              <w:ind w:left="80"/>
              <w:spacing w:after="0"/>
              <w:rPr>
                <w:sz w:val="20"/>
                <w:szCs w:val="20"/>
                <w:color w:val="auto"/>
              </w:rPr>
            </w:pPr>
            <w:r>
              <w:rPr>
                <w:rFonts w:ascii="Arial" w:cs="Arial" w:eastAsia="Arial" w:hAnsi="Arial"/>
                <w:sz w:val="13"/>
                <w:szCs w:val="13"/>
                <w:color w:val="auto"/>
              </w:rPr>
              <w:t>Equity compensation plans</w:t>
            </w:r>
          </w:p>
        </w:tc>
        <w:tc>
          <w:tcPr>
            <w:tcW w:w="2160" w:type="dxa"/>
            <w:vAlign w:val="bottom"/>
            <w:tcBorders>
              <w:right w:val="single" w:sz="8" w:color="9E318D"/>
            </w:tcBorders>
            <w:vMerge w:val="restart"/>
            <w:shd w:val="clear" w:color="auto" w:fill="F3ECF4"/>
          </w:tcPr>
          <w:p>
            <w:pPr>
              <w:jc w:val="center"/>
              <w:spacing w:after="0"/>
              <w:rPr>
                <w:sz w:val="20"/>
                <w:szCs w:val="20"/>
                <w:color w:val="auto"/>
              </w:rPr>
            </w:pPr>
            <w:r>
              <w:rPr>
                <w:rFonts w:ascii="Arial" w:cs="Arial" w:eastAsia="Arial" w:hAnsi="Arial"/>
                <w:sz w:val="13"/>
                <w:szCs w:val="13"/>
                <w:color w:val="auto"/>
              </w:rPr>
              <w:t>230,892</w:t>
            </w:r>
          </w:p>
        </w:tc>
        <w:tc>
          <w:tcPr>
            <w:tcW w:w="2160" w:type="dxa"/>
            <w:vAlign w:val="bottom"/>
            <w:tcBorders>
              <w:right w:val="single" w:sz="8" w:color="9E318D"/>
            </w:tcBorders>
            <w:vMerge w:val="restart"/>
            <w:shd w:val="clear" w:color="auto" w:fill="F3ECF4"/>
          </w:tcPr>
          <w:p>
            <w:pPr>
              <w:jc w:val="center"/>
              <w:spacing w:after="0"/>
              <w:rPr>
                <w:sz w:val="20"/>
                <w:szCs w:val="20"/>
                <w:color w:val="auto"/>
              </w:rPr>
            </w:pPr>
            <w:r>
              <w:rPr>
                <w:rFonts w:ascii="Arial" w:cs="Arial" w:eastAsia="Arial" w:hAnsi="Arial"/>
                <w:sz w:val="13"/>
                <w:szCs w:val="13"/>
                <w:color w:val="auto"/>
              </w:rPr>
              <w:t>$12.235</w:t>
            </w:r>
          </w:p>
        </w:tc>
        <w:tc>
          <w:tcPr>
            <w:tcW w:w="2160" w:type="dxa"/>
            <w:vAlign w:val="bottom"/>
            <w:tcBorders>
              <w:right w:val="single" w:sz="8" w:color="874796"/>
            </w:tcBorders>
            <w:vMerge w:val="restart"/>
            <w:shd w:val="clear" w:color="auto" w:fill="F3ECF4"/>
          </w:tcPr>
          <w:p>
            <w:pPr>
              <w:jc w:val="center"/>
              <w:spacing w:after="0"/>
              <w:rPr>
                <w:sz w:val="20"/>
                <w:szCs w:val="20"/>
                <w:color w:val="auto"/>
              </w:rPr>
            </w:pPr>
            <w:r>
              <w:rPr>
                <w:rFonts w:ascii="Arial" w:cs="Arial" w:eastAsia="Arial" w:hAnsi="Arial"/>
                <w:sz w:val="13"/>
                <w:szCs w:val="13"/>
                <w:color w:val="auto"/>
              </w:rPr>
              <w:t>439,476</w:t>
            </w:r>
          </w:p>
        </w:tc>
        <w:tc>
          <w:tcPr>
            <w:tcW w:w="0" w:type="dxa"/>
            <w:vAlign w:val="bottom"/>
          </w:tcPr>
          <w:p>
            <w:pPr>
              <w:spacing w:after="0"/>
              <w:rPr>
                <w:sz w:val="1"/>
                <w:szCs w:val="1"/>
                <w:color w:val="auto"/>
              </w:rPr>
            </w:pPr>
          </w:p>
        </w:tc>
      </w:tr>
      <w:tr>
        <w:trPr>
          <w:trHeight w:val="89"/>
        </w:trPr>
        <w:tc>
          <w:tcPr>
            <w:tcW w:w="2200" w:type="dxa"/>
            <w:vAlign w:val="bottom"/>
            <w:tcBorders>
              <w:left w:val="single" w:sz="8" w:color="874796"/>
              <w:right w:val="single" w:sz="8" w:color="9E318D"/>
            </w:tcBorders>
            <w:vMerge w:val="restart"/>
            <w:shd w:val="clear" w:color="auto" w:fill="F3ECF4"/>
          </w:tcPr>
          <w:p>
            <w:pPr>
              <w:ind w:left="80"/>
              <w:spacing w:after="0"/>
              <w:rPr>
                <w:sz w:val="20"/>
                <w:szCs w:val="20"/>
                <w:color w:val="auto"/>
              </w:rPr>
            </w:pPr>
            <w:r>
              <w:rPr>
                <w:rFonts w:ascii="Arial" w:cs="Arial" w:eastAsia="Arial" w:hAnsi="Arial"/>
                <w:sz w:val="13"/>
                <w:szCs w:val="13"/>
                <w:color w:val="auto"/>
              </w:rPr>
              <w:t>approved by stockholders</w:t>
            </w:r>
          </w:p>
        </w:tc>
        <w:tc>
          <w:tcPr>
            <w:tcW w:w="2160" w:type="dxa"/>
            <w:vAlign w:val="bottom"/>
            <w:tcBorders>
              <w:right w:val="single" w:sz="8" w:color="9E318D"/>
            </w:tcBorders>
            <w:vMerge w:val="continue"/>
            <w:shd w:val="clear" w:color="auto" w:fill="F3ECF4"/>
          </w:tcPr>
          <w:p>
            <w:pPr>
              <w:spacing w:after="0"/>
              <w:rPr>
                <w:sz w:val="7"/>
                <w:szCs w:val="7"/>
                <w:color w:val="auto"/>
              </w:rPr>
            </w:pPr>
          </w:p>
        </w:tc>
        <w:tc>
          <w:tcPr>
            <w:tcW w:w="2160" w:type="dxa"/>
            <w:vAlign w:val="bottom"/>
            <w:tcBorders>
              <w:right w:val="single" w:sz="8" w:color="9E318D"/>
            </w:tcBorders>
            <w:vMerge w:val="continue"/>
            <w:shd w:val="clear" w:color="auto" w:fill="F3ECF4"/>
          </w:tcPr>
          <w:p>
            <w:pPr>
              <w:spacing w:after="0"/>
              <w:rPr>
                <w:sz w:val="7"/>
                <w:szCs w:val="7"/>
                <w:color w:val="auto"/>
              </w:rPr>
            </w:pPr>
          </w:p>
        </w:tc>
        <w:tc>
          <w:tcPr>
            <w:tcW w:w="2160" w:type="dxa"/>
            <w:vAlign w:val="bottom"/>
            <w:tcBorders>
              <w:right w:val="single" w:sz="8" w:color="874796"/>
            </w:tcBorders>
            <w:vMerge w:val="continue"/>
            <w:shd w:val="clear" w:color="auto" w:fill="F3ECF4"/>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00" w:type="dxa"/>
            <w:vAlign w:val="bottom"/>
            <w:tcBorders>
              <w:left w:val="single" w:sz="8" w:color="874796"/>
              <w:bottom w:val="single" w:sz="8" w:color="F3ECF4"/>
              <w:right w:val="single" w:sz="8" w:color="9E318D"/>
            </w:tcBorders>
            <w:vMerge w:val="continue"/>
            <w:shd w:val="clear" w:color="auto" w:fill="F3ECF4"/>
          </w:tcPr>
          <w:p>
            <w:pPr>
              <w:spacing w:after="0"/>
              <w:rPr>
                <w:sz w:val="9"/>
                <w:szCs w:val="9"/>
                <w:color w:val="auto"/>
              </w:rPr>
            </w:pPr>
          </w:p>
        </w:tc>
        <w:tc>
          <w:tcPr>
            <w:tcW w:w="2160" w:type="dxa"/>
            <w:vAlign w:val="bottom"/>
            <w:tcBorders>
              <w:bottom w:val="single" w:sz="8" w:color="F3ECF4"/>
              <w:right w:val="single" w:sz="8" w:color="9E318D"/>
            </w:tcBorders>
            <w:shd w:val="clear" w:color="auto" w:fill="F3ECF4"/>
          </w:tcPr>
          <w:p>
            <w:pPr>
              <w:spacing w:after="0"/>
              <w:rPr>
                <w:sz w:val="9"/>
                <w:szCs w:val="9"/>
                <w:color w:val="auto"/>
              </w:rPr>
            </w:pPr>
          </w:p>
        </w:tc>
        <w:tc>
          <w:tcPr>
            <w:tcW w:w="2160" w:type="dxa"/>
            <w:vAlign w:val="bottom"/>
            <w:tcBorders>
              <w:bottom w:val="single" w:sz="8" w:color="F3ECF4"/>
              <w:right w:val="single" w:sz="8" w:color="9E318D"/>
            </w:tcBorders>
            <w:shd w:val="clear" w:color="auto" w:fill="F3ECF4"/>
          </w:tcPr>
          <w:p>
            <w:pPr>
              <w:spacing w:after="0"/>
              <w:rPr>
                <w:sz w:val="9"/>
                <w:szCs w:val="9"/>
                <w:color w:val="auto"/>
              </w:rPr>
            </w:pPr>
          </w:p>
        </w:tc>
        <w:tc>
          <w:tcPr>
            <w:tcW w:w="2160" w:type="dxa"/>
            <w:vAlign w:val="bottom"/>
            <w:tcBorders>
              <w:bottom w:val="single" w:sz="8" w:color="F3ECF4"/>
              <w:right w:val="single" w:sz="8" w:color="874796"/>
            </w:tcBorders>
            <w:shd w:val="clear" w:color="auto" w:fill="F3ECF4"/>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00" w:type="dxa"/>
            <w:vAlign w:val="bottom"/>
            <w:tcBorders>
              <w:top w:val="single" w:sz="8" w:color="9E318D"/>
              <w:left w:val="single" w:sz="8" w:color="874796"/>
              <w:right w:val="single" w:sz="8" w:color="9E318D"/>
            </w:tcBorders>
          </w:tcPr>
          <w:p>
            <w:pPr>
              <w:ind w:left="80"/>
              <w:spacing w:after="0"/>
              <w:rPr>
                <w:sz w:val="20"/>
                <w:szCs w:val="20"/>
                <w:color w:val="auto"/>
              </w:rPr>
            </w:pPr>
            <w:r>
              <w:rPr>
                <w:rFonts w:ascii="Arial" w:cs="Arial" w:eastAsia="Arial" w:hAnsi="Arial"/>
                <w:sz w:val="13"/>
                <w:szCs w:val="13"/>
                <w:color w:val="auto"/>
              </w:rPr>
              <w:t>Equity compensation plans not</w:t>
            </w:r>
          </w:p>
        </w:tc>
        <w:tc>
          <w:tcPr>
            <w:tcW w:w="2160" w:type="dxa"/>
            <w:vAlign w:val="bottom"/>
            <w:tcBorders>
              <w:top w:val="single" w:sz="8" w:color="9E318D"/>
              <w:right w:val="single" w:sz="8" w:color="9E318D"/>
            </w:tcBorders>
            <w:vMerge w:val="restart"/>
          </w:tcPr>
          <w:p>
            <w:pPr>
              <w:jc w:val="center"/>
              <w:spacing w:after="0"/>
              <w:rPr>
                <w:sz w:val="20"/>
                <w:szCs w:val="20"/>
                <w:color w:val="auto"/>
              </w:rPr>
            </w:pPr>
            <w:r>
              <w:rPr>
                <w:rFonts w:ascii="Arial" w:cs="Arial" w:eastAsia="Arial" w:hAnsi="Arial"/>
                <w:sz w:val="13"/>
                <w:szCs w:val="13"/>
                <w:color w:val="auto"/>
              </w:rPr>
              <w:t>—</w:t>
            </w:r>
          </w:p>
        </w:tc>
        <w:tc>
          <w:tcPr>
            <w:tcW w:w="2160" w:type="dxa"/>
            <w:vAlign w:val="bottom"/>
            <w:tcBorders>
              <w:top w:val="single" w:sz="8" w:color="9E318D"/>
              <w:right w:val="single" w:sz="8" w:color="9E318D"/>
            </w:tcBorders>
            <w:vMerge w:val="restart"/>
          </w:tcPr>
          <w:p>
            <w:pPr>
              <w:jc w:val="center"/>
              <w:spacing w:after="0"/>
              <w:rPr>
                <w:sz w:val="20"/>
                <w:szCs w:val="20"/>
                <w:color w:val="auto"/>
              </w:rPr>
            </w:pPr>
            <w:r>
              <w:rPr>
                <w:rFonts w:ascii="Arial" w:cs="Arial" w:eastAsia="Arial" w:hAnsi="Arial"/>
                <w:sz w:val="13"/>
                <w:szCs w:val="13"/>
                <w:color w:val="auto"/>
              </w:rPr>
              <w:t>—</w:t>
            </w:r>
          </w:p>
        </w:tc>
        <w:tc>
          <w:tcPr>
            <w:tcW w:w="2160" w:type="dxa"/>
            <w:vAlign w:val="bottom"/>
            <w:tcBorders>
              <w:top w:val="single" w:sz="8" w:color="9E318D"/>
              <w:right w:val="single" w:sz="8" w:color="874796"/>
            </w:tcBorders>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2200" w:type="dxa"/>
            <w:vAlign w:val="bottom"/>
            <w:tcBorders>
              <w:left w:val="single" w:sz="8" w:color="874796"/>
              <w:right w:val="single" w:sz="8" w:color="9E318D"/>
            </w:tcBorders>
            <w:vMerge w:val="restart"/>
          </w:tcPr>
          <w:p>
            <w:pPr>
              <w:ind w:left="80"/>
              <w:spacing w:after="0"/>
              <w:rPr>
                <w:sz w:val="20"/>
                <w:szCs w:val="20"/>
                <w:color w:val="auto"/>
              </w:rPr>
            </w:pPr>
            <w:r>
              <w:rPr>
                <w:rFonts w:ascii="Arial" w:cs="Arial" w:eastAsia="Arial" w:hAnsi="Arial"/>
                <w:sz w:val="13"/>
                <w:szCs w:val="13"/>
                <w:color w:val="auto"/>
              </w:rPr>
              <w:t>approved by stockholders</w:t>
            </w:r>
          </w:p>
        </w:tc>
        <w:tc>
          <w:tcPr>
            <w:tcW w:w="2160" w:type="dxa"/>
            <w:vAlign w:val="bottom"/>
            <w:tcBorders>
              <w:right w:val="single" w:sz="8" w:color="9E318D"/>
            </w:tcBorders>
            <w:vMerge w:val="continue"/>
          </w:tcPr>
          <w:p>
            <w:pPr>
              <w:spacing w:after="0"/>
              <w:rPr>
                <w:sz w:val="7"/>
                <w:szCs w:val="7"/>
                <w:color w:val="auto"/>
              </w:rPr>
            </w:pPr>
          </w:p>
        </w:tc>
        <w:tc>
          <w:tcPr>
            <w:tcW w:w="2160" w:type="dxa"/>
            <w:vAlign w:val="bottom"/>
            <w:tcBorders>
              <w:right w:val="single" w:sz="8" w:color="9E318D"/>
            </w:tcBorders>
            <w:vMerge w:val="continue"/>
          </w:tcPr>
          <w:p>
            <w:pPr>
              <w:spacing w:after="0"/>
              <w:rPr>
                <w:sz w:val="7"/>
                <w:szCs w:val="7"/>
                <w:color w:val="auto"/>
              </w:rPr>
            </w:pPr>
          </w:p>
        </w:tc>
        <w:tc>
          <w:tcPr>
            <w:tcW w:w="2160" w:type="dxa"/>
            <w:vAlign w:val="bottom"/>
            <w:tcBorders>
              <w:right w:val="single" w:sz="8" w:color="8747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200" w:type="dxa"/>
            <w:vAlign w:val="bottom"/>
            <w:tcBorders>
              <w:left w:val="single" w:sz="8" w:color="874796"/>
              <w:right w:val="single" w:sz="8" w:color="9E318D"/>
            </w:tcBorders>
            <w:vMerge w:val="continue"/>
          </w:tcPr>
          <w:p>
            <w:pPr>
              <w:spacing w:after="0"/>
              <w:rPr>
                <w:sz w:val="7"/>
                <w:szCs w:val="7"/>
                <w:color w:val="auto"/>
              </w:rPr>
            </w:pPr>
          </w:p>
        </w:tc>
        <w:tc>
          <w:tcPr>
            <w:tcW w:w="2160" w:type="dxa"/>
            <w:vAlign w:val="bottom"/>
            <w:tcBorders>
              <w:right w:val="single" w:sz="8" w:color="9E318D"/>
            </w:tcBorders>
          </w:tcPr>
          <w:p>
            <w:pPr>
              <w:spacing w:after="0"/>
              <w:rPr>
                <w:sz w:val="7"/>
                <w:szCs w:val="7"/>
                <w:color w:val="auto"/>
              </w:rPr>
            </w:pPr>
          </w:p>
        </w:tc>
        <w:tc>
          <w:tcPr>
            <w:tcW w:w="2160" w:type="dxa"/>
            <w:vAlign w:val="bottom"/>
            <w:tcBorders>
              <w:right w:val="single" w:sz="8" w:color="9E318D"/>
            </w:tcBorders>
          </w:tcPr>
          <w:p>
            <w:pPr>
              <w:spacing w:after="0"/>
              <w:rPr>
                <w:sz w:val="7"/>
                <w:szCs w:val="7"/>
                <w:color w:val="auto"/>
              </w:rPr>
            </w:pPr>
          </w:p>
        </w:tc>
        <w:tc>
          <w:tcPr>
            <w:tcW w:w="2160" w:type="dxa"/>
            <w:vAlign w:val="bottom"/>
            <w:tcBorders>
              <w:right w:val="single" w:sz="8" w:color="874796"/>
            </w:tcBorders>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200" w:type="dxa"/>
            <w:vAlign w:val="bottom"/>
            <w:tcBorders>
              <w:left w:val="single" w:sz="8" w:color="874796"/>
              <w:bottom w:val="single" w:sz="8" w:color="9E318D"/>
              <w:right w:val="single" w:sz="8" w:color="9E318D"/>
            </w:tcBorders>
          </w:tcPr>
          <w:p>
            <w:pPr>
              <w:spacing w:after="0"/>
              <w:rPr>
                <w:sz w:val="2"/>
                <w:szCs w:val="2"/>
                <w:color w:val="auto"/>
              </w:rPr>
            </w:pPr>
          </w:p>
        </w:tc>
        <w:tc>
          <w:tcPr>
            <w:tcW w:w="2160" w:type="dxa"/>
            <w:vAlign w:val="bottom"/>
            <w:tcBorders>
              <w:bottom w:val="single" w:sz="8" w:color="9E318D"/>
              <w:right w:val="single" w:sz="8" w:color="9E318D"/>
            </w:tcBorders>
          </w:tcPr>
          <w:p>
            <w:pPr>
              <w:spacing w:after="0"/>
              <w:rPr>
                <w:sz w:val="2"/>
                <w:szCs w:val="2"/>
                <w:color w:val="auto"/>
              </w:rPr>
            </w:pPr>
          </w:p>
        </w:tc>
        <w:tc>
          <w:tcPr>
            <w:tcW w:w="2160" w:type="dxa"/>
            <w:vAlign w:val="bottom"/>
            <w:tcBorders>
              <w:bottom w:val="single" w:sz="8" w:color="9E318D"/>
              <w:right w:val="single" w:sz="8" w:color="9E318D"/>
            </w:tcBorders>
          </w:tcPr>
          <w:p>
            <w:pPr>
              <w:spacing w:after="0"/>
              <w:rPr>
                <w:sz w:val="2"/>
                <w:szCs w:val="2"/>
                <w:color w:val="auto"/>
              </w:rPr>
            </w:pPr>
          </w:p>
        </w:tc>
        <w:tc>
          <w:tcPr>
            <w:tcW w:w="2160" w:type="dxa"/>
            <w:vAlign w:val="bottom"/>
            <w:tcBorders>
              <w:bottom w:val="single" w:sz="8" w:color="9E318D"/>
              <w:right w:val="single" w:sz="8" w:color="874796"/>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200" w:type="dxa"/>
            <w:vAlign w:val="bottom"/>
            <w:tcBorders>
              <w:left w:val="single" w:sz="8" w:color="874796"/>
              <w:bottom w:val="single" w:sz="8" w:color="F3ECF4"/>
              <w:right w:val="single" w:sz="8" w:color="9E318D"/>
            </w:tcBorders>
            <w:shd w:val="clear" w:color="auto" w:fill="F3ECF4"/>
          </w:tcPr>
          <w:p>
            <w:pPr>
              <w:ind w:left="80"/>
              <w:spacing w:after="0"/>
              <w:rPr>
                <w:sz w:val="20"/>
                <w:szCs w:val="20"/>
                <w:color w:val="auto"/>
              </w:rPr>
            </w:pPr>
            <w:r>
              <w:rPr>
                <w:rFonts w:ascii="Arial" w:cs="Arial" w:eastAsia="Arial" w:hAnsi="Arial"/>
                <w:sz w:val="13"/>
                <w:szCs w:val="13"/>
                <w:color w:val="auto"/>
              </w:rPr>
              <w:t>Total</w:t>
            </w:r>
          </w:p>
        </w:tc>
        <w:tc>
          <w:tcPr>
            <w:tcW w:w="2160" w:type="dxa"/>
            <w:vAlign w:val="bottom"/>
            <w:tcBorders>
              <w:bottom w:val="single" w:sz="8" w:color="F3ECF4"/>
              <w:right w:val="single" w:sz="8" w:color="9E318D"/>
            </w:tcBorders>
            <w:shd w:val="clear" w:color="auto" w:fill="F3ECF4"/>
          </w:tcPr>
          <w:p>
            <w:pPr>
              <w:jc w:val="center"/>
              <w:spacing w:after="0"/>
              <w:rPr>
                <w:sz w:val="20"/>
                <w:szCs w:val="20"/>
                <w:color w:val="auto"/>
              </w:rPr>
            </w:pPr>
            <w:r>
              <w:rPr>
                <w:rFonts w:ascii="Arial" w:cs="Arial" w:eastAsia="Arial" w:hAnsi="Arial"/>
                <w:sz w:val="13"/>
                <w:szCs w:val="13"/>
                <w:color w:val="auto"/>
              </w:rPr>
              <w:t>230,892</w:t>
            </w:r>
          </w:p>
        </w:tc>
        <w:tc>
          <w:tcPr>
            <w:tcW w:w="2160" w:type="dxa"/>
            <w:vAlign w:val="bottom"/>
            <w:tcBorders>
              <w:bottom w:val="single" w:sz="8" w:color="F3ECF4"/>
              <w:right w:val="single" w:sz="8" w:color="9E318D"/>
            </w:tcBorders>
            <w:shd w:val="clear" w:color="auto" w:fill="F3ECF4"/>
          </w:tcPr>
          <w:p>
            <w:pPr>
              <w:jc w:val="center"/>
              <w:spacing w:after="0"/>
              <w:rPr>
                <w:sz w:val="20"/>
                <w:szCs w:val="20"/>
                <w:color w:val="auto"/>
              </w:rPr>
            </w:pPr>
            <w:r>
              <w:rPr>
                <w:rFonts w:ascii="Arial" w:cs="Arial" w:eastAsia="Arial" w:hAnsi="Arial"/>
                <w:sz w:val="13"/>
                <w:szCs w:val="13"/>
                <w:color w:val="auto"/>
              </w:rPr>
              <w:t>$12.235</w:t>
            </w:r>
          </w:p>
        </w:tc>
        <w:tc>
          <w:tcPr>
            <w:tcW w:w="2160" w:type="dxa"/>
            <w:vAlign w:val="bottom"/>
            <w:tcBorders>
              <w:bottom w:val="single" w:sz="8" w:color="F3ECF4"/>
              <w:right w:val="single" w:sz="8" w:color="874796"/>
            </w:tcBorders>
            <w:shd w:val="clear" w:color="auto" w:fill="F3ECF4"/>
          </w:tcPr>
          <w:p>
            <w:pPr>
              <w:jc w:val="center"/>
              <w:spacing w:after="0"/>
              <w:rPr>
                <w:sz w:val="20"/>
                <w:szCs w:val="20"/>
                <w:color w:val="auto"/>
              </w:rPr>
            </w:pPr>
            <w:r>
              <w:rPr>
                <w:rFonts w:ascii="Arial" w:cs="Arial" w:eastAsia="Arial" w:hAnsi="Arial"/>
                <w:sz w:val="13"/>
                <w:szCs w:val="13"/>
                <w:color w:val="auto"/>
              </w:rPr>
              <w:t>439,476</w:t>
            </w:r>
          </w:p>
        </w:tc>
        <w:tc>
          <w:tcPr>
            <w:tcW w:w="0" w:type="dxa"/>
            <w:vAlign w:val="bottom"/>
          </w:tcPr>
          <w:p>
            <w:pPr>
              <w:spacing w:after="0"/>
              <w:rPr>
                <w:sz w:val="1"/>
                <w:szCs w:val="1"/>
                <w:color w:val="auto"/>
              </w:rPr>
            </w:pPr>
          </w:p>
        </w:tc>
      </w:tr>
      <w:tr>
        <w:trPr>
          <w:trHeight w:val="20"/>
        </w:trPr>
        <w:tc>
          <w:tcPr>
            <w:tcW w:w="2200" w:type="dxa"/>
            <w:vAlign w:val="bottom"/>
            <w:tcBorders>
              <w:left w:val="single" w:sz="8" w:color="874796"/>
              <w:right w:val="single" w:sz="8" w:color="9E318D"/>
            </w:tcBorders>
            <w:shd w:val="clear" w:color="auto" w:fill="874796"/>
          </w:tcPr>
          <w:p>
            <w:pPr>
              <w:spacing w:after="0" w:line="20" w:lineRule="exact"/>
              <w:rPr>
                <w:sz w:val="1"/>
                <w:szCs w:val="1"/>
                <w:color w:val="auto"/>
              </w:rPr>
            </w:pPr>
          </w:p>
        </w:tc>
        <w:tc>
          <w:tcPr>
            <w:tcW w:w="2160" w:type="dxa"/>
            <w:vAlign w:val="bottom"/>
            <w:tcBorders>
              <w:right w:val="single" w:sz="8" w:color="9E318D"/>
            </w:tcBorders>
            <w:shd w:val="clear" w:color="auto" w:fill="874796"/>
          </w:tcPr>
          <w:p>
            <w:pPr>
              <w:spacing w:after="0" w:line="20" w:lineRule="exact"/>
              <w:rPr>
                <w:sz w:val="1"/>
                <w:szCs w:val="1"/>
                <w:color w:val="auto"/>
              </w:rPr>
            </w:pPr>
          </w:p>
        </w:tc>
        <w:tc>
          <w:tcPr>
            <w:tcW w:w="2160" w:type="dxa"/>
            <w:vAlign w:val="bottom"/>
            <w:tcBorders>
              <w:right w:val="single" w:sz="8" w:color="9E318D"/>
            </w:tcBorders>
            <w:shd w:val="clear" w:color="auto" w:fill="874796"/>
          </w:tcPr>
          <w:p>
            <w:pPr>
              <w:spacing w:after="0" w:line="20" w:lineRule="exact"/>
              <w:rPr>
                <w:sz w:val="1"/>
                <w:szCs w:val="1"/>
                <w:color w:val="auto"/>
              </w:rPr>
            </w:pPr>
          </w:p>
        </w:tc>
        <w:tc>
          <w:tcPr>
            <w:tcW w:w="2160" w:type="dxa"/>
            <w:vAlign w:val="bottom"/>
            <w:tcBorders>
              <w:right w:val="single" w:sz="8" w:color="874796"/>
            </w:tcBorders>
            <w:shd w:val="clear" w:color="auto" w:fill="8747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4108450</wp:posOffset>
            </wp:positionV>
            <wp:extent cx="297180" cy="290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3" w:name="page54"/>
    <w:bookmarkEnd w:id="53"/>
    <w:p>
      <w:pPr>
        <w:spacing w:after="0" w:line="78" w:lineRule="exact"/>
        <w:rPr>
          <w:sz w:val="20"/>
          <w:szCs w:val="20"/>
          <w:color w:val="auto"/>
        </w:rPr>
      </w:pPr>
    </w:p>
    <w:p>
      <w:pPr>
        <w:ind w:left="200" w:right="1099"/>
        <w:spacing w:after="0" w:line="241" w:lineRule="auto"/>
        <w:rPr>
          <w:sz w:val="20"/>
          <w:szCs w:val="20"/>
          <w:color w:val="auto"/>
        </w:rPr>
      </w:pPr>
      <w:r>
        <w:rPr>
          <w:rFonts w:ascii="Arial" w:cs="Arial" w:eastAsia="Arial" w:hAnsi="Arial"/>
          <w:sz w:val="27"/>
          <w:szCs w:val="27"/>
          <w:b w:val="1"/>
          <w:bCs w:val="1"/>
          <w:color w:val="874796"/>
        </w:rPr>
        <w:t>PROPOSAL 2 – ADVISORY APPROVAL OF INNOSPEC INC.’S EXECUTIVE COMPENSATION</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5"/>
          <w:szCs w:val="15"/>
          <w:color w:val="874796"/>
        </w:rPr>
        <w:t>(Item 2 on the Proxy Card)</w:t>
      </w:r>
    </w:p>
    <w:p>
      <w:pPr>
        <w:spacing w:after="0" w:line="114"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Section 14A of the Exchange Act enables our stockholders to vote to approve, on an advisory (non-binding) basis, the compensation of our Named Executive Officers (NEOs), as disclosed in this Proxy Statement including the Compensation Discussion and Analysis, the Compensation Tables and related material, in accordance with the compensation disclosure rules of the SEC. In accordance with Section 14A of the Exchange Act, we are offering to our stockholders a non-binding, advisory vote on 2025 compensation for the NEOs, including the compensation of our CEO.</w:t>
      </w:r>
    </w:p>
    <w:p>
      <w:pPr>
        <w:sectPr>
          <w:pgSz w:w="11900" w:h="16838" w:orient="portrait"/>
          <w:cols w:equalWidth="0" w:num="1">
            <w:col w:w="9019"/>
          </w:cols>
          <w:pgMar w:left="1440" w:top="1440" w:right="1440" w:bottom="1440" w:gutter="0" w:footer="0" w:header="0"/>
        </w:sectPr>
      </w:pPr>
    </w:p>
    <w:p>
      <w:pPr>
        <w:spacing w:after="0" w:line="357" w:lineRule="exact"/>
        <w:rPr>
          <w:sz w:val="20"/>
          <w:szCs w:val="20"/>
          <w:color w:val="auto"/>
        </w:rPr>
      </w:pPr>
    </w:p>
    <w:p>
      <w:pPr>
        <w:ind w:left="480"/>
        <w:spacing w:after="0" w:line="266" w:lineRule="auto"/>
        <w:rPr>
          <w:sz w:val="20"/>
          <w:szCs w:val="20"/>
          <w:color w:val="auto"/>
        </w:rPr>
      </w:pPr>
      <w:r>
        <w:rPr>
          <w:rFonts w:ascii="Arial" w:cs="Arial" w:eastAsia="Arial" w:hAnsi="Arial"/>
          <w:sz w:val="20"/>
          <w:szCs w:val="20"/>
          <w:color w:val="FFFFFF"/>
        </w:rPr>
        <w:t xml:space="preserve">The Board recommends you vote </w:t>
      </w:r>
      <w:r>
        <w:rPr>
          <w:rFonts w:ascii="Arial" w:cs="Arial" w:eastAsia="Arial" w:hAnsi="Arial"/>
          <w:sz w:val="20"/>
          <w:szCs w:val="20"/>
          <w:b w:val="1"/>
          <w:bCs w:val="1"/>
          <w:color w:val="FFFFFF"/>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-480695</wp:posOffset>
            </wp:positionV>
            <wp:extent cx="1803400" cy="2326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03400" cy="2326640"/>
                    </a:xfrm>
                    <a:prstGeom prst="rect">
                      <a:avLst/>
                    </a:prstGeom>
                    <a:noFill/>
                  </pic:spPr>
                </pic:pic>
              </a:graphicData>
            </a:graphic>
          </wp:anchor>
        </w:drawing>
      </w:r>
    </w:p>
    <w:p>
      <w:pPr>
        <w:ind w:left="480"/>
        <w:spacing w:after="0"/>
        <w:rPr>
          <w:sz w:val="20"/>
          <w:szCs w:val="20"/>
          <w:color w:val="auto"/>
        </w:rPr>
      </w:pPr>
      <w:r>
        <w:rPr>
          <w:rFonts w:ascii="Arial" w:cs="Arial" w:eastAsia="Arial" w:hAnsi="Arial"/>
          <w:sz w:val="21"/>
          <w:szCs w:val="21"/>
          <w:color w:val="FFFFFF"/>
        </w:rPr>
        <w:t>the advisory resolution</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1"/>
          <w:szCs w:val="21"/>
          <w:color w:val="FFFFFF"/>
        </w:rPr>
        <w:t>approving</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1"/>
          <w:szCs w:val="21"/>
          <w:color w:val="FFFFFF"/>
        </w:rPr>
        <w:t>Named</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21"/>
          <w:szCs w:val="21"/>
          <w:color w:val="FFFFFF"/>
        </w:rPr>
        <w:t>Executive</w:t>
      </w:r>
    </w:p>
    <w:p>
      <w:pPr>
        <w:ind w:left="480"/>
        <w:spacing w:after="0"/>
        <w:rPr>
          <w:sz w:val="20"/>
          <w:szCs w:val="20"/>
          <w:color w:val="auto"/>
        </w:rPr>
      </w:pPr>
      <w:r>
        <w:rPr>
          <w:rFonts w:ascii="Arial" w:cs="Arial" w:eastAsia="Arial" w:hAnsi="Arial"/>
          <w:sz w:val="21"/>
          <w:szCs w:val="21"/>
          <w:color w:val="FFFFFF"/>
        </w:rPr>
        <w:t>Oﬃcer Compensation.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139"/>
        <w:spacing w:after="0" w:line="252" w:lineRule="auto"/>
        <w:rPr>
          <w:sz w:val="20"/>
          <w:szCs w:val="20"/>
          <w:color w:val="auto"/>
        </w:rPr>
      </w:pPr>
      <w:r>
        <w:rPr>
          <w:rFonts w:ascii="Arial" w:cs="Arial" w:eastAsia="Arial" w:hAnsi="Arial"/>
          <w:sz w:val="15"/>
          <w:szCs w:val="15"/>
          <w:color w:val="auto"/>
        </w:rPr>
        <w:t>Innospec’s goal for its executive compensation program is to attract, motivate and retain a talented, highly qualified team of executives who will provide leadership for our success in the competitive global markets we operate in. We seek to accomplish this goal in a way that is aligned with the long-term interests of our stockholders. We believe that our executive compensation program is strongly aligned with the long-term interests of our stockholders as it is competitive with the market, includes both short and long-term awards and is performance based, providing a strong link between executive compensation and the performance of the Company.</w:t>
      </w:r>
    </w:p>
    <w:p>
      <w:pPr>
        <w:spacing w:after="0" w:line="88" w:lineRule="exact"/>
        <w:rPr>
          <w:sz w:val="20"/>
          <w:szCs w:val="20"/>
          <w:color w:val="auto"/>
        </w:rPr>
      </w:pPr>
    </w:p>
    <w:p>
      <w:pPr>
        <w:jc w:val="both"/>
        <w:ind w:right="139"/>
        <w:spacing w:after="0" w:line="278" w:lineRule="auto"/>
        <w:rPr>
          <w:sz w:val="20"/>
          <w:szCs w:val="20"/>
          <w:color w:val="auto"/>
        </w:rPr>
      </w:pPr>
      <w:r>
        <w:rPr>
          <w:rFonts w:ascii="Arial" w:cs="Arial" w:eastAsia="Arial" w:hAnsi="Arial"/>
          <w:sz w:val="14"/>
          <w:szCs w:val="14"/>
          <w:color w:val="auto"/>
        </w:rPr>
        <w:t>The Compensation Committee continually reviews the compensation programs for our NEOs to confirm that they achieve the desired goals of aligning our executive compensation structure with our stockholders’ interests and current market practices. The Compensation Discussion and Analysis beginning on page 55 of this Proxy Statement describes the Company’s executive compensation program in more detail.</w:t>
      </w:r>
    </w:p>
    <w:p>
      <w:pPr>
        <w:spacing w:after="0" w:line="200" w:lineRule="exact"/>
        <w:rPr>
          <w:sz w:val="20"/>
          <w:szCs w:val="20"/>
          <w:color w:val="auto"/>
        </w:rPr>
      </w:pPr>
    </w:p>
    <w:p>
      <w:pPr>
        <w:sectPr>
          <w:pgSz w:w="11900" w:h="16838" w:orient="portrait"/>
          <w:cols w:equalWidth="0" w:num="2">
            <w:col w:w="2700" w:space="540"/>
            <w:col w:w="577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200" w:right="139"/>
        <w:spacing w:after="0" w:line="253" w:lineRule="auto"/>
        <w:rPr>
          <w:sz w:val="20"/>
          <w:szCs w:val="20"/>
          <w:color w:val="auto"/>
        </w:rPr>
      </w:pPr>
      <w:r>
        <w:rPr>
          <w:rFonts w:ascii="Arial" w:cs="Arial" w:eastAsia="Arial" w:hAnsi="Arial"/>
          <w:sz w:val="15"/>
          <w:szCs w:val="15"/>
          <w:color w:val="auto"/>
        </w:rPr>
        <w:t>We believe that our executive compensation programs are structured in the best manner possible to support the Company and our business objectives. We are asking our stockholders to indicate their support for our NEO compensation as described in the Compensation Discussion and Analysis section and the compensation tables and related narrative disclosure.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will ask our stockholders to vote “FOR” the following resolution at the Annual General Meeting:</w:t>
      </w:r>
    </w:p>
    <w:p>
      <w:pPr>
        <w:spacing w:after="0" w:line="97" w:lineRule="exact"/>
        <w:rPr>
          <w:sz w:val="20"/>
          <w:szCs w:val="20"/>
          <w:color w:val="auto"/>
        </w:rPr>
      </w:pPr>
    </w:p>
    <w:p>
      <w:pPr>
        <w:jc w:val="both"/>
        <w:ind w:left="540" w:right="479"/>
        <w:spacing w:after="0" w:line="268" w:lineRule="auto"/>
        <w:rPr>
          <w:sz w:val="20"/>
          <w:szCs w:val="20"/>
          <w:color w:val="auto"/>
        </w:rPr>
      </w:pPr>
      <w:r>
        <w:rPr>
          <w:rFonts w:ascii="Arial" w:cs="Arial" w:eastAsia="Arial" w:hAnsi="Arial"/>
          <w:sz w:val="15"/>
          <w:szCs w:val="15"/>
          <w:b w:val="1"/>
          <w:bCs w:val="1"/>
          <w:color w:val="auto"/>
        </w:rPr>
        <w:t>“RESOLVED, that the compensation paid to the Company’s Named Executive Officers, as disclosed pursuant to the compensation disclosure rules of the SEC, including the Compensation Discussion and Analysis, compensation tables and related material disclosed in this Proxy Statement is hereby APPROVED.”</w:t>
      </w:r>
    </w:p>
    <w:p>
      <w:pPr>
        <w:spacing w:after="0" w:line="79"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As an advisory vote, this proposal is not binding upon the Company. However, the Board will consider that the stockholders have approved executive compensation on an advisory basis if this proposal receives the affirmative vote of a majority of the votes present or represented by proxy. The Compensation Committee values the opinions that stockholders express through their votes and will consider the outcome of the vote when making future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1950085</wp:posOffset>
            </wp:positionV>
            <wp:extent cx="297180" cy="290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4" w:name="page55"/>
    <w:bookmarkEnd w:id="54"/>
    <w:p>
      <w:pPr>
        <w:spacing w:after="0" w:line="78" w:lineRule="exact"/>
        <w:rPr>
          <w:sz w:val="20"/>
          <w:szCs w:val="20"/>
          <w:color w:val="auto"/>
        </w:rPr>
      </w:pPr>
    </w:p>
    <w:p>
      <w:pPr>
        <w:ind w:left="200" w:right="459"/>
        <w:spacing w:after="0" w:line="238" w:lineRule="auto"/>
        <w:rPr>
          <w:sz w:val="20"/>
          <w:szCs w:val="20"/>
          <w:color w:val="auto"/>
        </w:rPr>
      </w:pPr>
      <w:r>
        <w:rPr>
          <w:rFonts w:ascii="Arial" w:cs="Arial" w:eastAsia="Arial" w:hAnsi="Arial"/>
          <w:sz w:val="27"/>
          <w:szCs w:val="27"/>
          <w:b w:val="1"/>
          <w:bCs w:val="1"/>
          <w:color w:val="874796"/>
        </w:rPr>
        <w:t>PROPOSAL 3 – RATIFICATION OF THE APPOINTMENT OF THE COMPANY’S INDEPENDENT REGISTERED PUBLIC ACCOUNTING FIRM</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5"/>
          <w:szCs w:val="15"/>
          <w:color w:val="874796"/>
        </w:rPr>
        <w:t>(Item 3 on the Proxy Card)</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Board is seeking ratification of the appointment of PwC at the Annual Meeting in respect of the 2026 fiscal year.</w:t>
      </w:r>
    </w:p>
    <w:p>
      <w:pPr>
        <w:spacing w:after="0" w:line="117"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The Audit Committee has appointed the accounting firm PwC to serve as the Company’s independent registered public accounting firm with respect to the 2026 fiscal year, to audit the consolidated financial statements of the Company for the fiscal year ending December 31, 2026 and to perform other appropriate audit related services. PwC has served as the Company’s independent registered public accounting firm since May 24, 2019.</w:t>
      </w:r>
    </w:p>
    <w:p>
      <w:pPr>
        <w:sectPr>
          <w:pgSz w:w="11900" w:h="16838" w:orient="portrait"/>
          <w:cols w:equalWidth="0" w:num="1">
            <w:col w:w="9019"/>
          </w:cols>
          <w:pgMar w:left="1440" w:top="1440" w:right="1440" w:bottom="1440" w:gutter="0" w:footer="0" w:header="0"/>
        </w:sectPr>
      </w:pPr>
    </w:p>
    <w:p>
      <w:pPr>
        <w:spacing w:after="0" w:line="94" w:lineRule="exact"/>
        <w:rPr>
          <w:sz w:val="20"/>
          <w:szCs w:val="20"/>
          <w:color w:val="auto"/>
        </w:rPr>
      </w:pPr>
    </w:p>
    <w:p>
      <w:pPr>
        <w:jc w:val="both"/>
        <w:ind w:left="200"/>
        <w:spacing w:after="0" w:line="256" w:lineRule="auto"/>
        <w:rPr>
          <w:sz w:val="20"/>
          <w:szCs w:val="20"/>
          <w:color w:val="auto"/>
        </w:rPr>
      </w:pPr>
      <w:r>
        <w:rPr>
          <w:rFonts w:ascii="Arial" w:cs="Arial" w:eastAsia="Arial" w:hAnsi="Arial"/>
          <w:sz w:val="15"/>
          <w:szCs w:val="15"/>
          <w:color w:val="auto"/>
        </w:rPr>
        <w:t>Although current law, rules and regulations, as well as the charter of the Audit Committee, require the Audit Committee to engage, retain and supervise the Company’s independent registered public accounting firm, the Board considers the selection of such firm to be an important matter of stockholder concern and is submitting the selection of PwC for ratification by stockholders as a matter of good corporate practice.</w:t>
      </w:r>
    </w:p>
    <w:p>
      <w:pPr>
        <w:spacing w:after="0" w:line="93" w:lineRule="exact"/>
        <w:rPr>
          <w:sz w:val="20"/>
          <w:szCs w:val="20"/>
          <w:color w:val="auto"/>
        </w:rPr>
      </w:pPr>
    </w:p>
    <w:p>
      <w:pPr>
        <w:jc w:val="both"/>
        <w:ind w:left="200"/>
        <w:spacing w:after="0" w:line="256" w:lineRule="auto"/>
        <w:rPr>
          <w:sz w:val="20"/>
          <w:szCs w:val="20"/>
          <w:color w:val="auto"/>
        </w:rPr>
      </w:pPr>
      <w:r>
        <w:rPr>
          <w:rFonts w:ascii="Arial" w:cs="Arial" w:eastAsia="Arial" w:hAnsi="Arial"/>
          <w:sz w:val="15"/>
          <w:szCs w:val="15"/>
          <w:color w:val="auto"/>
        </w:rPr>
        <w:t>If our stockholders fail to ratify the selection, it will be considered a recommendation to the Board and the Audit Committee to consider the selection of a different firm. Even if the selection is ratified, the Audit Committee may, in its discretion, select a different independent registered public accounting firm at any time during the year if it determines that such a change would be in the best interests of the Company and our stockholders.</w:t>
      </w:r>
    </w:p>
    <w:p>
      <w:pPr>
        <w:spacing w:after="0" w:line="82" w:lineRule="exact"/>
        <w:rPr>
          <w:sz w:val="20"/>
          <w:szCs w:val="20"/>
          <w:color w:val="auto"/>
        </w:rPr>
      </w:pPr>
    </w:p>
    <w:p>
      <w:pPr>
        <w:jc w:val="both"/>
        <w:ind w:left="200"/>
        <w:spacing w:after="0" w:line="264" w:lineRule="auto"/>
        <w:rPr>
          <w:sz w:val="20"/>
          <w:szCs w:val="20"/>
          <w:color w:val="auto"/>
        </w:rPr>
      </w:pPr>
      <w:r>
        <w:rPr>
          <w:rFonts w:ascii="Arial" w:cs="Arial" w:eastAsia="Arial" w:hAnsi="Arial"/>
          <w:sz w:val="15"/>
          <w:szCs w:val="15"/>
          <w:color w:val="auto"/>
        </w:rPr>
        <w:t>A representative of PwC will be available by telephone at the Annual Meeting. The available representative will have the opportunity to respond to questions and to make a statement if such representative desires to do so.</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color w:val="FFFFFF"/>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-310515</wp:posOffset>
            </wp:positionV>
            <wp:extent cx="1640840" cy="2326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40840" cy="23266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FFFFFF"/>
        </w:rPr>
        <w:t>recommends you vote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 xml:space="preserve">“FOR” </w:t>
      </w:r>
      <w:r>
        <w:rPr>
          <w:rFonts w:ascii="Arial" w:cs="Arial" w:eastAsia="Arial" w:hAnsi="Arial"/>
          <w:sz w:val="21"/>
          <w:szCs w:val="21"/>
          <w:color w:val="FFFFFF"/>
        </w:rPr>
        <w:t>the ratification</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FFFFFF"/>
        </w:rPr>
        <w:t>of PwC as our</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FFFFFF"/>
        </w:rPr>
        <w:t>independent</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FFFFFF"/>
        </w:rPr>
        <w:t>accounting firm for</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FFFFFF"/>
        </w:rPr>
        <w:t>2026.</w:t>
      </w:r>
    </w:p>
    <w:p>
      <w:pPr>
        <w:spacing w:after="0" w:line="790" w:lineRule="exact"/>
        <w:rPr>
          <w:sz w:val="20"/>
          <w:szCs w:val="20"/>
          <w:color w:val="auto"/>
        </w:rPr>
      </w:pPr>
    </w:p>
    <w:p>
      <w:pPr>
        <w:sectPr>
          <w:pgSz w:w="11900" w:h="16838" w:orient="portrait"/>
          <w:cols w:equalWidth="0" w:num="2">
            <w:col w:w="6100" w:space="460"/>
            <w:col w:w="245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Principal Accountant Fees and Services</w:t>
      </w:r>
    </w:p>
    <w:p>
      <w:pPr>
        <w:spacing w:after="0" w:line="195" w:lineRule="exact"/>
        <w:rPr>
          <w:sz w:val="20"/>
          <w:szCs w:val="20"/>
          <w:color w:val="auto"/>
        </w:rPr>
      </w:pPr>
    </w:p>
    <w:p>
      <w:pPr>
        <w:ind w:left="200" w:right="139"/>
        <w:spacing w:after="0" w:line="281" w:lineRule="auto"/>
        <w:rPr>
          <w:sz w:val="20"/>
          <w:szCs w:val="20"/>
          <w:color w:val="auto"/>
        </w:rPr>
      </w:pPr>
      <w:r>
        <w:rPr>
          <w:rFonts w:ascii="Arial" w:cs="Arial" w:eastAsia="Arial" w:hAnsi="Arial"/>
          <w:sz w:val="15"/>
          <w:szCs w:val="15"/>
          <w:color w:val="auto"/>
        </w:rPr>
        <w:t>Aggregate fees for professional services rendered to the Company by PwC and other global PwC member firms for the fiscal years 2025 and 2024 were:</w:t>
      </w:r>
    </w:p>
    <w:p>
      <w:pPr>
        <w:spacing w:after="0" w:line="59" w:lineRule="exact"/>
        <w:rPr>
          <w:sz w:val="20"/>
          <w:szCs w:val="20"/>
          <w:color w:val="auto"/>
        </w:rPr>
      </w:pPr>
    </w:p>
    <w:tbl>
      <w:tblPr>
        <w:tblLayout w:type="fixed"/>
        <w:tblInd w:w="210" w:type="dxa"/>
        <w:tblCellMar>
          <w:top w:w="0" w:type="dxa"/>
          <w:left w:w="0" w:type="dxa"/>
          <w:bottom w:w="0" w:type="dxa"/>
          <w:right w:w="0" w:type="dxa"/>
        </w:tblCellMar>
      </w:tblPr>
      <w:tr>
        <w:trPr>
          <w:trHeight w:val="210"/>
        </w:trPr>
        <w:tc>
          <w:tcPr>
            <w:tcW w:w="2180" w:type="dxa"/>
            <w:vAlign w:val="bottom"/>
            <w:tcBorders>
              <w:top w:val="single" w:sz="8" w:color="auto"/>
              <w:left w:val="single" w:sz="8" w:color="auto"/>
              <w:right w:val="single" w:sz="8" w:color="874796"/>
            </w:tcBorders>
            <w:shd w:val="clear" w:color="auto" w:fill="874796"/>
          </w:tcPr>
          <w:p>
            <w:pPr>
              <w:ind w:left="60"/>
              <w:spacing w:after="0"/>
              <w:rPr>
                <w:sz w:val="20"/>
                <w:szCs w:val="20"/>
                <w:color w:val="auto"/>
              </w:rPr>
            </w:pPr>
            <w:r>
              <w:rPr>
                <w:rFonts w:ascii="Arial" w:cs="Arial" w:eastAsia="Arial" w:hAnsi="Arial"/>
                <w:sz w:val="13"/>
                <w:szCs w:val="13"/>
                <w:b w:val="1"/>
                <w:bCs w:val="1"/>
                <w:color w:val="FFFFFF"/>
              </w:rPr>
              <w:t>Fee Type</w:t>
            </w:r>
          </w:p>
        </w:tc>
        <w:tc>
          <w:tcPr>
            <w:tcW w:w="2140" w:type="dxa"/>
            <w:vAlign w:val="bottom"/>
            <w:tcBorders>
              <w:top w:val="single" w:sz="8" w:color="auto"/>
              <w:right w:val="single" w:sz="8" w:color="auto"/>
            </w:tcBorders>
            <w:shd w:val="clear" w:color="auto" w:fill="874796"/>
          </w:tcPr>
          <w:p>
            <w:pPr>
              <w:spacing w:after="0"/>
              <w:rPr>
                <w:sz w:val="18"/>
                <w:szCs w:val="18"/>
                <w:color w:val="auto"/>
              </w:rPr>
            </w:pPr>
          </w:p>
        </w:tc>
        <w:tc>
          <w:tcPr>
            <w:tcW w:w="2140" w:type="dxa"/>
            <w:vAlign w:val="bottom"/>
            <w:tcBorders>
              <w:top w:val="single" w:sz="8" w:color="auto"/>
              <w:right w:val="single" w:sz="8" w:color="auto"/>
            </w:tcBorders>
            <w:shd w:val="clear" w:color="auto" w:fill="874796"/>
          </w:tcPr>
          <w:p>
            <w:pPr>
              <w:ind w:left="700"/>
              <w:spacing w:after="0"/>
              <w:rPr>
                <w:sz w:val="20"/>
                <w:szCs w:val="20"/>
                <w:color w:val="auto"/>
              </w:rPr>
            </w:pPr>
            <w:r>
              <w:rPr>
                <w:rFonts w:ascii="Arial" w:cs="Arial" w:eastAsia="Arial" w:hAnsi="Arial"/>
                <w:sz w:val="13"/>
                <w:szCs w:val="13"/>
                <w:b w:val="1"/>
                <w:bCs w:val="1"/>
                <w:color w:val="FFFFFF"/>
              </w:rPr>
              <w:t>Fiscal 2025</w:t>
            </w:r>
          </w:p>
        </w:tc>
        <w:tc>
          <w:tcPr>
            <w:tcW w:w="2220" w:type="dxa"/>
            <w:vAlign w:val="bottom"/>
            <w:tcBorders>
              <w:top w:val="single" w:sz="8" w:color="auto"/>
              <w:right w:val="single" w:sz="8" w:color="auto"/>
            </w:tcBorders>
            <w:shd w:val="clear" w:color="auto" w:fill="874796"/>
          </w:tcPr>
          <w:p>
            <w:pPr>
              <w:ind w:left="740"/>
              <w:spacing w:after="0"/>
              <w:rPr>
                <w:sz w:val="20"/>
                <w:szCs w:val="20"/>
                <w:color w:val="auto"/>
              </w:rPr>
            </w:pPr>
            <w:r>
              <w:rPr>
                <w:rFonts w:ascii="Arial" w:cs="Arial" w:eastAsia="Arial" w:hAnsi="Arial"/>
                <w:sz w:val="13"/>
                <w:szCs w:val="13"/>
                <w:b w:val="1"/>
                <w:bCs w:val="1"/>
                <w:color w:val="FFFFFF"/>
              </w:rPr>
              <w:t>Fiscal 2024</w:t>
            </w:r>
          </w:p>
        </w:tc>
      </w:tr>
      <w:tr>
        <w:trPr>
          <w:trHeight w:val="193"/>
        </w:trPr>
        <w:tc>
          <w:tcPr>
            <w:tcW w:w="2180" w:type="dxa"/>
            <w:vAlign w:val="bottom"/>
            <w:tcBorders>
              <w:left w:val="single" w:sz="8" w:color="auto"/>
              <w:bottom w:val="single" w:sz="8" w:color="auto"/>
              <w:right w:val="single" w:sz="8" w:color="874796"/>
            </w:tcBorders>
            <w:shd w:val="clear" w:color="auto" w:fill="874796"/>
          </w:tcPr>
          <w:p>
            <w:pPr>
              <w:spacing w:after="0"/>
              <w:rPr>
                <w:sz w:val="16"/>
                <w:szCs w:val="16"/>
                <w:color w:val="auto"/>
              </w:rPr>
            </w:pPr>
          </w:p>
        </w:tc>
        <w:tc>
          <w:tcPr>
            <w:tcW w:w="2140" w:type="dxa"/>
            <w:vAlign w:val="bottom"/>
            <w:tcBorders>
              <w:bottom w:val="single" w:sz="8" w:color="auto"/>
              <w:right w:val="single" w:sz="8" w:color="auto"/>
            </w:tcBorders>
            <w:shd w:val="clear" w:color="auto" w:fill="874796"/>
          </w:tcPr>
          <w:p>
            <w:pPr>
              <w:spacing w:after="0"/>
              <w:rPr>
                <w:sz w:val="16"/>
                <w:szCs w:val="16"/>
                <w:color w:val="auto"/>
              </w:rPr>
            </w:pPr>
          </w:p>
        </w:tc>
        <w:tc>
          <w:tcPr>
            <w:tcW w:w="2140" w:type="dxa"/>
            <w:vAlign w:val="bottom"/>
            <w:tcBorders>
              <w:bottom w:val="single" w:sz="8" w:color="auto"/>
              <w:right w:val="single" w:sz="8" w:color="auto"/>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$’000</w:t>
            </w:r>
          </w:p>
        </w:tc>
        <w:tc>
          <w:tcPr>
            <w:tcW w:w="2220" w:type="dxa"/>
            <w:vAlign w:val="bottom"/>
            <w:tcBorders>
              <w:bottom w:val="single" w:sz="8" w:color="auto"/>
              <w:right w:val="single" w:sz="8" w:color="auto"/>
            </w:tcBorders>
            <w:shd w:val="clear" w:color="auto" w:fill="874796"/>
          </w:tcPr>
          <w:p>
            <w:pPr>
              <w:jc w:val="center"/>
              <w:spacing w:after="0"/>
              <w:rPr>
                <w:sz w:val="20"/>
                <w:szCs w:val="20"/>
                <w:color w:val="auto"/>
              </w:rPr>
            </w:pPr>
            <w:r>
              <w:rPr>
                <w:rFonts w:ascii="Arial" w:cs="Arial" w:eastAsia="Arial" w:hAnsi="Arial"/>
                <w:sz w:val="13"/>
                <w:szCs w:val="13"/>
                <w:b w:val="1"/>
                <w:bCs w:val="1"/>
                <w:color w:val="FFFFFF"/>
              </w:rPr>
              <w:t>$’000</w:t>
            </w:r>
          </w:p>
        </w:tc>
      </w:tr>
      <w:tr>
        <w:trPr>
          <w:trHeight w:val="214"/>
        </w:trPr>
        <w:tc>
          <w:tcPr>
            <w:tcW w:w="2180" w:type="dxa"/>
            <w:vAlign w:val="bottom"/>
            <w:tcBorders>
              <w:left w:val="single" w:sz="8" w:color="auto"/>
              <w:bottom w:val="single" w:sz="8" w:color="auto"/>
              <w:right w:val="single" w:sz="8" w:color="auto"/>
            </w:tcBorders>
            <w:shd w:val="clear" w:color="auto" w:fill="874796"/>
          </w:tcPr>
          <w:p>
            <w:pPr>
              <w:ind w:left="60"/>
              <w:spacing w:after="0"/>
              <w:rPr>
                <w:sz w:val="20"/>
                <w:szCs w:val="20"/>
                <w:color w:val="auto"/>
              </w:rPr>
            </w:pPr>
            <w:r>
              <w:rPr>
                <w:rFonts w:ascii="Arial" w:cs="Arial" w:eastAsia="Arial" w:hAnsi="Arial"/>
                <w:sz w:val="13"/>
                <w:szCs w:val="13"/>
                <w:b w:val="1"/>
                <w:bCs w:val="1"/>
                <w:color w:val="FFFFFF"/>
              </w:rPr>
              <w:t>Audit</w:t>
            </w:r>
          </w:p>
        </w:tc>
        <w:tc>
          <w:tcPr>
            <w:tcW w:w="2140" w:type="dxa"/>
            <w:vAlign w:val="bottom"/>
            <w:tcBorders>
              <w:bottom w:val="single" w:sz="8" w:color="auto"/>
              <w:right w:val="single" w:sz="8" w:color="auto"/>
            </w:tcBorders>
            <w:shd w:val="clear" w:color="auto" w:fill="DBC7DF"/>
          </w:tcPr>
          <w:p>
            <w:pPr>
              <w:ind w:left="40"/>
              <w:spacing w:after="0"/>
              <w:rPr>
                <w:sz w:val="20"/>
                <w:szCs w:val="20"/>
                <w:color w:val="auto"/>
              </w:rPr>
            </w:pPr>
            <w:r>
              <w:rPr>
                <w:rFonts w:ascii="Arial" w:cs="Arial" w:eastAsia="Arial" w:hAnsi="Arial"/>
                <w:sz w:val="13"/>
                <w:szCs w:val="13"/>
                <w:color w:val="auto"/>
              </w:rPr>
              <w:t>PwC</w:t>
            </w:r>
          </w:p>
        </w:tc>
        <w:tc>
          <w:tcPr>
            <w:tcW w:w="214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color w:val="auto"/>
              </w:rPr>
              <w:t>3.050</w:t>
            </w:r>
          </w:p>
        </w:tc>
        <w:tc>
          <w:tcPr>
            <w:tcW w:w="222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color w:val="auto"/>
              </w:rPr>
              <w:t>3,225</w:t>
            </w:r>
          </w:p>
        </w:tc>
      </w:tr>
      <w:tr>
        <w:trPr>
          <w:trHeight w:val="222"/>
        </w:trPr>
        <w:tc>
          <w:tcPr>
            <w:tcW w:w="2180" w:type="dxa"/>
            <w:vAlign w:val="bottom"/>
            <w:tcBorders>
              <w:left w:val="single" w:sz="8" w:color="auto"/>
              <w:bottom w:val="single" w:sz="8" w:color="auto"/>
              <w:right w:val="single" w:sz="8" w:color="auto"/>
            </w:tcBorders>
            <w:shd w:val="clear" w:color="auto" w:fill="874796"/>
          </w:tcPr>
          <w:p>
            <w:pPr>
              <w:spacing w:after="0"/>
              <w:rPr>
                <w:sz w:val="19"/>
                <w:szCs w:val="19"/>
                <w:color w:val="auto"/>
              </w:rPr>
            </w:pPr>
          </w:p>
        </w:tc>
        <w:tc>
          <w:tcPr>
            <w:tcW w:w="2140" w:type="dxa"/>
            <w:vAlign w:val="bottom"/>
            <w:tcBorders>
              <w:bottom w:val="single" w:sz="8" w:color="auto"/>
              <w:right w:val="single" w:sz="8" w:color="auto"/>
            </w:tcBorders>
            <w:shd w:val="clear" w:color="auto" w:fill="ECF3F8"/>
          </w:tcPr>
          <w:p>
            <w:pPr>
              <w:spacing w:after="0"/>
              <w:rPr>
                <w:sz w:val="19"/>
                <w:szCs w:val="19"/>
                <w:color w:val="auto"/>
              </w:rPr>
            </w:pPr>
          </w:p>
        </w:tc>
        <w:tc>
          <w:tcPr>
            <w:tcW w:w="2140" w:type="dxa"/>
            <w:vAlign w:val="bottom"/>
            <w:tcBorders>
              <w:bottom w:val="single" w:sz="8" w:color="auto"/>
              <w:right w:val="single" w:sz="8" w:color="auto"/>
            </w:tcBorders>
            <w:shd w:val="clear" w:color="auto" w:fill="ECF3F8"/>
          </w:tcPr>
          <w:p>
            <w:pPr>
              <w:spacing w:after="0"/>
              <w:rPr>
                <w:sz w:val="19"/>
                <w:szCs w:val="19"/>
                <w:color w:val="auto"/>
              </w:rPr>
            </w:pPr>
          </w:p>
        </w:tc>
        <w:tc>
          <w:tcPr>
            <w:tcW w:w="2220" w:type="dxa"/>
            <w:vAlign w:val="bottom"/>
            <w:tcBorders>
              <w:bottom w:val="single" w:sz="8" w:color="auto"/>
              <w:right w:val="single" w:sz="8" w:color="auto"/>
            </w:tcBorders>
            <w:shd w:val="clear" w:color="auto" w:fill="ECF3F8"/>
          </w:tcPr>
          <w:p>
            <w:pPr>
              <w:spacing w:after="0"/>
              <w:rPr>
                <w:sz w:val="19"/>
                <w:szCs w:val="19"/>
                <w:color w:val="auto"/>
              </w:rPr>
            </w:pPr>
          </w:p>
        </w:tc>
      </w:tr>
      <w:tr>
        <w:trPr>
          <w:trHeight w:val="205"/>
        </w:trPr>
        <w:tc>
          <w:tcPr>
            <w:tcW w:w="2180" w:type="dxa"/>
            <w:vAlign w:val="bottom"/>
            <w:tcBorders>
              <w:left w:val="single" w:sz="8" w:color="auto"/>
              <w:bottom w:val="single" w:sz="8" w:color="auto"/>
              <w:right w:val="single" w:sz="8" w:color="auto"/>
            </w:tcBorders>
            <w:shd w:val="clear" w:color="auto" w:fill="874796"/>
          </w:tcPr>
          <w:p>
            <w:pPr>
              <w:ind w:left="60"/>
              <w:spacing w:after="0"/>
              <w:rPr>
                <w:sz w:val="20"/>
                <w:szCs w:val="20"/>
                <w:color w:val="auto"/>
              </w:rPr>
            </w:pPr>
            <w:r>
              <w:rPr>
                <w:rFonts w:ascii="Arial" w:cs="Arial" w:eastAsia="Arial" w:hAnsi="Arial"/>
                <w:sz w:val="13"/>
                <w:szCs w:val="13"/>
                <w:b w:val="1"/>
                <w:bCs w:val="1"/>
                <w:color w:val="FFFFFF"/>
              </w:rPr>
              <w:t>Audit Related</w:t>
            </w:r>
          </w:p>
        </w:tc>
        <w:tc>
          <w:tcPr>
            <w:tcW w:w="2140" w:type="dxa"/>
            <w:vAlign w:val="bottom"/>
            <w:tcBorders>
              <w:bottom w:val="single" w:sz="8" w:color="auto"/>
              <w:right w:val="single" w:sz="8" w:color="auto"/>
            </w:tcBorders>
            <w:shd w:val="clear" w:color="auto" w:fill="DBC7DF"/>
          </w:tcPr>
          <w:p>
            <w:pPr>
              <w:ind w:left="40"/>
              <w:spacing w:after="0"/>
              <w:rPr>
                <w:sz w:val="20"/>
                <w:szCs w:val="20"/>
                <w:color w:val="auto"/>
              </w:rPr>
            </w:pPr>
            <w:r>
              <w:rPr>
                <w:rFonts w:ascii="Arial" w:cs="Arial" w:eastAsia="Arial" w:hAnsi="Arial"/>
                <w:sz w:val="13"/>
                <w:szCs w:val="13"/>
                <w:color w:val="auto"/>
              </w:rPr>
              <w:t>PwC</w:t>
            </w:r>
          </w:p>
        </w:tc>
        <w:tc>
          <w:tcPr>
            <w:tcW w:w="214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color w:val="auto"/>
              </w:rPr>
              <w:t>—</w:t>
            </w:r>
          </w:p>
        </w:tc>
      </w:tr>
      <w:tr>
        <w:trPr>
          <w:trHeight w:val="222"/>
        </w:trPr>
        <w:tc>
          <w:tcPr>
            <w:tcW w:w="2180" w:type="dxa"/>
            <w:vAlign w:val="bottom"/>
            <w:tcBorders>
              <w:left w:val="single" w:sz="8" w:color="auto"/>
              <w:bottom w:val="single" w:sz="8" w:color="auto"/>
              <w:right w:val="single" w:sz="8" w:color="auto"/>
            </w:tcBorders>
            <w:shd w:val="clear" w:color="auto" w:fill="874796"/>
          </w:tcPr>
          <w:p>
            <w:pPr>
              <w:spacing w:after="0"/>
              <w:rPr>
                <w:sz w:val="19"/>
                <w:szCs w:val="19"/>
                <w:color w:val="auto"/>
              </w:rPr>
            </w:pPr>
          </w:p>
        </w:tc>
        <w:tc>
          <w:tcPr>
            <w:tcW w:w="2140" w:type="dxa"/>
            <w:vAlign w:val="bottom"/>
            <w:tcBorders>
              <w:bottom w:val="single" w:sz="8" w:color="auto"/>
              <w:right w:val="single" w:sz="8" w:color="auto"/>
            </w:tcBorders>
            <w:shd w:val="clear" w:color="auto" w:fill="ECF3F8"/>
          </w:tcPr>
          <w:p>
            <w:pPr>
              <w:spacing w:after="0"/>
              <w:rPr>
                <w:sz w:val="19"/>
                <w:szCs w:val="19"/>
                <w:color w:val="auto"/>
              </w:rPr>
            </w:pPr>
          </w:p>
        </w:tc>
        <w:tc>
          <w:tcPr>
            <w:tcW w:w="2140" w:type="dxa"/>
            <w:vAlign w:val="bottom"/>
            <w:tcBorders>
              <w:bottom w:val="single" w:sz="8" w:color="auto"/>
              <w:right w:val="single" w:sz="8" w:color="auto"/>
            </w:tcBorders>
            <w:shd w:val="clear" w:color="auto" w:fill="ECF3F8"/>
          </w:tcPr>
          <w:p>
            <w:pPr>
              <w:spacing w:after="0"/>
              <w:rPr>
                <w:sz w:val="19"/>
                <w:szCs w:val="19"/>
                <w:color w:val="auto"/>
              </w:rPr>
            </w:pPr>
          </w:p>
        </w:tc>
        <w:tc>
          <w:tcPr>
            <w:tcW w:w="2220" w:type="dxa"/>
            <w:vAlign w:val="bottom"/>
            <w:tcBorders>
              <w:bottom w:val="single" w:sz="8" w:color="auto"/>
              <w:right w:val="single" w:sz="8" w:color="auto"/>
            </w:tcBorders>
            <w:shd w:val="clear" w:color="auto" w:fill="ECF3F8"/>
          </w:tcPr>
          <w:p>
            <w:pPr>
              <w:spacing w:after="0"/>
              <w:rPr>
                <w:sz w:val="19"/>
                <w:szCs w:val="19"/>
                <w:color w:val="auto"/>
              </w:rPr>
            </w:pPr>
          </w:p>
        </w:tc>
      </w:tr>
      <w:tr>
        <w:trPr>
          <w:trHeight w:val="205"/>
        </w:trPr>
        <w:tc>
          <w:tcPr>
            <w:tcW w:w="2180" w:type="dxa"/>
            <w:vAlign w:val="bottom"/>
            <w:tcBorders>
              <w:left w:val="single" w:sz="8" w:color="auto"/>
              <w:bottom w:val="single" w:sz="8" w:color="auto"/>
              <w:right w:val="single" w:sz="8" w:color="auto"/>
            </w:tcBorders>
            <w:shd w:val="clear" w:color="auto" w:fill="874796"/>
          </w:tcPr>
          <w:p>
            <w:pPr>
              <w:ind w:left="60"/>
              <w:spacing w:after="0"/>
              <w:rPr>
                <w:sz w:val="20"/>
                <w:szCs w:val="20"/>
                <w:color w:val="auto"/>
              </w:rPr>
            </w:pPr>
            <w:r>
              <w:rPr>
                <w:rFonts w:ascii="Arial" w:cs="Arial" w:eastAsia="Arial" w:hAnsi="Arial"/>
                <w:sz w:val="13"/>
                <w:szCs w:val="13"/>
                <w:b w:val="1"/>
                <w:bCs w:val="1"/>
                <w:color w:val="FFFFFF"/>
              </w:rPr>
              <w:t>Tax</w:t>
            </w:r>
          </w:p>
        </w:tc>
        <w:tc>
          <w:tcPr>
            <w:tcW w:w="2140" w:type="dxa"/>
            <w:vAlign w:val="bottom"/>
            <w:tcBorders>
              <w:bottom w:val="single" w:sz="8" w:color="auto"/>
              <w:right w:val="single" w:sz="8" w:color="auto"/>
            </w:tcBorders>
            <w:shd w:val="clear" w:color="auto" w:fill="DBC7DF"/>
          </w:tcPr>
          <w:p>
            <w:pPr>
              <w:ind w:left="40"/>
              <w:spacing w:after="0"/>
              <w:rPr>
                <w:sz w:val="20"/>
                <w:szCs w:val="20"/>
                <w:color w:val="auto"/>
              </w:rPr>
            </w:pPr>
            <w:r>
              <w:rPr>
                <w:rFonts w:ascii="Arial" w:cs="Arial" w:eastAsia="Arial" w:hAnsi="Arial"/>
                <w:sz w:val="13"/>
                <w:szCs w:val="13"/>
                <w:color w:val="auto"/>
              </w:rPr>
              <w:t>PwC</w:t>
            </w:r>
          </w:p>
        </w:tc>
        <w:tc>
          <w:tcPr>
            <w:tcW w:w="214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color w:val="auto"/>
              </w:rPr>
              <w:t>—</w:t>
            </w:r>
          </w:p>
        </w:tc>
        <w:tc>
          <w:tcPr>
            <w:tcW w:w="222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color w:val="auto"/>
              </w:rPr>
              <w:t>—</w:t>
            </w:r>
          </w:p>
        </w:tc>
      </w:tr>
      <w:tr>
        <w:trPr>
          <w:trHeight w:val="222"/>
        </w:trPr>
        <w:tc>
          <w:tcPr>
            <w:tcW w:w="2180" w:type="dxa"/>
            <w:vAlign w:val="bottom"/>
            <w:tcBorders>
              <w:left w:val="single" w:sz="8" w:color="auto"/>
              <w:bottom w:val="single" w:sz="8" w:color="auto"/>
              <w:right w:val="single" w:sz="8" w:color="auto"/>
            </w:tcBorders>
            <w:shd w:val="clear" w:color="auto" w:fill="874796"/>
          </w:tcPr>
          <w:p>
            <w:pPr>
              <w:spacing w:after="0"/>
              <w:rPr>
                <w:sz w:val="19"/>
                <w:szCs w:val="19"/>
                <w:color w:val="auto"/>
              </w:rPr>
            </w:pPr>
          </w:p>
        </w:tc>
        <w:tc>
          <w:tcPr>
            <w:tcW w:w="2140" w:type="dxa"/>
            <w:vAlign w:val="bottom"/>
            <w:tcBorders>
              <w:bottom w:val="single" w:sz="8" w:color="auto"/>
              <w:right w:val="single" w:sz="8" w:color="auto"/>
            </w:tcBorders>
            <w:shd w:val="clear" w:color="auto" w:fill="ECF3F8"/>
          </w:tcPr>
          <w:p>
            <w:pPr>
              <w:spacing w:after="0"/>
              <w:rPr>
                <w:sz w:val="19"/>
                <w:szCs w:val="19"/>
                <w:color w:val="auto"/>
              </w:rPr>
            </w:pPr>
          </w:p>
        </w:tc>
        <w:tc>
          <w:tcPr>
            <w:tcW w:w="2140" w:type="dxa"/>
            <w:vAlign w:val="bottom"/>
            <w:tcBorders>
              <w:bottom w:val="single" w:sz="8" w:color="auto"/>
              <w:right w:val="single" w:sz="8" w:color="auto"/>
            </w:tcBorders>
            <w:shd w:val="clear" w:color="auto" w:fill="ECF3F8"/>
          </w:tcPr>
          <w:p>
            <w:pPr>
              <w:spacing w:after="0"/>
              <w:rPr>
                <w:sz w:val="19"/>
                <w:szCs w:val="19"/>
                <w:color w:val="auto"/>
              </w:rPr>
            </w:pPr>
          </w:p>
        </w:tc>
        <w:tc>
          <w:tcPr>
            <w:tcW w:w="2220" w:type="dxa"/>
            <w:vAlign w:val="bottom"/>
            <w:tcBorders>
              <w:bottom w:val="single" w:sz="8" w:color="auto"/>
              <w:right w:val="single" w:sz="8" w:color="auto"/>
            </w:tcBorders>
            <w:shd w:val="clear" w:color="auto" w:fill="ECF3F8"/>
          </w:tcPr>
          <w:p>
            <w:pPr>
              <w:spacing w:after="0"/>
              <w:rPr>
                <w:sz w:val="19"/>
                <w:szCs w:val="19"/>
                <w:color w:val="auto"/>
              </w:rPr>
            </w:pPr>
          </w:p>
        </w:tc>
      </w:tr>
      <w:tr>
        <w:trPr>
          <w:trHeight w:val="205"/>
        </w:trPr>
        <w:tc>
          <w:tcPr>
            <w:tcW w:w="2180" w:type="dxa"/>
            <w:vAlign w:val="bottom"/>
            <w:tcBorders>
              <w:left w:val="single" w:sz="8" w:color="auto"/>
              <w:bottom w:val="single" w:sz="8" w:color="auto"/>
              <w:right w:val="single" w:sz="8" w:color="auto"/>
            </w:tcBorders>
            <w:shd w:val="clear" w:color="auto" w:fill="874796"/>
          </w:tcPr>
          <w:p>
            <w:pPr>
              <w:ind w:left="60"/>
              <w:spacing w:after="0"/>
              <w:rPr>
                <w:sz w:val="20"/>
                <w:szCs w:val="20"/>
                <w:color w:val="auto"/>
              </w:rPr>
            </w:pPr>
            <w:r>
              <w:rPr>
                <w:rFonts w:ascii="Arial" w:cs="Arial" w:eastAsia="Arial" w:hAnsi="Arial"/>
                <w:sz w:val="13"/>
                <w:szCs w:val="13"/>
                <w:b w:val="1"/>
                <w:bCs w:val="1"/>
                <w:color w:val="FFFFFF"/>
              </w:rPr>
              <w:t>Other</w:t>
            </w:r>
          </w:p>
        </w:tc>
        <w:tc>
          <w:tcPr>
            <w:tcW w:w="2140" w:type="dxa"/>
            <w:vAlign w:val="bottom"/>
            <w:tcBorders>
              <w:bottom w:val="single" w:sz="8" w:color="auto"/>
              <w:right w:val="single" w:sz="8" w:color="auto"/>
            </w:tcBorders>
            <w:shd w:val="clear" w:color="auto" w:fill="DBC7DF"/>
          </w:tcPr>
          <w:p>
            <w:pPr>
              <w:ind w:left="40"/>
              <w:spacing w:after="0"/>
              <w:rPr>
                <w:sz w:val="20"/>
                <w:szCs w:val="20"/>
                <w:color w:val="auto"/>
              </w:rPr>
            </w:pPr>
            <w:r>
              <w:rPr>
                <w:rFonts w:ascii="Arial" w:cs="Arial" w:eastAsia="Arial" w:hAnsi="Arial"/>
                <w:sz w:val="13"/>
                <w:szCs w:val="13"/>
                <w:color w:val="auto"/>
              </w:rPr>
              <w:t>PwC</w:t>
            </w:r>
          </w:p>
        </w:tc>
        <w:tc>
          <w:tcPr>
            <w:tcW w:w="214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color w:val="auto"/>
                <w:w w:val="96"/>
              </w:rPr>
              <w:t>34</w:t>
            </w:r>
          </w:p>
        </w:tc>
        <w:tc>
          <w:tcPr>
            <w:tcW w:w="222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color w:val="auto"/>
              </w:rPr>
              <w:t>27</w:t>
            </w:r>
          </w:p>
        </w:tc>
      </w:tr>
      <w:tr>
        <w:trPr>
          <w:trHeight w:val="222"/>
        </w:trPr>
        <w:tc>
          <w:tcPr>
            <w:tcW w:w="2180" w:type="dxa"/>
            <w:vAlign w:val="bottom"/>
            <w:tcBorders>
              <w:left w:val="single" w:sz="8" w:color="auto"/>
              <w:bottom w:val="single" w:sz="8" w:color="auto"/>
              <w:right w:val="single" w:sz="8" w:color="auto"/>
            </w:tcBorders>
            <w:shd w:val="clear" w:color="auto" w:fill="874796"/>
          </w:tcPr>
          <w:p>
            <w:pPr>
              <w:spacing w:after="0"/>
              <w:rPr>
                <w:sz w:val="19"/>
                <w:szCs w:val="19"/>
                <w:color w:val="auto"/>
              </w:rPr>
            </w:pPr>
          </w:p>
        </w:tc>
        <w:tc>
          <w:tcPr>
            <w:tcW w:w="2140" w:type="dxa"/>
            <w:vAlign w:val="bottom"/>
            <w:tcBorders>
              <w:bottom w:val="single" w:sz="8" w:color="auto"/>
              <w:right w:val="single" w:sz="8" w:color="auto"/>
            </w:tcBorders>
            <w:shd w:val="clear" w:color="auto" w:fill="ECF3F8"/>
          </w:tcPr>
          <w:p>
            <w:pPr>
              <w:spacing w:after="0"/>
              <w:rPr>
                <w:sz w:val="19"/>
                <w:szCs w:val="19"/>
                <w:color w:val="auto"/>
              </w:rPr>
            </w:pPr>
          </w:p>
        </w:tc>
        <w:tc>
          <w:tcPr>
            <w:tcW w:w="2140" w:type="dxa"/>
            <w:vAlign w:val="bottom"/>
            <w:tcBorders>
              <w:bottom w:val="single" w:sz="8" w:color="auto"/>
              <w:right w:val="single" w:sz="8" w:color="auto"/>
            </w:tcBorders>
            <w:shd w:val="clear" w:color="auto" w:fill="ECF3F8"/>
          </w:tcPr>
          <w:p>
            <w:pPr>
              <w:spacing w:after="0"/>
              <w:rPr>
                <w:sz w:val="19"/>
                <w:szCs w:val="19"/>
                <w:color w:val="auto"/>
              </w:rPr>
            </w:pPr>
          </w:p>
        </w:tc>
        <w:tc>
          <w:tcPr>
            <w:tcW w:w="2220" w:type="dxa"/>
            <w:vAlign w:val="bottom"/>
            <w:tcBorders>
              <w:bottom w:val="single" w:sz="8" w:color="auto"/>
              <w:right w:val="single" w:sz="8" w:color="auto"/>
            </w:tcBorders>
            <w:shd w:val="clear" w:color="auto" w:fill="ECF3F8"/>
          </w:tcPr>
          <w:p>
            <w:pPr>
              <w:spacing w:after="0"/>
              <w:rPr>
                <w:sz w:val="19"/>
                <w:szCs w:val="19"/>
                <w:color w:val="auto"/>
              </w:rPr>
            </w:pPr>
          </w:p>
        </w:tc>
      </w:tr>
      <w:tr>
        <w:trPr>
          <w:trHeight w:val="205"/>
        </w:trPr>
        <w:tc>
          <w:tcPr>
            <w:tcW w:w="2180" w:type="dxa"/>
            <w:vAlign w:val="bottom"/>
            <w:tcBorders>
              <w:left w:val="single" w:sz="8" w:color="auto"/>
              <w:bottom w:val="single" w:sz="8" w:color="auto"/>
              <w:right w:val="single" w:sz="8" w:color="auto"/>
            </w:tcBorders>
            <w:shd w:val="clear" w:color="auto" w:fill="874796"/>
          </w:tcPr>
          <w:p>
            <w:pPr>
              <w:ind w:left="60"/>
              <w:spacing w:after="0"/>
              <w:rPr>
                <w:sz w:val="20"/>
                <w:szCs w:val="20"/>
                <w:color w:val="auto"/>
              </w:rPr>
            </w:pPr>
            <w:r>
              <w:rPr>
                <w:rFonts w:ascii="Arial" w:cs="Arial" w:eastAsia="Arial" w:hAnsi="Arial"/>
                <w:sz w:val="13"/>
                <w:szCs w:val="13"/>
                <w:b w:val="1"/>
                <w:bCs w:val="1"/>
                <w:color w:val="FFFFFF"/>
              </w:rPr>
              <w:t>Total</w:t>
            </w:r>
          </w:p>
        </w:tc>
        <w:tc>
          <w:tcPr>
            <w:tcW w:w="2140" w:type="dxa"/>
            <w:vAlign w:val="bottom"/>
            <w:tcBorders>
              <w:bottom w:val="single" w:sz="8" w:color="auto"/>
              <w:right w:val="single" w:sz="8" w:color="auto"/>
            </w:tcBorders>
            <w:shd w:val="clear" w:color="auto" w:fill="DBC7DF"/>
          </w:tcPr>
          <w:p>
            <w:pPr>
              <w:spacing w:after="0"/>
              <w:rPr>
                <w:sz w:val="17"/>
                <w:szCs w:val="17"/>
                <w:color w:val="auto"/>
              </w:rPr>
            </w:pPr>
          </w:p>
        </w:tc>
        <w:tc>
          <w:tcPr>
            <w:tcW w:w="214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b w:val="1"/>
                <w:bCs w:val="1"/>
                <w:color w:val="auto"/>
              </w:rPr>
              <w:t>3,084</w:t>
            </w:r>
          </w:p>
        </w:tc>
        <w:tc>
          <w:tcPr>
            <w:tcW w:w="2220" w:type="dxa"/>
            <w:vAlign w:val="bottom"/>
            <w:tcBorders>
              <w:bottom w:val="single" w:sz="8" w:color="auto"/>
              <w:right w:val="single" w:sz="8" w:color="auto"/>
            </w:tcBorders>
            <w:shd w:val="clear" w:color="auto" w:fill="DBC7DF"/>
          </w:tcPr>
          <w:p>
            <w:pPr>
              <w:jc w:val="center"/>
              <w:spacing w:after="0"/>
              <w:rPr>
                <w:sz w:val="20"/>
                <w:szCs w:val="20"/>
                <w:color w:val="auto"/>
              </w:rPr>
            </w:pPr>
            <w:r>
              <w:rPr>
                <w:rFonts w:ascii="Arial" w:cs="Arial" w:eastAsia="Arial" w:hAnsi="Arial"/>
                <w:sz w:val="13"/>
                <w:szCs w:val="13"/>
                <w:b w:val="1"/>
                <w:bCs w:val="1"/>
                <w:color w:val="auto"/>
              </w:rPr>
              <w:t>3,252</w:t>
            </w:r>
          </w:p>
        </w:tc>
      </w:tr>
    </w:tbl>
    <w:p>
      <w:pPr>
        <w:spacing w:after="0" w:line="137" w:lineRule="exact"/>
        <w:rPr>
          <w:sz w:val="20"/>
          <w:szCs w:val="20"/>
          <w:color w:val="auto"/>
        </w:rPr>
      </w:pPr>
    </w:p>
    <w:p>
      <w:pPr>
        <w:jc w:val="both"/>
        <w:ind w:left="820" w:right="119" w:hanging="612"/>
        <w:spacing w:after="0" w:line="325" w:lineRule="auto"/>
        <w:tabs>
          <w:tab w:leader="none" w:pos="80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2"/>
          <w:szCs w:val="12"/>
          <w:color w:val="auto"/>
        </w:rPr>
        <w:t>The aggregate fees included in Audit fees are fees billed for the fiscal years for the audits of the consolidated financial statements of the Company, statutory and subsidiary audits, and review of documents filed with the SEC. The aggregate fees included in each of the other categories are fees billed in the respective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822960</wp:posOffset>
            </wp:positionV>
            <wp:extent cx="297180" cy="290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5" w:name="page56"/>
    <w:bookmarkEnd w:id="55"/>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Audit Committee Pre-Approval Policies and Procedures</w:t>
      </w:r>
    </w:p>
    <w:p>
      <w:pPr>
        <w:spacing w:after="0" w:line="195" w:lineRule="exact"/>
        <w:rPr>
          <w:sz w:val="20"/>
          <w:szCs w:val="20"/>
          <w:color w:val="auto"/>
        </w:rPr>
      </w:pPr>
    </w:p>
    <w:p>
      <w:pPr>
        <w:jc w:val="both"/>
        <w:ind w:left="200" w:right="139"/>
        <w:spacing w:after="0" w:line="253" w:lineRule="auto"/>
        <w:rPr>
          <w:sz w:val="20"/>
          <w:szCs w:val="20"/>
          <w:color w:val="auto"/>
        </w:rPr>
      </w:pPr>
      <w:r>
        <w:rPr>
          <w:rFonts w:ascii="Arial" w:cs="Arial" w:eastAsia="Arial" w:hAnsi="Arial"/>
          <w:sz w:val="15"/>
          <w:szCs w:val="15"/>
          <w:color w:val="auto"/>
        </w:rPr>
        <w:t>The Audit Committee pre-approves all audit and permitted non-audit services provided by the Company’s independent registered public accounting firm. The Audit Committee may delegate pre-approval authority to the Audit Committee Chairman, provided all such delegated pre-approval decisions are reported to the Audit Committee at its next regularly scheduled meeting. General pre-approval of certain audit, audit-related and tax services, which are detailed as to type of service, is granted by the Audit Committee at each quarterly meeting. The Audit Committee subsequently reviews fees that are paid for such pre-approved services. Specific pre-approval is required for all other services that are requested of our independent registered public accounting firm. These requests are reviewed quarterly, and the status of all such requests and services is reviewed with the Audit Committee.</w:t>
      </w:r>
    </w:p>
    <w:p>
      <w:pPr>
        <w:spacing w:after="0" w:line="97"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In fiscal years 2025 and 2024, the Company did not make any payments to its independent registered public accounting firm for which the de minimis exception was used.</w:t>
      </w:r>
    </w:p>
    <w:p>
      <w:pPr>
        <w:spacing w:after="0" w:line="64"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 xml:space="preserve">A copy of the Audit Committee Pre-Approval Policy can be found on our website under the heading Corporate Governance at </w:t>
      </w:r>
      <w:r>
        <w:rPr>
          <w:rFonts w:ascii="Arial" w:cs="Arial" w:eastAsia="Arial" w:hAnsi="Arial"/>
          <w:sz w:val="15"/>
          <w:szCs w:val="15"/>
          <w:u w:val="single" w:color="auto"/>
          <w:color w:val="874796"/>
        </w:rPr>
        <w:t>www.innospec.com/about-us/corporate-governance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5706745</wp:posOffset>
            </wp:positionV>
            <wp:extent cx="297180" cy="290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6" w:name="page57"/>
    <w:bookmarkEnd w:id="56"/>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874796"/>
        </w:rPr>
        <w:t>AUDIT COMMITTEE REPORT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Board has adopted a written Audit Committee Charter. As part of fulfilling its responsibilities, the Audit Committee:</w:t>
      </w:r>
    </w:p>
    <w:p>
      <w:pPr>
        <w:spacing w:after="0" w:line="117" w:lineRule="exact"/>
        <w:rPr>
          <w:sz w:val="20"/>
          <w:szCs w:val="20"/>
          <w:color w:val="auto"/>
        </w:rPr>
      </w:pPr>
    </w:p>
    <w:p>
      <w:pPr>
        <w:jc w:val="both"/>
        <w:ind w:left="540" w:right="139" w:hanging="335"/>
        <w:spacing w:after="0" w:line="264"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held meetings with the Company’s Business Assurance function and the independent registered public accounting firm, both in the presence of management and privately to discuss the overall scope and plans for the respective audits, the results of the audits, the evaluations of the Company’s internal controls and the overall quality of the Company’s final reports;</w:t>
      </w:r>
    </w:p>
    <w:p>
      <w:pPr>
        <w:spacing w:after="0" w:line="87"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reviewed and discussed the audited consolidated financial statements for fiscal year 2025 with management and the independent registered public accounting firm;</w:t>
      </w:r>
    </w:p>
    <w:p>
      <w:pPr>
        <w:spacing w:after="0" w:line="74"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discussed with the independent registered public accounting firm the matters required to be discussed by the applicable requirements of the Public Company Accounting Oversight Board and the SEC; and</w:t>
      </w:r>
    </w:p>
    <w:p>
      <w:pPr>
        <w:spacing w:after="0" w:line="63" w:lineRule="exact"/>
        <w:rPr>
          <w:rFonts w:ascii="Arial" w:cs="Arial" w:eastAsia="Arial" w:hAnsi="Arial"/>
          <w:sz w:val="15"/>
          <w:szCs w:val="15"/>
          <w:color w:val="auto"/>
        </w:rPr>
      </w:pPr>
    </w:p>
    <w:p>
      <w:pPr>
        <w:jc w:val="both"/>
        <w:ind w:left="540" w:right="139" w:hanging="335"/>
        <w:spacing w:after="0" w:line="258" w:lineRule="auto"/>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received the written disclosure and the letter required by applicable requirements of the Public Company Accounting Oversight Board Rule regarding the independent accountant’s communications with the Audit Committee concerning independence and discussed that firm’s independence with representatives of that firm. The Audit Committee has also considered whether PwC’s provision of non-audit services to the Company is compatible with its independence.</w:t>
      </w:r>
    </w:p>
    <w:p>
      <w:pPr>
        <w:spacing w:after="0" w:line="94"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Based upon these reviews and discussions, the Audit Committee has recommended to the Board, and the Board has approved, that the Company’s audited consolidated financial statements be included in the Company’s Annual Report on Form 10-K for the fiscal year ended December 31, 2025, and filed with the SEC.</w:t>
      </w:r>
    </w:p>
    <w:p>
      <w:pPr>
        <w:spacing w:after="0" w:line="88"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No portion of this Audit Committee Report shall be deemed to be incorporated by reference into any filing under the Securities Act of 1933, as amended (the “Securities Act”), or Securities Exchange Act of 1934, as amended (the “Exchange Act”), through any general statement incorporating by reference in its entirety this Proxy Statement in which this report appears, except to the extent that the Company specifically incorporates this report or a portion of it by reference. In addition, this report shall not be deemed to be filed under either the Securities Act or the Exchange Act.</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foregoing report has been approved by all members of the Audit Committee.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DAVID F. LANDLESS, Chair</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MILTON C. BLACKMORE</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ELIZABETH K.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3766185</wp:posOffset>
            </wp:positionV>
            <wp:extent cx="297180" cy="290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7" w:name="page58"/>
    <w:bookmarkEnd w:id="57"/>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9AB956"/>
        </w:rPr>
        <w:t>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127000</wp:posOffset>
            </wp:positionV>
            <wp:extent cx="5542280" cy="677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42280" cy="677545"/>
                    </a:xfrm>
                    <a:prstGeom prst="rect">
                      <a:avLst/>
                    </a:prstGeom>
                    <a:noFill/>
                  </pic:spPr>
                </pic:pic>
              </a:graphicData>
            </a:graphic>
          </wp:anchor>
        </w:drawing>
      </w:r>
    </w:p>
    <w:p>
      <w:pPr>
        <w:spacing w:after="0" w:line="370"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Mr. Ian P. Cleminson</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Age: 60</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Executive Officer since July 3, 2006</w:t>
      </w:r>
    </w:p>
    <w:p>
      <w:pPr>
        <w:spacing w:after="0" w:line="393" w:lineRule="exact"/>
        <w:rPr>
          <w:sz w:val="20"/>
          <w:szCs w:val="20"/>
          <w:color w:val="auto"/>
        </w:rPr>
      </w:pPr>
    </w:p>
    <w:p>
      <w:pPr>
        <w:jc w:val="both"/>
        <w:ind w:left="200" w:right="139"/>
        <w:spacing w:after="0" w:line="252" w:lineRule="auto"/>
        <w:rPr>
          <w:sz w:val="20"/>
          <w:szCs w:val="20"/>
          <w:color w:val="auto"/>
        </w:rPr>
      </w:pPr>
      <w:r>
        <w:rPr>
          <w:rFonts w:ascii="Arial" w:cs="Arial" w:eastAsia="Arial" w:hAnsi="Arial"/>
          <w:sz w:val="15"/>
          <w:szCs w:val="15"/>
          <w:color w:val="auto"/>
        </w:rPr>
        <w:t>Mr. Cleminson serves as Executive Vice President and CFO to the Company, having joined the Company in February 2002. Prior to this appointment, Mr. Cleminson was Financial Controller for the Fuel Specialties and Performance Chemicals business units within the Company. He joined the Company from BASF plc. where, between 1999 and 2002, he served as Financial Controller of their Superabsorbents division. Previously, he worked as an accountant in private practice since 1989. In May 2022, Mr. Cleminson was appointed as a Non-Executive Director to the Board of Surface Transforms plc, which is a UK listed manufacturer of carbon ceramic brake discs. In May 2025 he was appointed Chair of Board. He also chairs their Audit Committee and is a member of their Renumeration and Nomination Committee. In November 2025 Mr. Cleminson was appointed as an Independent Governor at Edge Hill University and serves as Chair of it’s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62230</wp:posOffset>
            </wp:positionV>
            <wp:extent cx="5542280" cy="684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42280" cy="684530"/>
                    </a:xfrm>
                    <a:prstGeom prst="rect">
                      <a:avLst/>
                    </a:prstGeom>
                    <a:noFill/>
                  </pic:spPr>
                </pic:pic>
              </a:graphicData>
            </a:graphic>
          </wp:anchor>
        </w:drawing>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Mr. Trey Griffin</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Age: 60</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Executive Officer since May 1, 2021</w:t>
      </w:r>
    </w:p>
    <w:p>
      <w:pPr>
        <w:spacing w:after="0" w:line="393"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Mr. Griffin joined the Company in January 2005 and was appointed to the role of Senior Vice President, Human Resources in May 2021. Prior to this, he spent 4 years as Vice President, Human Resources for the Americas, having previously been Vice President, Operations for the Fuel Specialties business in the Americas. Before joining Innospec, he spent 15 years with Hewlett-Packard and Agilent Technologies working in a range of marketing and sales management roles. Mr. Griffin has a Bachelor of Science in Electrical Engineering from Colorado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66040</wp:posOffset>
            </wp:positionV>
            <wp:extent cx="5542280" cy="677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42280" cy="677545"/>
                    </a:xfrm>
                    <a:prstGeom prst="rect">
                      <a:avLst/>
                    </a:prstGeom>
                    <a:noFill/>
                  </pic:spPr>
                </pic:pic>
              </a:graphicData>
            </a:graphic>
          </wp:anchor>
        </w:drawing>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Dr. Ian McRobbie</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Age: 77</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Executive Officer since May 7, 2002</w:t>
      </w:r>
    </w:p>
    <w:p>
      <w:pPr>
        <w:spacing w:after="0" w:line="393"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Dr. McRobbie serves as Senior Vice President and Chief Technology Officer of the Company, having joined the Company in January 2002. Between 1989 and 2001, he was Technical Director of A H Marks and Company Limited, a privately owned U.K. chemical company operating in agrochemical and specialty chemical markets. Prior to this, he worked in senior research and manufacturing roles for Seal Sands Chemical Co. Limited (a wholly owned subsidiary of the Hexcel Corporation based in California) and BTP plc. (now part of Clariant).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66040</wp:posOffset>
            </wp:positionV>
            <wp:extent cx="5542280" cy="677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42280" cy="677545"/>
                    </a:xfrm>
                    <a:prstGeom prst="rect">
                      <a:avLst/>
                    </a:prstGeom>
                    <a:noFill/>
                  </pic:spPr>
                </pic:pic>
              </a:graphicData>
            </a:graphic>
          </wp:anchor>
        </w:drawing>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Mr. Corbin Barnes</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Age: 53</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Executive Officer since May 1, 2021</w:t>
      </w:r>
    </w:p>
    <w:p>
      <w:pPr>
        <w:spacing w:after="0" w:line="381" w:lineRule="exact"/>
        <w:rPr>
          <w:sz w:val="20"/>
          <w:szCs w:val="20"/>
          <w:color w:val="auto"/>
        </w:rPr>
      </w:pPr>
    </w:p>
    <w:p>
      <w:pPr>
        <w:jc w:val="both"/>
        <w:ind w:left="200" w:right="139"/>
        <w:spacing w:after="0" w:line="278" w:lineRule="auto"/>
        <w:rPr>
          <w:sz w:val="20"/>
          <w:szCs w:val="20"/>
          <w:color w:val="auto"/>
        </w:rPr>
      </w:pPr>
      <w:r>
        <w:rPr>
          <w:rFonts w:ascii="Arial" w:cs="Arial" w:eastAsia="Arial" w:hAnsi="Arial"/>
          <w:sz w:val="14"/>
          <w:szCs w:val="14"/>
          <w:color w:val="auto"/>
        </w:rPr>
        <w:t>Mr. Barnes serves as Senior Vice President, Corporate Development and Investor Relations, having been Vice President, Corporate Development and Investor Relations since June 2020. Prior to this, he spent six years as Financial Controller of the Oilfield Services division. Before joining Innospec, Mr. Barnes was CFO of Independence Oilfield Chemicals, which was acquired by Innospec in 2014. Prior to that, he served in a number of senior management and financial roles in the energy and industrial sectors in the United States and Latin America. He has a Master of Science degree in Mechanical Engineering from Vanderbilt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1355090</wp:posOffset>
            </wp:positionV>
            <wp:extent cx="297180" cy="290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8" w:name="page59"/>
    <w:bookmarkEnd w:id="58"/>
    <w:p>
      <w:pPr>
        <w:spacing w:after="0" w:line="3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1042035</wp:posOffset>
            </wp:positionH>
            <wp:positionV relativeFrom="page">
              <wp:posOffset>984250</wp:posOffset>
            </wp:positionV>
            <wp:extent cx="5542280" cy="677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42280" cy="67754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5"/>
          <w:szCs w:val="15"/>
          <w:b w:val="1"/>
          <w:bCs w:val="1"/>
          <w:color w:val="auto"/>
        </w:rPr>
        <w:t>Mr. David B. Jones</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Age: 57</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Executive Officer since March 1, 2018</w:t>
      </w:r>
    </w:p>
    <w:p>
      <w:pPr>
        <w:spacing w:after="0" w:line="393"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Mr. Jones serves as Senior Vice President, General Counsel, Chief Compliance Officer and Corporate Secretary, having joined the Company on March 1, 2018. Before joining the Company, Mr. Jones served as Vice President, Deputy General Counsel of West Corporation, and Chief Counsel of Lennox International, and prior to that he was a Partner with DLA Piper LLP. Mr. Jones is a Certified Public Accountant and was in private practice with Ernst &amp; Young and PricewaterhouseCoopers prior to commencement of his legal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6086475</wp:posOffset>
            </wp:positionV>
            <wp:extent cx="297180" cy="290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9" w:name="page60"/>
    <w:bookmarkEnd w:id="59"/>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4F81BD"/>
        </w:rPr>
        <w:t>COMPENSATION DISCUSSION AND ANALYSIS</w:t>
      </w:r>
    </w:p>
    <w:p>
      <w:pPr>
        <w:spacing w:after="0" w:line="190"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The following Compensation Discussion and Analysis (“CD&amp;A”) is designed to explain the Company’s executive compensation philosophy and programs and describes the material elements of compensation in 2025 for the NEOs listed in the “Summary Compensation Table”. The tables following the CD&amp;A contain specific information on the compensation awarded to or earned by the NEOs in 2025. The NEOs for 2025 are:</w:t>
      </w:r>
    </w:p>
    <w:p>
      <w:pPr>
        <w:spacing w:after="0" w:line="82" w:lineRule="exact"/>
        <w:rPr>
          <w:sz w:val="20"/>
          <w:szCs w:val="20"/>
          <w:color w:val="auto"/>
        </w:rPr>
      </w:pPr>
    </w:p>
    <w:p>
      <w:pPr>
        <w:ind w:left="880" w:hanging="340"/>
        <w:spacing w:after="0"/>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Patrick S. Williams, President and Chief Executive Officer</w:t>
      </w:r>
    </w:p>
    <w:p>
      <w:pPr>
        <w:spacing w:after="0" w:line="128" w:lineRule="exact"/>
        <w:rPr>
          <w:rFonts w:ascii="Arial" w:cs="Arial" w:eastAsia="Arial" w:hAnsi="Arial"/>
          <w:sz w:val="15"/>
          <w:szCs w:val="15"/>
          <w:color w:val="auto"/>
        </w:rPr>
      </w:pPr>
    </w:p>
    <w:p>
      <w:pPr>
        <w:ind w:left="880" w:hanging="340"/>
        <w:spacing w:after="0"/>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Ian P. Cleminson, Executive Vice President and Chief Financial Officer</w:t>
      </w:r>
    </w:p>
    <w:p>
      <w:pPr>
        <w:spacing w:after="0" w:line="128" w:lineRule="exact"/>
        <w:rPr>
          <w:rFonts w:ascii="Arial" w:cs="Arial" w:eastAsia="Arial" w:hAnsi="Arial"/>
          <w:sz w:val="15"/>
          <w:szCs w:val="15"/>
          <w:color w:val="auto"/>
        </w:rPr>
      </w:pPr>
    </w:p>
    <w:p>
      <w:pPr>
        <w:ind w:left="880" w:hanging="340"/>
        <w:spacing w:after="0"/>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Dr. Ian M. McRobbie, Senior Vice President and Chief Technology Officer</w:t>
      </w:r>
    </w:p>
    <w:p>
      <w:pPr>
        <w:spacing w:after="0" w:line="117" w:lineRule="exact"/>
        <w:rPr>
          <w:rFonts w:ascii="Arial" w:cs="Arial" w:eastAsia="Arial" w:hAnsi="Arial"/>
          <w:sz w:val="15"/>
          <w:szCs w:val="15"/>
          <w:color w:val="auto"/>
        </w:rPr>
      </w:pPr>
    </w:p>
    <w:p>
      <w:pPr>
        <w:ind w:left="880" w:hanging="340"/>
        <w:spacing w:after="0"/>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Corbin Barnes, Senior Vice President, Corporate Development and Investor Relations</w:t>
      </w:r>
    </w:p>
    <w:p>
      <w:pPr>
        <w:spacing w:after="0" w:line="128" w:lineRule="exact"/>
        <w:rPr>
          <w:rFonts w:ascii="Arial" w:cs="Arial" w:eastAsia="Arial" w:hAnsi="Arial"/>
          <w:sz w:val="15"/>
          <w:szCs w:val="15"/>
          <w:color w:val="auto"/>
        </w:rPr>
      </w:pPr>
    </w:p>
    <w:p>
      <w:pPr>
        <w:ind w:left="880" w:hanging="340"/>
        <w:spacing w:after="0"/>
        <w:tabs>
          <w:tab w:leader="none" w:pos="8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Mr. David B. Jones, Senior Vice President, General Counsel, Chief Compliance Officer and Corporate Secretary</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Executive Summary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2025 Results</w:t>
      </w:r>
    </w:p>
    <w:p>
      <w:pPr>
        <w:spacing w:after="0" w:line="100"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The past year presented significant challenges for the company, as global economic pressures, geopolitical instability, and industry-specific headwinds impacted our financial results. Despite these challenges, we maintained a strong balance sheet and financial foundation due to the resilience of our diversified portfolio and disciplined capital allocation strategy. We continued to return capital to shareholders through increased dividends and meaningful share repurchases, underscoring our confidence in the long-term health of the business.</w:t>
      </w:r>
    </w:p>
    <w:p>
      <w:pPr>
        <w:spacing w:after="0" w:line="88" w:lineRule="exact"/>
        <w:rPr>
          <w:sz w:val="20"/>
          <w:szCs w:val="20"/>
          <w:color w:val="auto"/>
        </w:rPr>
      </w:pPr>
    </w:p>
    <w:tbl>
      <w:tblPr>
        <w:tblLayout w:type="fixed"/>
        <w:tblInd w:w="210" w:type="dxa"/>
        <w:tblCellMar>
          <w:top w:w="0" w:type="dxa"/>
          <w:left w:w="0" w:type="dxa"/>
          <w:bottom w:w="0" w:type="dxa"/>
          <w:right w:w="0" w:type="dxa"/>
        </w:tblCellMar>
      </w:tblPr>
      <w:tr>
        <w:trPr>
          <w:trHeight w:val="283"/>
        </w:trPr>
        <w:tc>
          <w:tcPr>
            <w:tcW w:w="2380" w:type="dxa"/>
            <w:vAlign w:val="bottom"/>
            <w:tcBorders>
              <w:top w:val="single" w:sz="8" w:color="auto"/>
              <w:left w:val="single" w:sz="8" w:color="auto"/>
              <w:bottom w:val="single" w:sz="8" w:color="4F81BD"/>
              <w:right w:val="single" w:sz="8" w:color="auto"/>
            </w:tcBorders>
            <w:shd w:val="clear" w:color="auto" w:fill="4F81BD"/>
          </w:tcPr>
          <w:p>
            <w:pPr>
              <w:ind w:left="100"/>
              <w:spacing w:after="0"/>
              <w:rPr>
                <w:sz w:val="20"/>
                <w:szCs w:val="20"/>
                <w:color w:val="auto"/>
              </w:rPr>
            </w:pPr>
            <w:r>
              <w:rPr>
                <w:rFonts w:ascii="Arial" w:cs="Arial" w:eastAsia="Arial" w:hAnsi="Arial"/>
                <w:sz w:val="13"/>
                <w:szCs w:val="13"/>
                <w:b w:val="1"/>
                <w:bCs w:val="1"/>
                <w:color w:val="FFFFFF"/>
              </w:rPr>
              <w:t>Key Accomplishment</w:t>
            </w:r>
          </w:p>
        </w:tc>
        <w:tc>
          <w:tcPr>
            <w:tcW w:w="6320" w:type="dxa"/>
            <w:vAlign w:val="bottom"/>
            <w:tcBorders>
              <w:top w:val="single" w:sz="8" w:color="auto"/>
              <w:bottom w:val="single" w:sz="8" w:color="4F81BD"/>
              <w:right w:val="single" w:sz="8" w:color="auto"/>
            </w:tcBorders>
            <w:shd w:val="clear" w:color="auto" w:fill="4F81BD"/>
          </w:tcPr>
          <w:p>
            <w:pPr>
              <w:ind w:left="80"/>
              <w:spacing w:after="0"/>
              <w:rPr>
                <w:sz w:val="20"/>
                <w:szCs w:val="20"/>
                <w:color w:val="auto"/>
              </w:rPr>
            </w:pPr>
            <w:r>
              <w:rPr>
                <w:rFonts w:ascii="Arial" w:cs="Arial" w:eastAsia="Arial" w:hAnsi="Arial"/>
                <w:sz w:val="13"/>
                <w:szCs w:val="13"/>
                <w:b w:val="1"/>
                <w:bCs w:val="1"/>
                <w:color w:val="FFFFFF"/>
              </w:rPr>
              <w:t>Description</w:t>
            </w:r>
          </w:p>
        </w:tc>
      </w:tr>
      <w:tr>
        <w:trPr>
          <w:trHeight w:val="263"/>
        </w:trPr>
        <w:tc>
          <w:tcPr>
            <w:tcW w:w="238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b w:val="1"/>
                <w:bCs w:val="1"/>
                <w:color w:val="auto"/>
              </w:rPr>
              <w:t>Net Cash</w:t>
            </w:r>
          </w:p>
        </w:tc>
        <w:tc>
          <w:tcPr>
            <w:tcW w:w="6320" w:type="dxa"/>
            <w:vAlign w:val="bottom"/>
            <w:tcBorders>
              <w:top w:val="single" w:sz="8" w:color="auto"/>
              <w:bottom w:val="single" w:sz="8" w:color="EDF2F8"/>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Ended the year with net cash position of $292.5 million and no external bank debt</w:t>
            </w:r>
          </w:p>
        </w:tc>
      </w:tr>
      <w:tr>
        <w:trPr>
          <w:trHeight w:val="215"/>
        </w:trPr>
        <w:tc>
          <w:tcPr>
            <w:tcW w:w="238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b w:val="1"/>
                <w:bCs w:val="1"/>
                <w:color w:val="auto"/>
              </w:rPr>
              <w:t>Stockholder Dividend</w:t>
            </w:r>
          </w:p>
        </w:tc>
        <w:tc>
          <w:tcPr>
            <w:tcW w:w="632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Increased dividend payment by 10% versus 2024, to $1.71 in 2025, an increase from $1.55 in 2024 and</w:t>
            </w:r>
          </w:p>
        </w:tc>
      </w:tr>
      <w:tr>
        <w:trPr>
          <w:trHeight w:val="227"/>
        </w:trPr>
        <w:tc>
          <w:tcPr>
            <w:tcW w:w="2380" w:type="dxa"/>
            <w:vAlign w:val="bottom"/>
            <w:tcBorders>
              <w:left w:val="single" w:sz="8" w:color="auto"/>
              <w:bottom w:val="single" w:sz="8" w:color="EDF2F8"/>
              <w:right w:val="single" w:sz="8" w:color="auto"/>
            </w:tcBorders>
            <w:shd w:val="clear" w:color="auto" w:fill="EDF2F8"/>
          </w:tcPr>
          <w:p>
            <w:pPr>
              <w:spacing w:after="0"/>
              <w:rPr>
                <w:sz w:val="19"/>
                <w:szCs w:val="19"/>
                <w:color w:val="auto"/>
              </w:rPr>
            </w:pPr>
          </w:p>
        </w:tc>
        <w:tc>
          <w:tcPr>
            <w:tcW w:w="6320" w:type="dxa"/>
            <w:vAlign w:val="bottom"/>
            <w:tcBorders>
              <w:bottom w:val="single" w:sz="8" w:color="EDF2F8"/>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$1.41 in 2023</w:t>
            </w:r>
          </w:p>
        </w:tc>
      </w:tr>
      <w:tr>
        <w:trPr>
          <w:trHeight w:val="263"/>
        </w:trPr>
        <w:tc>
          <w:tcPr>
            <w:tcW w:w="238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b w:val="1"/>
                <w:bCs w:val="1"/>
                <w:color w:val="auto"/>
              </w:rPr>
              <w:t>Fuel Specialties</w:t>
            </w:r>
          </w:p>
        </w:tc>
        <w:tc>
          <w:tcPr>
            <w:tcW w:w="6320" w:type="dxa"/>
            <w:vAlign w:val="bottom"/>
            <w:tcBorders>
              <w:top w:val="single" w:sz="8" w:color="auto"/>
              <w:bottom w:val="single" w:sz="8" w:color="EDF2F8"/>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Maintained its strong operating income and margin growth</w:t>
            </w:r>
          </w:p>
        </w:tc>
      </w:tr>
      <w:tr>
        <w:trPr>
          <w:trHeight w:val="215"/>
        </w:trPr>
        <w:tc>
          <w:tcPr>
            <w:tcW w:w="238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b w:val="1"/>
                <w:bCs w:val="1"/>
                <w:color w:val="auto"/>
              </w:rPr>
              <w:t>Performance Chemicals</w:t>
            </w:r>
          </w:p>
        </w:tc>
        <w:tc>
          <w:tcPr>
            <w:tcW w:w="632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Full year revenues up 4% with sequential margin and operating income improvement from third to</w:t>
            </w:r>
          </w:p>
        </w:tc>
      </w:tr>
      <w:tr>
        <w:trPr>
          <w:trHeight w:val="227"/>
        </w:trPr>
        <w:tc>
          <w:tcPr>
            <w:tcW w:w="2380" w:type="dxa"/>
            <w:vAlign w:val="bottom"/>
            <w:tcBorders>
              <w:left w:val="single" w:sz="8" w:color="auto"/>
              <w:bottom w:val="single" w:sz="8" w:color="EDF2F8"/>
              <w:right w:val="single" w:sz="8" w:color="auto"/>
            </w:tcBorders>
            <w:shd w:val="clear" w:color="auto" w:fill="EDF2F8"/>
          </w:tcPr>
          <w:p>
            <w:pPr>
              <w:spacing w:after="0"/>
              <w:rPr>
                <w:sz w:val="19"/>
                <w:szCs w:val="19"/>
                <w:color w:val="auto"/>
              </w:rPr>
            </w:pPr>
          </w:p>
        </w:tc>
        <w:tc>
          <w:tcPr>
            <w:tcW w:w="6320" w:type="dxa"/>
            <w:vAlign w:val="bottom"/>
            <w:tcBorders>
              <w:bottom w:val="single" w:sz="8" w:color="EDF2F8"/>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fourth quarter of the year</w:t>
            </w:r>
          </w:p>
        </w:tc>
      </w:tr>
      <w:tr>
        <w:trPr>
          <w:trHeight w:val="215"/>
        </w:trPr>
        <w:tc>
          <w:tcPr>
            <w:tcW w:w="238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b w:val="1"/>
                <w:bCs w:val="1"/>
                <w:color w:val="auto"/>
              </w:rPr>
              <w:t>Balanced Portfolio</w:t>
            </w:r>
          </w:p>
        </w:tc>
        <w:tc>
          <w:tcPr>
            <w:tcW w:w="632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The Company is in a strong financial position due to our balanced portfolio, and we have the cash to</w:t>
            </w:r>
          </w:p>
        </w:tc>
      </w:tr>
      <w:tr>
        <w:trPr>
          <w:trHeight w:val="175"/>
        </w:trPr>
        <w:tc>
          <w:tcPr>
            <w:tcW w:w="2380" w:type="dxa"/>
            <w:vAlign w:val="bottom"/>
            <w:tcBorders>
              <w:left w:val="single" w:sz="8" w:color="auto"/>
              <w:right w:val="single" w:sz="8" w:color="auto"/>
            </w:tcBorders>
            <w:shd w:val="clear" w:color="auto" w:fill="EDF2F8"/>
          </w:tcPr>
          <w:p>
            <w:pPr>
              <w:spacing w:after="0"/>
              <w:rPr>
                <w:sz w:val="15"/>
                <w:szCs w:val="15"/>
                <w:color w:val="auto"/>
              </w:rPr>
            </w:pPr>
          </w:p>
        </w:tc>
        <w:tc>
          <w:tcPr>
            <w:tcW w:w="632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invest in future growth thanks to careful cost management and focus on delivering exceptional</w:t>
            </w:r>
          </w:p>
        </w:tc>
      </w:tr>
      <w:tr>
        <w:trPr>
          <w:trHeight w:val="205"/>
        </w:trPr>
        <w:tc>
          <w:tcPr>
            <w:tcW w:w="2380" w:type="dxa"/>
            <w:vAlign w:val="bottom"/>
            <w:tcBorders>
              <w:left w:val="single" w:sz="8" w:color="auto"/>
              <w:bottom w:val="single" w:sz="8" w:color="EDF2F8"/>
              <w:right w:val="single" w:sz="8" w:color="auto"/>
            </w:tcBorders>
            <w:shd w:val="clear" w:color="auto" w:fill="EDF2F8"/>
          </w:tcPr>
          <w:p>
            <w:pPr>
              <w:spacing w:after="0"/>
              <w:rPr>
                <w:sz w:val="17"/>
                <w:szCs w:val="17"/>
                <w:color w:val="auto"/>
              </w:rPr>
            </w:pPr>
          </w:p>
        </w:tc>
        <w:tc>
          <w:tcPr>
            <w:tcW w:w="6320" w:type="dxa"/>
            <w:vAlign w:val="bottom"/>
            <w:tcBorders>
              <w:bottom w:val="single" w:sz="8" w:color="EDF2F8"/>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innovation, value and service</w:t>
            </w:r>
          </w:p>
        </w:tc>
      </w:tr>
      <w:tr>
        <w:trPr>
          <w:trHeight w:val="20"/>
        </w:trPr>
        <w:tc>
          <w:tcPr>
            <w:tcW w:w="2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320" w:type="dxa"/>
            <w:vAlign w:val="bottom"/>
            <w:tcBorders>
              <w:right w:val="single" w:sz="8" w:color="auto"/>
            </w:tcBorders>
            <w:shd w:val="clear" w:color="auto" w:fill="000000"/>
          </w:tcPr>
          <w:p>
            <w:pPr>
              <w:spacing w:after="0" w:line="20" w:lineRule="exact"/>
              <w:rPr>
                <w:sz w:val="1"/>
                <w:szCs w:val="1"/>
                <w:color w:val="auto"/>
              </w:rPr>
            </w:pPr>
          </w:p>
        </w:tc>
      </w:tr>
    </w:tbl>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78"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The compensation philosophy of the Company is to link executive compensation to continuous improvement in corporate performance and increases in stockholder value, while at the same time allowing the Company to attract and retain the executive talent required to successfully manage our business. The overall compensation program is designed to motivate our employees to achieve business objectives and maximize their long-term commitment to our success. In determining compensation for the CEO and other NEOs, we primarily reference market median and consider other factors including individual experience and expertise, individual performance, internal pay equity and contribution to the Company. Refer to the “Competitive Market” section of the CD&amp;A for a more detailed description of the relevant market data used for the CEO and other NEO salary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1881505</wp:posOffset>
            </wp:positionV>
            <wp:extent cx="297180" cy="290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0" w:name="page61"/>
    <w:bookmarkEnd w:id="60"/>
    <w:p>
      <w:pPr>
        <w:spacing w:after="0" w:line="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Basic Compensation Practices</w:t>
      </w:r>
    </w:p>
    <w:p>
      <w:pPr>
        <w:spacing w:after="0" w:line="178"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Our executive compensation program incorporates pay practices to incent performance and meet shareholder objectives and avoids objectionable and controversial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57150</wp:posOffset>
            </wp:positionV>
            <wp:extent cx="5522595" cy="10464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22595" cy="1046480"/>
                    </a:xfrm>
                    <a:prstGeom prst="rect">
                      <a:avLst/>
                    </a:prstGeom>
                    <a:noFill/>
                  </pic:spPr>
                </pic:pic>
              </a:graphicData>
            </a:graphic>
          </wp:anchor>
        </w:drawing>
      </w:r>
    </w:p>
    <w:p>
      <w:pPr>
        <w:spacing w:after="0" w:line="84" w:lineRule="exact"/>
        <w:rPr>
          <w:sz w:val="20"/>
          <w:szCs w:val="20"/>
          <w:color w:val="auto"/>
        </w:rPr>
      </w:pPr>
    </w:p>
    <w:p>
      <w:pPr>
        <w:ind w:left="4140"/>
        <w:spacing w:after="0"/>
        <w:rPr>
          <w:sz w:val="20"/>
          <w:szCs w:val="20"/>
          <w:color w:val="auto"/>
        </w:rPr>
      </w:pPr>
      <w:r>
        <w:rPr>
          <w:rFonts w:ascii="Arial" w:cs="Arial" w:eastAsia="Arial" w:hAnsi="Arial"/>
          <w:sz w:val="21"/>
          <w:szCs w:val="21"/>
          <w:b w:val="1"/>
          <w:bCs w:val="1"/>
          <w:color w:val="FFFFFF"/>
        </w:rPr>
        <w:t>What We Do</w:t>
      </w:r>
    </w:p>
    <w:p>
      <w:pPr>
        <w:spacing w:after="0" w:line="43"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320" w:type="dxa"/>
            <w:vAlign w:val="bottom"/>
            <w:tcBorders>
              <w:top w:val="single" w:sz="8" w:color="231F20"/>
            </w:tcBorders>
            <w:shd w:val="clear" w:color="auto" w:fill="EDF2F8"/>
          </w:tcPr>
          <w:p>
            <w:pPr>
              <w:ind w:left="80"/>
              <w:spacing w:after="0" w:line="181" w:lineRule="exact"/>
              <w:rPr>
                <w:sz w:val="20"/>
                <w:szCs w:val="20"/>
                <w:color w:val="auto"/>
              </w:rPr>
            </w:pPr>
            <w:r>
              <w:rPr>
                <w:rFonts w:ascii="MS PGothic" w:cs="MS PGothic" w:eastAsia="MS PGothic" w:hAnsi="MS PGothic"/>
                <w:sz w:val="18"/>
                <w:szCs w:val="18"/>
                <w:color w:val="9CBB58"/>
              </w:rPr>
              <w:t>✔</w:t>
            </w:r>
          </w:p>
        </w:tc>
        <w:tc>
          <w:tcPr>
            <w:tcW w:w="4100" w:type="dxa"/>
            <w:vAlign w:val="bottom"/>
            <w:tcBorders>
              <w:top w:val="single" w:sz="8" w:color="231F20"/>
              <w:right w:val="single" w:sz="8" w:color="231F20"/>
            </w:tcBorders>
            <w:shd w:val="clear" w:color="auto" w:fill="EDF2F8"/>
          </w:tcPr>
          <w:p>
            <w:pPr>
              <w:ind w:left="100"/>
              <w:spacing w:after="0"/>
              <w:rPr>
                <w:sz w:val="20"/>
                <w:szCs w:val="20"/>
                <w:color w:val="auto"/>
              </w:rPr>
            </w:pPr>
            <w:r>
              <w:rPr>
                <w:rFonts w:ascii="Arial" w:cs="Arial" w:eastAsia="Arial" w:hAnsi="Arial"/>
                <w:sz w:val="15"/>
                <w:szCs w:val="15"/>
                <w:color w:val="231F20"/>
              </w:rPr>
              <w:t>Pay for performance</w:t>
            </w:r>
          </w:p>
        </w:tc>
        <w:tc>
          <w:tcPr>
            <w:tcW w:w="4280" w:type="dxa"/>
            <w:vAlign w:val="bottom"/>
            <w:tcBorders>
              <w:top w:val="single" w:sz="8" w:color="231F20"/>
            </w:tcBorders>
            <w:gridSpan w:val="2"/>
            <w:shd w:val="clear" w:color="auto" w:fill="EDF2F8"/>
          </w:tcPr>
          <w:p>
            <w:pPr>
              <w:ind w:left="40"/>
              <w:spacing w:after="0" w:line="190" w:lineRule="exact"/>
              <w:rPr>
                <w:sz w:val="20"/>
                <w:szCs w:val="20"/>
                <w:color w:val="auto"/>
              </w:rPr>
            </w:pPr>
            <w:r>
              <w:rPr>
                <w:rFonts w:ascii="MS PGothic" w:cs="MS PGothic" w:eastAsia="MS PGothic" w:hAnsi="MS PGothic"/>
                <w:sz w:val="17"/>
                <w:szCs w:val="17"/>
                <w:color w:val="9CBB58"/>
              </w:rPr>
              <w:t>✔</w:t>
            </w:r>
            <w:r>
              <w:rPr>
                <w:rFonts w:ascii="Arial" w:cs="Arial" w:eastAsia="Arial" w:hAnsi="Arial"/>
                <w:sz w:val="15"/>
                <w:szCs w:val="15"/>
                <w:color w:val="231F20"/>
              </w:rPr>
              <w:t xml:space="preserve">  Target executive pay around relevant market data, while</w:t>
            </w:r>
          </w:p>
        </w:tc>
      </w:tr>
      <w:tr>
        <w:trPr>
          <w:trHeight w:val="206"/>
        </w:trPr>
        <w:tc>
          <w:tcPr>
            <w:tcW w:w="320" w:type="dxa"/>
            <w:vAlign w:val="bottom"/>
            <w:tcBorders>
              <w:bottom w:val="single" w:sz="8" w:color="231F20"/>
            </w:tcBorders>
            <w:shd w:val="clear" w:color="auto" w:fill="EDF2F8"/>
          </w:tcPr>
          <w:p>
            <w:pPr>
              <w:spacing w:after="0"/>
              <w:rPr>
                <w:sz w:val="17"/>
                <w:szCs w:val="17"/>
                <w:color w:val="auto"/>
              </w:rPr>
            </w:pPr>
          </w:p>
        </w:tc>
        <w:tc>
          <w:tcPr>
            <w:tcW w:w="4100" w:type="dxa"/>
            <w:vAlign w:val="bottom"/>
            <w:tcBorders>
              <w:bottom w:val="single" w:sz="8" w:color="231F20"/>
              <w:right w:val="single" w:sz="8" w:color="231F20"/>
            </w:tcBorders>
            <w:shd w:val="clear" w:color="auto" w:fill="EDF2F8"/>
          </w:tcPr>
          <w:p>
            <w:pPr>
              <w:spacing w:after="0"/>
              <w:rPr>
                <w:sz w:val="17"/>
                <w:szCs w:val="17"/>
                <w:color w:val="auto"/>
              </w:rPr>
            </w:pPr>
          </w:p>
        </w:tc>
        <w:tc>
          <w:tcPr>
            <w:tcW w:w="280" w:type="dxa"/>
            <w:vAlign w:val="bottom"/>
            <w:tcBorders>
              <w:bottom w:val="single" w:sz="8" w:color="231F20"/>
            </w:tcBorders>
            <w:shd w:val="clear" w:color="auto" w:fill="EDF2F8"/>
          </w:tcPr>
          <w:p>
            <w:pPr>
              <w:spacing w:after="0"/>
              <w:rPr>
                <w:sz w:val="17"/>
                <w:szCs w:val="17"/>
                <w:color w:val="auto"/>
              </w:rPr>
            </w:pPr>
          </w:p>
        </w:tc>
        <w:tc>
          <w:tcPr>
            <w:tcW w:w="4000" w:type="dxa"/>
            <w:vAlign w:val="bottom"/>
            <w:tcBorders>
              <w:bottom w:val="single" w:sz="8" w:color="231F20"/>
            </w:tcBorders>
            <w:shd w:val="clear" w:color="auto" w:fill="EDF2F8"/>
          </w:tcPr>
          <w:p>
            <w:pPr>
              <w:ind w:left="100"/>
              <w:spacing w:after="0"/>
              <w:rPr>
                <w:sz w:val="20"/>
                <w:szCs w:val="20"/>
                <w:color w:val="auto"/>
              </w:rPr>
            </w:pPr>
            <w:r>
              <w:rPr>
                <w:rFonts w:ascii="Arial" w:cs="Arial" w:eastAsia="Arial" w:hAnsi="Arial"/>
                <w:sz w:val="15"/>
                <w:szCs w:val="15"/>
                <w:color w:val="231F20"/>
              </w:rPr>
              <w:t>also considering tenure, experience, and other factors</w:t>
            </w:r>
          </w:p>
        </w:tc>
      </w:tr>
      <w:tr>
        <w:trPr>
          <w:trHeight w:val="234"/>
        </w:trPr>
        <w:tc>
          <w:tcPr>
            <w:tcW w:w="320" w:type="dxa"/>
            <w:vAlign w:val="bottom"/>
            <w:tcBorders>
              <w:bottom w:val="single" w:sz="8" w:color="231F20"/>
            </w:tcBorders>
            <w:shd w:val="clear" w:color="auto" w:fill="EDF2F8"/>
          </w:tcPr>
          <w:p>
            <w:pPr>
              <w:ind w:left="80"/>
              <w:spacing w:after="0" w:line="181" w:lineRule="exact"/>
              <w:rPr>
                <w:sz w:val="20"/>
                <w:szCs w:val="20"/>
                <w:color w:val="auto"/>
              </w:rPr>
            </w:pPr>
            <w:r>
              <w:rPr>
                <w:rFonts w:ascii="MS PGothic" w:cs="MS PGothic" w:eastAsia="MS PGothic" w:hAnsi="MS PGothic"/>
                <w:sz w:val="18"/>
                <w:szCs w:val="18"/>
                <w:color w:val="9CBB58"/>
              </w:rPr>
              <w:t>✔</w:t>
            </w:r>
          </w:p>
        </w:tc>
        <w:tc>
          <w:tcPr>
            <w:tcW w:w="4100" w:type="dxa"/>
            <w:vAlign w:val="bottom"/>
            <w:tcBorders>
              <w:bottom w:val="single" w:sz="8" w:color="231F20"/>
              <w:right w:val="single" w:sz="8" w:color="231F20"/>
            </w:tcBorders>
            <w:shd w:val="clear" w:color="auto" w:fill="EDF2F8"/>
          </w:tcPr>
          <w:p>
            <w:pPr>
              <w:ind w:left="100"/>
              <w:spacing w:after="0"/>
              <w:rPr>
                <w:sz w:val="20"/>
                <w:szCs w:val="20"/>
                <w:color w:val="auto"/>
              </w:rPr>
            </w:pPr>
            <w:r>
              <w:rPr>
                <w:rFonts w:ascii="Arial" w:cs="Arial" w:eastAsia="Arial" w:hAnsi="Arial"/>
                <w:sz w:val="15"/>
                <w:szCs w:val="15"/>
                <w:color w:val="231F20"/>
              </w:rPr>
              <w:t>Emphasize long-term performance</w:t>
            </w:r>
          </w:p>
        </w:tc>
        <w:tc>
          <w:tcPr>
            <w:tcW w:w="280" w:type="dxa"/>
            <w:vAlign w:val="bottom"/>
            <w:tcBorders>
              <w:bottom w:val="single" w:sz="8" w:color="231F20"/>
            </w:tcBorders>
            <w:shd w:val="clear" w:color="auto" w:fill="EDF2F8"/>
          </w:tcPr>
          <w:p>
            <w:pPr>
              <w:ind w:left="40"/>
              <w:spacing w:after="0" w:line="181" w:lineRule="exact"/>
              <w:rPr>
                <w:sz w:val="20"/>
                <w:szCs w:val="20"/>
                <w:color w:val="auto"/>
              </w:rPr>
            </w:pPr>
            <w:r>
              <w:rPr>
                <w:rFonts w:ascii="MS PGothic" w:cs="MS PGothic" w:eastAsia="MS PGothic" w:hAnsi="MS PGothic"/>
                <w:sz w:val="18"/>
                <w:szCs w:val="18"/>
                <w:color w:val="9CBB58"/>
              </w:rPr>
              <w:t>✔</w:t>
            </w:r>
          </w:p>
        </w:tc>
        <w:tc>
          <w:tcPr>
            <w:tcW w:w="4000" w:type="dxa"/>
            <w:vAlign w:val="bottom"/>
            <w:tcBorders>
              <w:bottom w:val="single" w:sz="8" w:color="231F20"/>
            </w:tcBorders>
            <w:shd w:val="clear" w:color="auto" w:fill="EDF2F8"/>
          </w:tcPr>
          <w:p>
            <w:pPr>
              <w:ind w:left="100"/>
              <w:spacing w:after="0"/>
              <w:rPr>
                <w:sz w:val="20"/>
                <w:szCs w:val="20"/>
                <w:color w:val="auto"/>
              </w:rPr>
            </w:pPr>
            <w:r>
              <w:rPr>
                <w:rFonts w:ascii="Arial" w:cs="Arial" w:eastAsia="Arial" w:hAnsi="Arial"/>
                <w:sz w:val="15"/>
                <w:szCs w:val="15"/>
                <w:color w:val="231F20"/>
              </w:rPr>
              <w:t>Maintain minimum stock ownership guidelines</w:t>
            </w:r>
          </w:p>
        </w:tc>
      </w:tr>
      <w:tr>
        <w:trPr>
          <w:trHeight w:val="188"/>
        </w:trPr>
        <w:tc>
          <w:tcPr>
            <w:tcW w:w="4420" w:type="dxa"/>
            <w:vAlign w:val="bottom"/>
            <w:tcBorders>
              <w:right w:val="single" w:sz="8" w:color="231F20"/>
            </w:tcBorders>
            <w:gridSpan w:val="2"/>
            <w:shd w:val="clear" w:color="auto" w:fill="EDF2F8"/>
          </w:tcPr>
          <w:p>
            <w:pPr>
              <w:ind w:left="80"/>
              <w:spacing w:after="0" w:line="188" w:lineRule="exact"/>
              <w:rPr>
                <w:sz w:val="20"/>
                <w:szCs w:val="20"/>
                <w:color w:val="auto"/>
              </w:rPr>
            </w:pPr>
            <w:r>
              <w:rPr>
                <w:rFonts w:ascii="MS PGothic" w:cs="MS PGothic" w:eastAsia="MS PGothic" w:hAnsi="MS PGothic"/>
                <w:sz w:val="17"/>
                <w:szCs w:val="17"/>
                <w:color w:val="9CBB58"/>
              </w:rPr>
              <w:t>✔</w:t>
            </w:r>
            <w:r>
              <w:rPr>
                <w:rFonts w:ascii="Arial" w:cs="Arial" w:eastAsia="Arial" w:hAnsi="Arial"/>
                <w:sz w:val="15"/>
                <w:szCs w:val="15"/>
                <w:color w:val="auto"/>
              </w:rPr>
              <w:t xml:space="preserve">  D</w:t>
            </w:r>
            <w:r>
              <w:rPr>
                <w:rFonts w:ascii="Arial" w:cs="Arial" w:eastAsia="Arial" w:hAnsi="Arial"/>
                <w:sz w:val="15"/>
                <w:szCs w:val="15"/>
                <w:color w:val="231F20"/>
              </w:rPr>
              <w:t>esign compensation package with mix of operational and</w:t>
            </w:r>
          </w:p>
        </w:tc>
        <w:tc>
          <w:tcPr>
            <w:tcW w:w="280" w:type="dxa"/>
            <w:vAlign w:val="bottom"/>
            <w:shd w:val="clear" w:color="auto" w:fill="EDF2F8"/>
          </w:tcPr>
          <w:p>
            <w:pPr>
              <w:ind w:left="40"/>
              <w:spacing w:after="0" w:line="181" w:lineRule="exact"/>
              <w:rPr>
                <w:sz w:val="20"/>
                <w:szCs w:val="20"/>
                <w:color w:val="auto"/>
              </w:rPr>
            </w:pPr>
            <w:r>
              <w:rPr>
                <w:rFonts w:ascii="MS PGothic" w:cs="MS PGothic" w:eastAsia="MS PGothic" w:hAnsi="MS PGothic"/>
                <w:sz w:val="18"/>
                <w:szCs w:val="18"/>
                <w:color w:val="9CBB58"/>
              </w:rPr>
              <w:t>✔</w:t>
            </w:r>
          </w:p>
        </w:tc>
        <w:tc>
          <w:tcPr>
            <w:tcW w:w="4000" w:type="dxa"/>
            <w:vAlign w:val="bottom"/>
            <w:shd w:val="clear" w:color="auto" w:fill="EDF2F8"/>
          </w:tcPr>
          <w:p>
            <w:pPr>
              <w:ind w:left="100"/>
              <w:spacing w:after="0"/>
              <w:rPr>
                <w:sz w:val="20"/>
                <w:szCs w:val="20"/>
                <w:color w:val="auto"/>
              </w:rPr>
            </w:pPr>
            <w:r>
              <w:rPr>
                <w:rFonts w:ascii="Arial" w:cs="Arial" w:eastAsia="Arial" w:hAnsi="Arial"/>
                <w:sz w:val="15"/>
                <w:szCs w:val="15"/>
                <w:color w:val="231F20"/>
              </w:rPr>
              <w:t>Engage   independent   advisors   for   Compensation</w:t>
            </w:r>
          </w:p>
        </w:tc>
      </w:tr>
      <w:tr>
        <w:trPr>
          <w:trHeight w:val="206"/>
        </w:trPr>
        <w:tc>
          <w:tcPr>
            <w:tcW w:w="320" w:type="dxa"/>
            <w:vAlign w:val="bottom"/>
            <w:tcBorders>
              <w:bottom w:val="single" w:sz="8" w:color="231F20"/>
            </w:tcBorders>
            <w:shd w:val="clear" w:color="auto" w:fill="EDF2F8"/>
          </w:tcPr>
          <w:p>
            <w:pPr>
              <w:spacing w:after="0"/>
              <w:rPr>
                <w:sz w:val="17"/>
                <w:szCs w:val="17"/>
                <w:color w:val="auto"/>
              </w:rPr>
            </w:pPr>
          </w:p>
        </w:tc>
        <w:tc>
          <w:tcPr>
            <w:tcW w:w="4100" w:type="dxa"/>
            <w:vAlign w:val="bottom"/>
            <w:tcBorders>
              <w:bottom w:val="single" w:sz="8" w:color="231F20"/>
              <w:right w:val="single" w:sz="8" w:color="231F20"/>
            </w:tcBorders>
            <w:shd w:val="clear" w:color="auto" w:fill="EDF2F8"/>
          </w:tcPr>
          <w:p>
            <w:pPr>
              <w:ind w:left="100"/>
              <w:spacing w:after="0"/>
              <w:rPr>
                <w:sz w:val="20"/>
                <w:szCs w:val="20"/>
                <w:color w:val="auto"/>
              </w:rPr>
            </w:pPr>
            <w:r>
              <w:rPr>
                <w:rFonts w:ascii="Arial" w:cs="Arial" w:eastAsia="Arial" w:hAnsi="Arial"/>
                <w:sz w:val="15"/>
                <w:szCs w:val="15"/>
                <w:color w:val="231F20"/>
              </w:rPr>
              <w:t>market-based metrics</w:t>
            </w:r>
          </w:p>
        </w:tc>
        <w:tc>
          <w:tcPr>
            <w:tcW w:w="280" w:type="dxa"/>
            <w:vAlign w:val="bottom"/>
            <w:tcBorders>
              <w:bottom w:val="single" w:sz="8" w:color="231F20"/>
            </w:tcBorders>
            <w:shd w:val="clear" w:color="auto" w:fill="EDF2F8"/>
          </w:tcPr>
          <w:p>
            <w:pPr>
              <w:spacing w:after="0"/>
              <w:rPr>
                <w:sz w:val="17"/>
                <w:szCs w:val="17"/>
                <w:color w:val="auto"/>
              </w:rPr>
            </w:pPr>
          </w:p>
        </w:tc>
        <w:tc>
          <w:tcPr>
            <w:tcW w:w="4000" w:type="dxa"/>
            <w:vAlign w:val="bottom"/>
            <w:tcBorders>
              <w:bottom w:val="single" w:sz="8" w:color="231F20"/>
            </w:tcBorders>
            <w:shd w:val="clear" w:color="auto" w:fill="EDF2F8"/>
          </w:tcPr>
          <w:p>
            <w:pPr>
              <w:ind w:left="100"/>
              <w:spacing w:after="0"/>
              <w:rPr>
                <w:sz w:val="20"/>
                <w:szCs w:val="20"/>
                <w:color w:val="auto"/>
              </w:rPr>
            </w:pPr>
            <w:r>
              <w:rPr>
                <w:rFonts w:ascii="Arial" w:cs="Arial" w:eastAsia="Arial" w:hAnsi="Arial"/>
                <w:sz w:val="15"/>
                <w:szCs w:val="15"/>
                <w:color w:val="231F20"/>
              </w:rPr>
              <w:t>Committee</w:t>
            </w:r>
          </w:p>
        </w:tc>
      </w:tr>
    </w:tbl>
    <w:p>
      <w:pPr>
        <w:ind w:left="280"/>
        <w:spacing w:after="0" w:line="196" w:lineRule="exact"/>
        <w:tabs>
          <w:tab w:leader="none" w:pos="600" w:val="left"/>
        </w:tabs>
        <w:rPr>
          <w:sz w:val="20"/>
          <w:szCs w:val="20"/>
          <w:color w:val="auto"/>
        </w:rPr>
      </w:pPr>
      <w:r>
        <w:rPr>
          <w:rFonts w:ascii="MS PGothic" w:cs="MS PGothic" w:eastAsia="MS PGothic" w:hAnsi="MS PGothic"/>
          <w:sz w:val="17"/>
          <w:szCs w:val="17"/>
          <w:color w:val="9CBB58"/>
        </w:rPr>
        <w:t>✔</w:t>
      </w:r>
      <w:r>
        <w:rPr>
          <w:sz w:val="20"/>
          <w:szCs w:val="20"/>
          <w:color w:val="auto"/>
        </w:rPr>
        <w:tab/>
      </w:r>
      <w:r>
        <w:rPr>
          <w:rFonts w:ascii="Arial" w:cs="Arial" w:eastAsia="Arial" w:hAnsi="Arial"/>
          <w:sz w:val="14"/>
          <w:szCs w:val="14"/>
          <w:color w:val="auto"/>
        </w:rPr>
        <w:t>Clawback policy adopted by the Company as required by the Dodd-Frank Act and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102235</wp:posOffset>
            </wp:positionV>
            <wp:extent cx="5522595" cy="890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22595" cy="890905"/>
                    </a:xfrm>
                    <a:prstGeom prst="rect">
                      <a:avLst/>
                    </a:prstGeom>
                    <a:noFill/>
                  </pic:spPr>
                </pic:pic>
              </a:graphicData>
            </a:graphic>
          </wp:anchor>
        </w:drawing>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FFFFFF"/>
        </w:rPr>
        <w:t>What We Don’t Do</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64"/>
        </w:trPr>
        <w:tc>
          <w:tcPr>
            <w:tcW w:w="4420" w:type="dxa"/>
            <w:vAlign w:val="bottom"/>
            <w:tcBorders>
              <w:top w:val="single" w:sz="8" w:color="auto"/>
              <w:right w:val="single" w:sz="8" w:color="auto"/>
            </w:tcBorders>
            <w:shd w:val="clear" w:color="auto" w:fill="EDF2F8"/>
          </w:tcPr>
          <w:p>
            <w:pPr>
              <w:ind w:left="100"/>
              <w:spacing w:after="0" w:line="264" w:lineRule="exact"/>
              <w:rPr>
                <w:sz w:val="20"/>
                <w:szCs w:val="20"/>
                <w:color w:val="auto"/>
              </w:rPr>
            </w:pPr>
            <w:r>
              <w:rPr>
                <w:rFonts w:ascii="MS PGothic" w:cs="MS PGothic" w:eastAsia="MS PGothic" w:hAnsi="MS PGothic"/>
                <w:sz w:val="25"/>
                <w:szCs w:val="25"/>
                <w:color w:val="FF0000"/>
              </w:rPr>
              <w:t>✖</w:t>
            </w:r>
            <w:r>
              <w:rPr>
                <w:rFonts w:ascii="Arial" w:cs="Arial" w:eastAsia="Arial" w:hAnsi="Arial"/>
                <w:sz w:val="15"/>
                <w:szCs w:val="15"/>
                <w:color w:val="auto"/>
              </w:rPr>
              <w:t xml:space="preserve"> Allow directors and executive officers to hedge or pledge</w:t>
            </w:r>
          </w:p>
        </w:tc>
        <w:tc>
          <w:tcPr>
            <w:tcW w:w="4280" w:type="dxa"/>
            <w:vAlign w:val="bottom"/>
            <w:tcBorders>
              <w:top w:val="single" w:sz="8" w:color="auto"/>
            </w:tcBorders>
            <w:shd w:val="clear" w:color="auto" w:fill="EDF2F8"/>
          </w:tcPr>
          <w:p>
            <w:pPr>
              <w:ind w:left="80"/>
              <w:spacing w:after="0" w:line="264" w:lineRule="exact"/>
              <w:rPr>
                <w:sz w:val="20"/>
                <w:szCs w:val="20"/>
                <w:color w:val="auto"/>
              </w:rPr>
            </w:pPr>
            <w:r>
              <w:rPr>
                <w:rFonts w:ascii="MS PGothic" w:cs="MS PGothic" w:eastAsia="MS PGothic" w:hAnsi="MS PGothic"/>
                <w:sz w:val="25"/>
                <w:szCs w:val="25"/>
                <w:color w:val="FF0000"/>
              </w:rPr>
              <w:t>✖</w:t>
            </w:r>
            <w:r>
              <w:rPr>
                <w:rFonts w:ascii="Arial" w:cs="Arial" w:eastAsia="Arial" w:hAnsi="Arial"/>
                <w:sz w:val="15"/>
                <w:szCs w:val="15"/>
                <w:color w:val="auto"/>
              </w:rPr>
              <w:t xml:space="preserve"> Pay dividends on unvested Full Value or Restricted Stock</w:t>
            </w:r>
          </w:p>
        </w:tc>
      </w:tr>
      <w:tr>
        <w:trPr>
          <w:trHeight w:val="242"/>
        </w:trPr>
        <w:tc>
          <w:tcPr>
            <w:tcW w:w="4420" w:type="dxa"/>
            <w:vAlign w:val="bottom"/>
            <w:tcBorders>
              <w:bottom w:val="single" w:sz="8" w:color="EDF2F8"/>
              <w:right w:val="single" w:sz="8" w:color="auto"/>
            </w:tcBorders>
            <w:shd w:val="clear" w:color="auto" w:fill="EDF2F8"/>
          </w:tcPr>
          <w:p>
            <w:pPr>
              <w:ind w:left="440"/>
              <w:spacing w:after="0"/>
              <w:rPr>
                <w:sz w:val="20"/>
                <w:szCs w:val="20"/>
                <w:color w:val="auto"/>
              </w:rPr>
            </w:pPr>
            <w:r>
              <w:rPr>
                <w:rFonts w:ascii="Arial" w:cs="Arial" w:eastAsia="Arial" w:hAnsi="Arial"/>
                <w:sz w:val="15"/>
                <w:szCs w:val="15"/>
                <w:color w:val="auto"/>
              </w:rPr>
              <w:t>Company securities</w:t>
            </w:r>
          </w:p>
        </w:tc>
        <w:tc>
          <w:tcPr>
            <w:tcW w:w="4280" w:type="dxa"/>
            <w:vAlign w:val="bottom"/>
            <w:tcBorders>
              <w:bottom w:val="single" w:sz="8" w:color="EDF2F8"/>
            </w:tcBorders>
            <w:shd w:val="clear" w:color="auto" w:fill="EDF2F8"/>
          </w:tcPr>
          <w:p>
            <w:pPr>
              <w:ind w:left="400"/>
              <w:spacing w:after="0"/>
              <w:rPr>
                <w:sz w:val="20"/>
                <w:szCs w:val="20"/>
                <w:color w:val="auto"/>
              </w:rPr>
            </w:pPr>
            <w:r>
              <w:rPr>
                <w:rFonts w:ascii="Arial" w:cs="Arial" w:eastAsia="Arial" w:hAnsi="Arial"/>
                <w:sz w:val="15"/>
                <w:szCs w:val="15"/>
                <w:color w:val="auto"/>
              </w:rPr>
              <w:t>Awards</w:t>
            </w:r>
          </w:p>
        </w:tc>
      </w:tr>
      <w:tr>
        <w:trPr>
          <w:trHeight w:val="292"/>
        </w:trPr>
        <w:tc>
          <w:tcPr>
            <w:tcW w:w="4420" w:type="dxa"/>
            <w:vAlign w:val="bottom"/>
            <w:tcBorders>
              <w:top w:val="single" w:sz="8" w:color="auto"/>
              <w:bottom w:val="single" w:sz="8" w:color="auto"/>
              <w:right w:val="single" w:sz="8" w:color="auto"/>
            </w:tcBorders>
            <w:shd w:val="clear" w:color="auto" w:fill="EDF2F8"/>
          </w:tcPr>
          <w:p>
            <w:pPr>
              <w:ind w:left="100"/>
              <w:spacing w:after="0" w:line="288" w:lineRule="exact"/>
              <w:rPr>
                <w:sz w:val="20"/>
                <w:szCs w:val="20"/>
                <w:color w:val="auto"/>
              </w:rPr>
            </w:pPr>
            <w:r>
              <w:rPr>
                <w:rFonts w:ascii="MS PGothic" w:cs="MS PGothic" w:eastAsia="MS PGothic" w:hAnsi="MS PGothic"/>
                <w:sz w:val="25"/>
                <w:szCs w:val="25"/>
                <w:color w:val="FF0000"/>
              </w:rPr>
              <w:t>✖</w:t>
            </w:r>
            <w:r>
              <w:rPr>
                <w:rFonts w:ascii="Arial" w:cs="Arial" w:eastAsia="Arial" w:hAnsi="Arial"/>
                <w:sz w:val="15"/>
                <w:szCs w:val="15"/>
                <w:color w:val="auto"/>
              </w:rPr>
              <w:t xml:space="preserve"> Pay tax gross ups to our NEOs</w:t>
            </w:r>
          </w:p>
        </w:tc>
        <w:tc>
          <w:tcPr>
            <w:tcW w:w="4280" w:type="dxa"/>
            <w:vAlign w:val="bottom"/>
            <w:tcBorders>
              <w:top w:val="single" w:sz="8" w:color="auto"/>
              <w:bottom w:val="single" w:sz="8" w:color="auto"/>
            </w:tcBorders>
            <w:shd w:val="clear" w:color="auto" w:fill="EDF2F8"/>
          </w:tcPr>
          <w:p>
            <w:pPr>
              <w:ind w:left="80"/>
              <w:spacing w:after="0" w:line="288" w:lineRule="exact"/>
              <w:rPr>
                <w:sz w:val="20"/>
                <w:szCs w:val="20"/>
                <w:color w:val="auto"/>
              </w:rPr>
            </w:pPr>
            <w:r>
              <w:rPr>
                <w:rFonts w:ascii="MS PGothic" w:cs="MS PGothic" w:eastAsia="MS PGothic" w:hAnsi="MS PGothic"/>
                <w:sz w:val="25"/>
                <w:szCs w:val="25"/>
                <w:color w:val="FF0000"/>
              </w:rPr>
              <w:t>✖</w:t>
            </w:r>
            <w:r>
              <w:rPr>
                <w:rFonts w:ascii="Arial" w:cs="Arial" w:eastAsia="Arial" w:hAnsi="Arial"/>
                <w:sz w:val="15"/>
                <w:szCs w:val="15"/>
                <w:color w:val="auto"/>
              </w:rPr>
              <w:t xml:space="preserve"> Pay above market interest on deferred compensation</w:t>
            </w:r>
          </w:p>
        </w:tc>
      </w:tr>
      <w:tr>
        <w:trPr>
          <w:trHeight w:val="292"/>
        </w:trPr>
        <w:tc>
          <w:tcPr>
            <w:tcW w:w="4420" w:type="dxa"/>
            <w:vAlign w:val="bottom"/>
            <w:tcBorders>
              <w:right w:val="single" w:sz="8" w:color="EDF2F8"/>
            </w:tcBorders>
            <w:shd w:val="clear" w:color="auto" w:fill="EDF2F8"/>
          </w:tcPr>
          <w:p>
            <w:pPr>
              <w:ind w:left="100"/>
              <w:spacing w:after="0" w:line="288" w:lineRule="exact"/>
              <w:rPr>
                <w:sz w:val="20"/>
                <w:szCs w:val="20"/>
                <w:color w:val="auto"/>
              </w:rPr>
            </w:pPr>
            <w:r>
              <w:rPr>
                <w:rFonts w:ascii="MS PGothic" w:cs="MS PGothic" w:eastAsia="MS PGothic" w:hAnsi="MS PGothic"/>
                <w:sz w:val="25"/>
                <w:szCs w:val="25"/>
                <w:color w:val="FF0000"/>
              </w:rPr>
              <w:t>✖</w:t>
            </w:r>
            <w:r>
              <w:rPr>
                <w:rFonts w:ascii="Arial" w:cs="Arial" w:eastAsia="Arial" w:hAnsi="Arial"/>
                <w:sz w:val="15"/>
                <w:szCs w:val="15"/>
                <w:color w:val="auto"/>
              </w:rPr>
              <w:t xml:space="preserve"> Allow option repricing without stockholder approval</w:t>
            </w:r>
          </w:p>
        </w:tc>
        <w:tc>
          <w:tcPr>
            <w:tcW w:w="4280" w:type="dxa"/>
            <w:vAlign w:val="bottom"/>
            <w:shd w:val="clear" w:color="auto" w:fill="EDF2F8"/>
          </w:tcPr>
          <w:p>
            <w:pPr>
              <w:spacing w:after="0"/>
              <w:rPr>
                <w:sz w:val="24"/>
                <w:szCs w:val="24"/>
                <w:color w:val="auto"/>
              </w:rPr>
            </w:pPr>
          </w:p>
        </w:tc>
      </w:tr>
    </w:tbl>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Elements and Performance Metrics</w:t>
      </w:r>
    </w:p>
    <w:p>
      <w:pPr>
        <w:spacing w:after="0" w:line="111"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The Compensation Committee seeks to achieve an appropriate balance between fixed and variable compensation elements to link a significant proportion of compensation to performance. The elements are designed to provide incentive for our NEOs to achieve goals that are important to the Company’s success. No element of compensation is driven exclusively by tax, accounting or regulatory considerations. Further information on each of the key components of compensation is given in the Elements of Pay section below.</w:t>
      </w:r>
    </w:p>
    <w:p>
      <w:pPr>
        <w:spacing w:after="0" w:line="77" w:lineRule="exact"/>
        <w:rPr>
          <w:sz w:val="20"/>
          <w:szCs w:val="20"/>
          <w:color w:val="auto"/>
        </w:rPr>
      </w:pPr>
    </w:p>
    <w:tbl>
      <w:tblPr>
        <w:tblLayout w:type="fixed"/>
        <w:tblInd w:w="210" w:type="dxa"/>
        <w:tblCellMar>
          <w:top w:w="0" w:type="dxa"/>
          <w:left w:w="0" w:type="dxa"/>
          <w:bottom w:w="0" w:type="dxa"/>
          <w:right w:w="0" w:type="dxa"/>
        </w:tblCellMar>
      </w:tblPr>
      <w:tr>
        <w:trPr>
          <w:trHeight w:val="233"/>
        </w:trPr>
        <w:tc>
          <w:tcPr>
            <w:tcW w:w="2580" w:type="dxa"/>
            <w:vAlign w:val="bottom"/>
            <w:tcBorders>
              <w:top w:val="single" w:sz="8" w:color="auto"/>
              <w:left w:val="single" w:sz="8" w:color="auto"/>
              <w:right w:val="single" w:sz="8" w:color="auto"/>
            </w:tcBorders>
            <w:shd w:val="clear" w:color="auto" w:fill="4F81BD"/>
          </w:tcPr>
          <w:p>
            <w:pPr>
              <w:ind w:left="540"/>
              <w:spacing w:after="0"/>
              <w:rPr>
                <w:sz w:val="20"/>
                <w:szCs w:val="20"/>
                <w:color w:val="auto"/>
              </w:rPr>
            </w:pPr>
            <w:r>
              <w:rPr>
                <w:rFonts w:ascii="Arial" w:cs="Arial" w:eastAsia="Arial" w:hAnsi="Arial"/>
                <w:sz w:val="13"/>
                <w:szCs w:val="13"/>
                <w:b w:val="1"/>
                <w:bCs w:val="1"/>
                <w:color w:val="FFFFFF"/>
              </w:rPr>
              <w:t>Compensation Element</w:t>
            </w:r>
          </w:p>
        </w:tc>
        <w:tc>
          <w:tcPr>
            <w:tcW w:w="26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Performance Metrics for</w:t>
            </w:r>
          </w:p>
        </w:tc>
        <w:tc>
          <w:tcPr>
            <w:tcW w:w="3520" w:type="dxa"/>
            <w:vAlign w:val="bottom"/>
            <w:tcBorders>
              <w:top w:val="single" w:sz="8" w:color="auto"/>
              <w:right w:val="single" w:sz="8" w:color="auto"/>
            </w:tcBorders>
            <w:shd w:val="clear" w:color="auto" w:fill="4F81BD"/>
          </w:tcPr>
          <w:p>
            <w:pPr>
              <w:ind w:left="1440"/>
              <w:spacing w:after="0"/>
              <w:rPr>
                <w:sz w:val="20"/>
                <w:szCs w:val="20"/>
                <w:color w:val="auto"/>
              </w:rPr>
            </w:pPr>
            <w:r>
              <w:rPr>
                <w:rFonts w:ascii="Arial" w:cs="Arial" w:eastAsia="Arial" w:hAnsi="Arial"/>
                <w:sz w:val="13"/>
                <w:szCs w:val="13"/>
                <w:b w:val="1"/>
                <w:bCs w:val="1"/>
                <w:color w:val="FFFFFF"/>
              </w:rPr>
              <w:t>Rationale</w:t>
            </w:r>
          </w:p>
        </w:tc>
      </w:tr>
      <w:tr>
        <w:trPr>
          <w:trHeight w:val="229"/>
        </w:trPr>
        <w:tc>
          <w:tcPr>
            <w:tcW w:w="2580" w:type="dxa"/>
            <w:vAlign w:val="bottom"/>
            <w:tcBorders>
              <w:left w:val="single" w:sz="8" w:color="auto"/>
              <w:bottom w:val="single" w:sz="8" w:color="4F81BD"/>
              <w:right w:val="single" w:sz="8" w:color="auto"/>
            </w:tcBorders>
            <w:shd w:val="clear" w:color="auto" w:fill="4F81BD"/>
          </w:tcPr>
          <w:p>
            <w:pPr>
              <w:spacing w:after="0"/>
              <w:rPr>
                <w:sz w:val="19"/>
                <w:szCs w:val="19"/>
                <w:color w:val="auto"/>
              </w:rPr>
            </w:pPr>
          </w:p>
        </w:tc>
        <w:tc>
          <w:tcPr>
            <w:tcW w:w="260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Grants in 2025</w:t>
            </w:r>
          </w:p>
        </w:tc>
        <w:tc>
          <w:tcPr>
            <w:tcW w:w="3520" w:type="dxa"/>
            <w:vAlign w:val="bottom"/>
            <w:tcBorders>
              <w:bottom w:val="single" w:sz="8" w:color="4F81BD"/>
              <w:right w:val="single" w:sz="8" w:color="auto"/>
            </w:tcBorders>
            <w:shd w:val="clear" w:color="auto" w:fill="4F81BD"/>
          </w:tcPr>
          <w:p>
            <w:pPr>
              <w:spacing w:after="0"/>
              <w:rPr>
                <w:sz w:val="19"/>
                <w:szCs w:val="19"/>
                <w:color w:val="auto"/>
              </w:rPr>
            </w:pPr>
          </w:p>
        </w:tc>
      </w:tr>
      <w:tr>
        <w:trPr>
          <w:trHeight w:val="211"/>
        </w:trPr>
        <w:tc>
          <w:tcPr>
            <w:tcW w:w="258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Base Salary</w:t>
            </w:r>
          </w:p>
        </w:tc>
        <w:tc>
          <w:tcPr>
            <w:tcW w:w="2600" w:type="dxa"/>
            <w:vAlign w:val="bottom"/>
            <w:tcBorders>
              <w:top w:val="single" w:sz="8" w:color="auto"/>
              <w:right w:val="single" w:sz="8" w:color="auto"/>
            </w:tcBorders>
            <w:shd w:val="clear" w:color="auto" w:fill="EDF2F8"/>
          </w:tcPr>
          <w:p>
            <w:pPr>
              <w:spacing w:after="0"/>
              <w:rPr>
                <w:sz w:val="18"/>
                <w:szCs w:val="18"/>
                <w:color w:val="auto"/>
              </w:rPr>
            </w:pPr>
          </w:p>
        </w:tc>
        <w:tc>
          <w:tcPr>
            <w:tcW w:w="352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Fixed component of pay based on specific position</w:t>
            </w:r>
          </w:p>
        </w:tc>
      </w:tr>
      <w:tr>
        <w:trPr>
          <w:trHeight w:val="301"/>
        </w:trPr>
        <w:tc>
          <w:tcPr>
            <w:tcW w:w="2580" w:type="dxa"/>
            <w:vAlign w:val="bottom"/>
            <w:tcBorders>
              <w:left w:val="single" w:sz="8" w:color="auto"/>
              <w:right w:val="single" w:sz="8" w:color="auto"/>
            </w:tcBorders>
            <w:shd w:val="clear" w:color="auto" w:fill="EDF2F8"/>
          </w:tcPr>
          <w:p>
            <w:pPr>
              <w:spacing w:after="0"/>
              <w:rPr>
                <w:sz w:val="24"/>
                <w:szCs w:val="24"/>
                <w:color w:val="auto"/>
              </w:rPr>
            </w:pPr>
          </w:p>
        </w:tc>
        <w:tc>
          <w:tcPr>
            <w:tcW w:w="2600" w:type="dxa"/>
            <w:vAlign w:val="bottom"/>
            <w:tcBorders>
              <w:right w:val="single" w:sz="8" w:color="auto"/>
            </w:tcBorders>
            <w:shd w:val="clear" w:color="auto" w:fill="EDF2F8"/>
          </w:tcPr>
          <w:p>
            <w:pPr>
              <w:spacing w:after="0"/>
              <w:rPr>
                <w:sz w:val="24"/>
                <w:szCs w:val="24"/>
                <w:color w:val="auto"/>
              </w:rPr>
            </w:pPr>
          </w:p>
        </w:tc>
        <w:tc>
          <w:tcPr>
            <w:tcW w:w="352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Salary ranges determined by job responsibilities and</w:t>
            </w:r>
          </w:p>
        </w:tc>
      </w:tr>
      <w:tr>
        <w:trPr>
          <w:trHeight w:val="178"/>
        </w:trPr>
        <w:tc>
          <w:tcPr>
            <w:tcW w:w="2580" w:type="dxa"/>
            <w:vAlign w:val="bottom"/>
            <w:tcBorders>
              <w:left w:val="single" w:sz="8" w:color="auto"/>
              <w:right w:val="single" w:sz="8" w:color="auto"/>
            </w:tcBorders>
            <w:shd w:val="clear" w:color="auto" w:fill="EDF2F8"/>
          </w:tcPr>
          <w:p>
            <w:pPr>
              <w:spacing w:after="0"/>
              <w:rPr>
                <w:sz w:val="15"/>
                <w:szCs w:val="15"/>
                <w:color w:val="auto"/>
              </w:rPr>
            </w:pPr>
          </w:p>
        </w:tc>
        <w:tc>
          <w:tcPr>
            <w:tcW w:w="2600" w:type="dxa"/>
            <w:vAlign w:val="bottom"/>
            <w:tcBorders>
              <w:right w:val="single" w:sz="8" w:color="auto"/>
            </w:tcBorders>
            <w:shd w:val="clear" w:color="auto" w:fill="EDF2F8"/>
          </w:tcPr>
          <w:p>
            <w:pPr>
              <w:spacing w:after="0"/>
              <w:rPr>
                <w:sz w:val="15"/>
                <w:szCs w:val="15"/>
                <w:color w:val="auto"/>
              </w:rPr>
            </w:pPr>
          </w:p>
        </w:tc>
        <w:tc>
          <w:tcPr>
            <w:tcW w:w="352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performance, and reference to Comparator Group data</w:t>
            </w:r>
          </w:p>
        </w:tc>
      </w:tr>
      <w:tr>
        <w:trPr>
          <w:trHeight w:val="248"/>
        </w:trPr>
        <w:tc>
          <w:tcPr>
            <w:tcW w:w="2580" w:type="dxa"/>
            <w:vAlign w:val="bottom"/>
            <w:tcBorders>
              <w:left w:val="single" w:sz="8" w:color="auto"/>
              <w:bottom w:val="single" w:sz="8" w:color="auto"/>
              <w:right w:val="single" w:sz="8" w:color="auto"/>
            </w:tcBorders>
            <w:shd w:val="clear" w:color="auto" w:fill="EDF2F8"/>
          </w:tcPr>
          <w:p>
            <w:pPr>
              <w:spacing w:after="0"/>
              <w:rPr>
                <w:sz w:val="21"/>
                <w:szCs w:val="21"/>
                <w:color w:val="auto"/>
              </w:rPr>
            </w:pPr>
          </w:p>
        </w:tc>
        <w:tc>
          <w:tcPr>
            <w:tcW w:w="2600" w:type="dxa"/>
            <w:vAlign w:val="bottom"/>
            <w:tcBorders>
              <w:bottom w:val="single" w:sz="8" w:color="auto"/>
              <w:right w:val="single" w:sz="8" w:color="auto"/>
            </w:tcBorders>
            <w:shd w:val="clear" w:color="auto" w:fill="EDF2F8"/>
          </w:tcPr>
          <w:p>
            <w:pPr>
              <w:spacing w:after="0"/>
              <w:rPr>
                <w:sz w:val="21"/>
                <w:szCs w:val="21"/>
                <w:color w:val="auto"/>
              </w:rPr>
            </w:pPr>
          </w:p>
        </w:tc>
        <w:tc>
          <w:tcPr>
            <w:tcW w:w="3520" w:type="dxa"/>
            <w:vAlign w:val="bottom"/>
            <w:tcBorders>
              <w:bottom w:val="single" w:sz="8" w:color="auto"/>
              <w:right w:val="single" w:sz="8" w:color="auto"/>
            </w:tcBorders>
            <w:shd w:val="clear" w:color="auto" w:fill="EDF2F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3019425</wp:posOffset>
            </wp:positionV>
            <wp:extent cx="297180" cy="290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1" w:name="page62"/>
    <w:bookmarkEnd w:id="61"/>
    <w:p>
      <w:pPr>
        <w:spacing w:after="0" w:line="150" w:lineRule="exact"/>
        <w:rPr>
          <w:sz w:val="20"/>
          <w:szCs w:val="20"/>
          <w:color w:val="auto"/>
        </w:rPr>
      </w:pPr>
    </w:p>
    <w:tbl>
      <w:tblPr>
        <w:tblLayout w:type="fixed"/>
        <w:tblInd w:w="210" w:type="dxa"/>
        <w:tblCellMar>
          <w:top w:w="0" w:type="dxa"/>
          <w:left w:w="0" w:type="dxa"/>
          <w:bottom w:w="0" w:type="dxa"/>
          <w:right w:w="0" w:type="dxa"/>
        </w:tblCellMar>
      </w:tblPr>
      <w:tr>
        <w:trPr>
          <w:trHeight w:val="233"/>
        </w:trPr>
        <w:tc>
          <w:tcPr>
            <w:tcW w:w="2580" w:type="dxa"/>
            <w:vAlign w:val="bottom"/>
            <w:tcBorders>
              <w:top w:val="single" w:sz="8" w:color="auto"/>
              <w:left w:val="single" w:sz="8" w:color="auto"/>
              <w:right w:val="single" w:sz="8" w:color="auto"/>
            </w:tcBorders>
            <w:shd w:val="clear" w:color="auto" w:fill="4F81BD"/>
          </w:tcPr>
          <w:p>
            <w:pPr>
              <w:ind w:left="540"/>
              <w:spacing w:after="0"/>
              <w:rPr>
                <w:sz w:val="20"/>
                <w:szCs w:val="20"/>
                <w:color w:val="auto"/>
              </w:rPr>
            </w:pPr>
            <w:r>
              <w:rPr>
                <w:rFonts w:ascii="Arial" w:cs="Arial" w:eastAsia="Arial" w:hAnsi="Arial"/>
                <w:sz w:val="13"/>
                <w:szCs w:val="13"/>
                <w:b w:val="1"/>
                <w:bCs w:val="1"/>
                <w:color w:val="FFFFFF"/>
              </w:rPr>
              <w:t>Compensation Element</w:t>
            </w:r>
          </w:p>
        </w:tc>
        <w:tc>
          <w:tcPr>
            <w:tcW w:w="220" w:type="dxa"/>
            <w:vAlign w:val="bottom"/>
            <w:tcBorders>
              <w:top w:val="single" w:sz="8" w:color="auto"/>
            </w:tcBorders>
            <w:shd w:val="clear" w:color="auto" w:fill="4F81BD"/>
          </w:tcPr>
          <w:p>
            <w:pPr>
              <w:spacing w:after="0"/>
              <w:rPr>
                <w:sz w:val="20"/>
                <w:szCs w:val="20"/>
                <w:color w:val="auto"/>
              </w:rPr>
            </w:pPr>
          </w:p>
        </w:tc>
        <w:tc>
          <w:tcPr>
            <w:tcW w:w="2380" w:type="dxa"/>
            <w:vAlign w:val="bottom"/>
            <w:tcBorders>
              <w:top w:val="single" w:sz="8" w:color="auto"/>
              <w:right w:val="single" w:sz="8" w:color="auto"/>
            </w:tcBorders>
            <w:shd w:val="clear" w:color="auto" w:fill="4F81BD"/>
          </w:tcPr>
          <w:p>
            <w:pPr>
              <w:ind w:left="300"/>
              <w:spacing w:after="0"/>
              <w:rPr>
                <w:sz w:val="20"/>
                <w:szCs w:val="20"/>
                <w:color w:val="auto"/>
              </w:rPr>
            </w:pPr>
            <w:r>
              <w:rPr>
                <w:rFonts w:ascii="Arial" w:cs="Arial" w:eastAsia="Arial" w:hAnsi="Arial"/>
                <w:sz w:val="13"/>
                <w:szCs w:val="13"/>
                <w:b w:val="1"/>
                <w:bCs w:val="1"/>
                <w:color w:val="FFFFFF"/>
              </w:rPr>
              <w:t>Performance Metrics for</w:t>
            </w:r>
          </w:p>
        </w:tc>
        <w:tc>
          <w:tcPr>
            <w:tcW w:w="3520" w:type="dxa"/>
            <w:vAlign w:val="bottom"/>
            <w:tcBorders>
              <w:top w:val="single" w:sz="8" w:color="auto"/>
              <w:right w:val="single" w:sz="8" w:color="auto"/>
            </w:tcBorders>
            <w:shd w:val="clear" w:color="auto" w:fill="4F81BD"/>
          </w:tcPr>
          <w:p>
            <w:pPr>
              <w:ind w:left="1440"/>
              <w:spacing w:after="0"/>
              <w:rPr>
                <w:sz w:val="20"/>
                <w:szCs w:val="20"/>
                <w:color w:val="auto"/>
              </w:rPr>
            </w:pPr>
            <w:r>
              <w:rPr>
                <w:rFonts w:ascii="Arial" w:cs="Arial" w:eastAsia="Arial" w:hAnsi="Arial"/>
                <w:sz w:val="13"/>
                <w:szCs w:val="13"/>
                <w:b w:val="1"/>
                <w:bCs w:val="1"/>
                <w:color w:val="FFFFFF"/>
              </w:rPr>
              <w:t>Rationale</w:t>
            </w:r>
          </w:p>
        </w:tc>
        <w:tc>
          <w:tcPr>
            <w:tcW w:w="0" w:type="dxa"/>
            <w:vAlign w:val="bottom"/>
          </w:tcPr>
          <w:p>
            <w:pPr>
              <w:spacing w:after="0"/>
              <w:rPr>
                <w:sz w:val="1"/>
                <w:szCs w:val="1"/>
                <w:color w:val="auto"/>
              </w:rPr>
            </w:pPr>
          </w:p>
        </w:tc>
      </w:tr>
      <w:tr>
        <w:trPr>
          <w:trHeight w:val="229"/>
        </w:trPr>
        <w:tc>
          <w:tcPr>
            <w:tcW w:w="2580" w:type="dxa"/>
            <w:vAlign w:val="bottom"/>
            <w:tcBorders>
              <w:left w:val="single" w:sz="8" w:color="auto"/>
              <w:bottom w:val="single" w:sz="8" w:color="4F81BD"/>
              <w:right w:val="single" w:sz="8" w:color="auto"/>
            </w:tcBorders>
            <w:shd w:val="clear" w:color="auto" w:fill="4F81BD"/>
          </w:tcPr>
          <w:p>
            <w:pPr>
              <w:spacing w:after="0"/>
              <w:rPr>
                <w:sz w:val="19"/>
                <w:szCs w:val="19"/>
                <w:color w:val="auto"/>
              </w:rPr>
            </w:pPr>
          </w:p>
        </w:tc>
        <w:tc>
          <w:tcPr>
            <w:tcW w:w="220" w:type="dxa"/>
            <w:vAlign w:val="bottom"/>
            <w:tcBorders>
              <w:bottom w:val="single" w:sz="8" w:color="4F81BD"/>
            </w:tcBorders>
            <w:shd w:val="clear" w:color="auto" w:fill="4F81BD"/>
          </w:tcPr>
          <w:p>
            <w:pPr>
              <w:spacing w:after="0"/>
              <w:rPr>
                <w:sz w:val="19"/>
                <w:szCs w:val="19"/>
                <w:color w:val="auto"/>
              </w:rPr>
            </w:pPr>
          </w:p>
        </w:tc>
        <w:tc>
          <w:tcPr>
            <w:tcW w:w="2380" w:type="dxa"/>
            <w:vAlign w:val="bottom"/>
            <w:tcBorders>
              <w:bottom w:val="single" w:sz="8" w:color="4F81BD"/>
              <w:right w:val="single" w:sz="8" w:color="auto"/>
            </w:tcBorders>
            <w:shd w:val="clear" w:color="auto" w:fill="4F81BD"/>
          </w:tcPr>
          <w:p>
            <w:pPr>
              <w:ind w:left="600"/>
              <w:spacing w:after="0"/>
              <w:rPr>
                <w:sz w:val="20"/>
                <w:szCs w:val="20"/>
                <w:color w:val="auto"/>
              </w:rPr>
            </w:pPr>
            <w:r>
              <w:rPr>
                <w:rFonts w:ascii="Arial" w:cs="Arial" w:eastAsia="Arial" w:hAnsi="Arial"/>
                <w:sz w:val="13"/>
                <w:szCs w:val="13"/>
                <w:b w:val="1"/>
                <w:bCs w:val="1"/>
                <w:color w:val="FFFFFF"/>
              </w:rPr>
              <w:t>Grants in 2025</w:t>
            </w:r>
          </w:p>
        </w:tc>
        <w:tc>
          <w:tcPr>
            <w:tcW w:w="3520" w:type="dxa"/>
            <w:vAlign w:val="bottom"/>
            <w:tcBorders>
              <w:bottom w:val="single" w:sz="8" w:color="4F81BD"/>
              <w:right w:val="single" w:sz="8" w:color="auto"/>
            </w:tcBorders>
            <w:shd w:val="clear" w:color="auto" w:fill="4F81BD"/>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8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Management Incentive Compensation</w:t>
            </w:r>
          </w:p>
        </w:tc>
        <w:tc>
          <w:tcPr>
            <w:tcW w:w="220" w:type="dxa"/>
            <w:vAlign w:val="bottom"/>
            <w:tcBorders>
              <w:top w:val="single" w:sz="8" w:color="auto"/>
            </w:tcBorders>
            <w:shd w:val="clear" w:color="auto" w:fill="EDF2F8"/>
          </w:tcPr>
          <w:p>
            <w:pPr>
              <w:ind w:left="80"/>
              <w:spacing w:after="0"/>
              <w:rPr>
                <w:sz w:val="20"/>
                <w:szCs w:val="20"/>
                <w:color w:val="auto"/>
              </w:rPr>
            </w:pPr>
            <w:r>
              <w:rPr>
                <w:rFonts w:ascii="Arial" w:cs="Arial" w:eastAsia="Arial" w:hAnsi="Arial"/>
                <w:sz w:val="15"/>
                <w:szCs w:val="15"/>
                <w:color w:val="auto"/>
              </w:rPr>
              <w:t>•</w:t>
            </w:r>
          </w:p>
        </w:tc>
        <w:tc>
          <w:tcPr>
            <w:tcW w:w="238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80% Corporate/Business</w:t>
            </w:r>
          </w:p>
        </w:tc>
        <w:tc>
          <w:tcPr>
            <w:tcW w:w="352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Rewards operational performance and profitability</w:t>
            </w:r>
          </w:p>
        </w:tc>
        <w:tc>
          <w:tcPr>
            <w:tcW w:w="0" w:type="dxa"/>
            <w:vAlign w:val="bottom"/>
          </w:tcPr>
          <w:p>
            <w:pPr>
              <w:spacing w:after="0"/>
              <w:rPr>
                <w:sz w:val="1"/>
                <w:szCs w:val="1"/>
                <w:color w:val="auto"/>
              </w:rPr>
            </w:pPr>
          </w:p>
        </w:tc>
      </w:tr>
      <w:tr>
        <w:trPr>
          <w:trHeight w:val="175"/>
        </w:trPr>
        <w:tc>
          <w:tcPr>
            <w:tcW w:w="258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Plan (MICP - annual cash incentive)</w:t>
            </w:r>
          </w:p>
        </w:tc>
        <w:tc>
          <w:tcPr>
            <w:tcW w:w="220" w:type="dxa"/>
            <w:vAlign w:val="bottom"/>
            <w:shd w:val="clear" w:color="auto" w:fill="EDF2F8"/>
          </w:tcPr>
          <w:p>
            <w:pPr>
              <w:spacing w:after="0"/>
              <w:rPr>
                <w:sz w:val="15"/>
                <w:szCs w:val="15"/>
                <w:color w:val="auto"/>
              </w:rPr>
            </w:pPr>
          </w:p>
        </w:tc>
        <w:tc>
          <w:tcPr>
            <w:tcW w:w="238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performance (Operating Income,</w:t>
            </w:r>
          </w:p>
        </w:tc>
        <w:tc>
          <w:tcPr>
            <w:tcW w:w="3520" w:type="dxa"/>
            <w:vAlign w:val="bottom"/>
            <w:tcBorders>
              <w:right w:val="single" w:sz="8" w:color="auto"/>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Rewards achievement of personal objectives relative to</w:t>
            </w:r>
          </w:p>
        </w:tc>
        <w:tc>
          <w:tcPr>
            <w:tcW w:w="0" w:type="dxa"/>
            <w:vAlign w:val="bottom"/>
          </w:tcPr>
          <w:p>
            <w:pPr>
              <w:spacing w:after="0"/>
              <w:rPr>
                <w:sz w:val="1"/>
                <w:szCs w:val="1"/>
                <w:color w:val="auto"/>
              </w:rPr>
            </w:pPr>
          </w:p>
        </w:tc>
      </w:tr>
      <w:tr>
        <w:trPr>
          <w:trHeight w:val="122"/>
        </w:trPr>
        <w:tc>
          <w:tcPr>
            <w:tcW w:w="2580" w:type="dxa"/>
            <w:vAlign w:val="bottom"/>
            <w:tcBorders>
              <w:left w:val="single" w:sz="8" w:color="auto"/>
              <w:right w:val="single" w:sz="8" w:color="auto"/>
            </w:tcBorders>
            <w:shd w:val="clear" w:color="auto" w:fill="EDF2F8"/>
          </w:tcPr>
          <w:p>
            <w:pPr>
              <w:spacing w:after="0"/>
              <w:rPr>
                <w:sz w:val="10"/>
                <w:szCs w:val="10"/>
                <w:color w:val="auto"/>
              </w:rPr>
            </w:pPr>
          </w:p>
        </w:tc>
        <w:tc>
          <w:tcPr>
            <w:tcW w:w="220" w:type="dxa"/>
            <w:vAlign w:val="bottom"/>
            <w:shd w:val="clear" w:color="auto" w:fill="EDF2F8"/>
          </w:tcPr>
          <w:p>
            <w:pPr>
              <w:spacing w:after="0"/>
              <w:rPr>
                <w:sz w:val="10"/>
                <w:szCs w:val="10"/>
                <w:color w:val="auto"/>
              </w:rPr>
            </w:pPr>
          </w:p>
        </w:tc>
        <w:tc>
          <w:tcPr>
            <w:tcW w:w="2380" w:type="dxa"/>
            <w:vAlign w:val="bottom"/>
            <w:tcBorders>
              <w:right w:val="single" w:sz="8" w:color="auto"/>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Cash Flow)</w:t>
            </w:r>
          </w:p>
        </w:tc>
        <w:tc>
          <w:tcPr>
            <w:tcW w:w="3520" w:type="dxa"/>
            <w:vAlign w:val="bottom"/>
            <w:tcBorders>
              <w:right w:val="single" w:sz="8" w:color="auto"/>
            </w:tcBorders>
            <w:vMerge w:val="continue"/>
            <w:shd w:val="clear" w:color="auto" w:fill="EDF2F8"/>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580" w:type="dxa"/>
            <w:vAlign w:val="bottom"/>
            <w:tcBorders>
              <w:left w:val="single" w:sz="8" w:color="auto"/>
              <w:right w:val="single" w:sz="8" w:color="auto"/>
            </w:tcBorders>
            <w:shd w:val="clear" w:color="auto" w:fill="EDF2F8"/>
          </w:tcPr>
          <w:p>
            <w:pPr>
              <w:spacing w:after="0"/>
              <w:rPr>
                <w:sz w:val="4"/>
                <w:szCs w:val="4"/>
                <w:color w:val="auto"/>
              </w:rPr>
            </w:pPr>
          </w:p>
        </w:tc>
        <w:tc>
          <w:tcPr>
            <w:tcW w:w="220" w:type="dxa"/>
            <w:vAlign w:val="bottom"/>
            <w:shd w:val="clear" w:color="auto" w:fill="EDF2F8"/>
          </w:tcPr>
          <w:p>
            <w:pPr>
              <w:spacing w:after="0"/>
              <w:rPr>
                <w:sz w:val="4"/>
                <w:szCs w:val="4"/>
                <w:color w:val="auto"/>
              </w:rPr>
            </w:pPr>
          </w:p>
        </w:tc>
        <w:tc>
          <w:tcPr>
            <w:tcW w:w="2380" w:type="dxa"/>
            <w:vAlign w:val="bottom"/>
            <w:tcBorders>
              <w:right w:val="single" w:sz="8" w:color="auto"/>
            </w:tcBorders>
            <w:vMerge w:val="continue"/>
            <w:shd w:val="clear" w:color="auto" w:fill="EDF2F8"/>
          </w:tcPr>
          <w:p>
            <w:pPr>
              <w:spacing w:after="0"/>
              <w:rPr>
                <w:sz w:val="4"/>
                <w:szCs w:val="4"/>
                <w:color w:val="auto"/>
              </w:rPr>
            </w:pPr>
          </w:p>
        </w:tc>
        <w:tc>
          <w:tcPr>
            <w:tcW w:w="3520" w:type="dxa"/>
            <w:vAlign w:val="bottom"/>
            <w:tcBorders>
              <w:right w:val="single" w:sz="8" w:color="auto"/>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current economic and business challenges</w:t>
            </w:r>
          </w:p>
        </w:tc>
        <w:tc>
          <w:tcPr>
            <w:tcW w:w="0" w:type="dxa"/>
            <w:vAlign w:val="bottom"/>
          </w:tcPr>
          <w:p>
            <w:pPr>
              <w:spacing w:after="0"/>
              <w:rPr>
                <w:sz w:val="1"/>
                <w:szCs w:val="1"/>
                <w:color w:val="auto"/>
              </w:rPr>
            </w:pPr>
          </w:p>
        </w:tc>
      </w:tr>
      <w:tr>
        <w:trPr>
          <w:trHeight w:val="122"/>
        </w:trPr>
        <w:tc>
          <w:tcPr>
            <w:tcW w:w="2580" w:type="dxa"/>
            <w:vAlign w:val="bottom"/>
            <w:tcBorders>
              <w:left w:val="single" w:sz="8" w:color="auto"/>
              <w:right w:val="single" w:sz="8" w:color="auto"/>
            </w:tcBorders>
            <w:shd w:val="clear" w:color="auto" w:fill="EDF2F8"/>
          </w:tcPr>
          <w:p>
            <w:pPr>
              <w:spacing w:after="0"/>
              <w:rPr>
                <w:sz w:val="10"/>
                <w:szCs w:val="10"/>
                <w:color w:val="auto"/>
              </w:rPr>
            </w:pPr>
          </w:p>
        </w:tc>
        <w:tc>
          <w:tcPr>
            <w:tcW w:w="2600" w:type="dxa"/>
            <w:vAlign w:val="bottom"/>
            <w:tcBorders>
              <w:right w:val="single" w:sz="8" w:color="auto"/>
            </w:tcBorders>
            <w:gridSpan w:val="2"/>
            <w:vMerge w:val="restart"/>
            <w:shd w:val="clear" w:color="auto" w:fill="EDF2F8"/>
          </w:tcPr>
          <w:p>
            <w:pPr>
              <w:ind w:left="8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3"/>
                <w:szCs w:val="13"/>
                <w:color w:val="auto"/>
              </w:rPr>
              <w:t>20% Performance against personal</w:t>
            </w:r>
          </w:p>
        </w:tc>
        <w:tc>
          <w:tcPr>
            <w:tcW w:w="3520" w:type="dxa"/>
            <w:vAlign w:val="bottom"/>
            <w:tcBorders>
              <w:right w:val="single" w:sz="8" w:color="auto"/>
            </w:tcBorders>
            <w:vMerge w:val="continue"/>
            <w:shd w:val="clear" w:color="auto" w:fill="EDF2F8"/>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80" w:type="dxa"/>
            <w:vAlign w:val="bottom"/>
            <w:tcBorders>
              <w:left w:val="single" w:sz="8" w:color="auto"/>
              <w:right w:val="single" w:sz="8" w:color="auto"/>
            </w:tcBorders>
            <w:shd w:val="clear" w:color="auto" w:fill="EDF2F8"/>
          </w:tcPr>
          <w:p>
            <w:pPr>
              <w:spacing w:after="0"/>
              <w:rPr>
                <w:sz w:val="15"/>
                <w:szCs w:val="15"/>
                <w:color w:val="auto"/>
              </w:rPr>
            </w:pPr>
          </w:p>
        </w:tc>
        <w:tc>
          <w:tcPr>
            <w:tcW w:w="2600" w:type="dxa"/>
            <w:vAlign w:val="bottom"/>
            <w:tcBorders>
              <w:right w:val="single" w:sz="8" w:color="auto"/>
            </w:tcBorders>
            <w:gridSpan w:val="2"/>
            <w:vMerge w:val="continue"/>
            <w:shd w:val="clear" w:color="auto" w:fill="EDF2F8"/>
          </w:tcPr>
          <w:p>
            <w:pPr>
              <w:spacing w:after="0"/>
              <w:rPr>
                <w:sz w:val="15"/>
                <w:szCs w:val="15"/>
                <w:color w:val="auto"/>
              </w:rPr>
            </w:pPr>
          </w:p>
        </w:tc>
        <w:tc>
          <w:tcPr>
            <w:tcW w:w="3520" w:type="dxa"/>
            <w:vAlign w:val="bottom"/>
            <w:tcBorders>
              <w:right w:val="single" w:sz="8" w:color="auto"/>
            </w:tcBorders>
            <w:shd w:val="clear" w:color="auto" w:fill="EDF2F8"/>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580" w:type="dxa"/>
            <w:vAlign w:val="bottom"/>
            <w:tcBorders>
              <w:left w:val="single" w:sz="8" w:color="auto"/>
              <w:bottom w:val="single" w:sz="8" w:color="EDF2F8"/>
              <w:right w:val="single" w:sz="8" w:color="auto"/>
            </w:tcBorders>
            <w:shd w:val="clear" w:color="auto" w:fill="EDF2F8"/>
          </w:tcPr>
          <w:p>
            <w:pPr>
              <w:spacing w:after="0"/>
              <w:rPr>
                <w:sz w:val="19"/>
                <w:szCs w:val="19"/>
                <w:color w:val="auto"/>
              </w:rPr>
            </w:pPr>
          </w:p>
        </w:tc>
        <w:tc>
          <w:tcPr>
            <w:tcW w:w="220" w:type="dxa"/>
            <w:vAlign w:val="bottom"/>
            <w:tcBorders>
              <w:bottom w:val="single" w:sz="8" w:color="EDF2F8"/>
            </w:tcBorders>
            <w:shd w:val="clear" w:color="auto" w:fill="EDF2F8"/>
          </w:tcPr>
          <w:p>
            <w:pPr>
              <w:spacing w:after="0"/>
              <w:rPr>
                <w:sz w:val="19"/>
                <w:szCs w:val="19"/>
                <w:color w:val="auto"/>
              </w:rPr>
            </w:pPr>
          </w:p>
        </w:tc>
        <w:tc>
          <w:tcPr>
            <w:tcW w:w="2380" w:type="dxa"/>
            <w:vAlign w:val="bottom"/>
            <w:tcBorders>
              <w:bottom w:val="single" w:sz="8" w:color="EDF2F8"/>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objectives</w:t>
            </w:r>
          </w:p>
        </w:tc>
        <w:tc>
          <w:tcPr>
            <w:tcW w:w="3520" w:type="dxa"/>
            <w:vAlign w:val="bottom"/>
            <w:tcBorders>
              <w:bottom w:val="single" w:sz="8" w:color="EDF2F8"/>
              <w:right w:val="single" w:sz="8" w:color="auto"/>
            </w:tcBorders>
            <w:shd w:val="clear" w:color="auto" w:fill="EDF2F8"/>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Time-based restricted stock units</w:t>
            </w:r>
          </w:p>
        </w:tc>
        <w:tc>
          <w:tcPr>
            <w:tcW w:w="220" w:type="dxa"/>
            <w:vAlign w:val="bottom"/>
            <w:tcBorders>
              <w:top w:val="single" w:sz="8" w:color="auto"/>
            </w:tcBorders>
            <w:shd w:val="clear" w:color="auto" w:fill="EDF2F8"/>
          </w:tcPr>
          <w:p>
            <w:pPr>
              <w:spacing w:after="0"/>
              <w:rPr>
                <w:sz w:val="18"/>
                <w:szCs w:val="18"/>
                <w:color w:val="auto"/>
              </w:rPr>
            </w:pPr>
          </w:p>
        </w:tc>
        <w:tc>
          <w:tcPr>
            <w:tcW w:w="2380" w:type="dxa"/>
            <w:vAlign w:val="bottom"/>
            <w:tcBorders>
              <w:top w:val="single" w:sz="8" w:color="auto"/>
              <w:right w:val="single" w:sz="8" w:color="auto"/>
            </w:tcBorders>
            <w:shd w:val="clear" w:color="auto" w:fill="EDF2F8"/>
          </w:tcPr>
          <w:p>
            <w:pPr>
              <w:spacing w:after="0"/>
              <w:rPr>
                <w:sz w:val="18"/>
                <w:szCs w:val="18"/>
                <w:color w:val="auto"/>
              </w:rPr>
            </w:pPr>
          </w:p>
        </w:tc>
        <w:tc>
          <w:tcPr>
            <w:tcW w:w="352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Increases retentive power and overall competitiveness</w:t>
            </w:r>
          </w:p>
        </w:tc>
        <w:tc>
          <w:tcPr>
            <w:tcW w:w="0" w:type="dxa"/>
            <w:vAlign w:val="bottom"/>
          </w:tcPr>
          <w:p>
            <w:pPr>
              <w:spacing w:after="0"/>
              <w:rPr>
                <w:sz w:val="1"/>
                <w:szCs w:val="1"/>
                <w:color w:val="auto"/>
              </w:rPr>
            </w:pPr>
          </w:p>
        </w:tc>
      </w:tr>
      <w:tr>
        <w:trPr>
          <w:trHeight w:val="178"/>
        </w:trPr>
        <w:tc>
          <w:tcPr>
            <w:tcW w:w="258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(“RSUs”) weighted at 30% of the</w:t>
            </w:r>
          </w:p>
        </w:tc>
        <w:tc>
          <w:tcPr>
            <w:tcW w:w="220" w:type="dxa"/>
            <w:vAlign w:val="bottom"/>
            <w:shd w:val="clear" w:color="auto" w:fill="EDF2F8"/>
          </w:tcPr>
          <w:p>
            <w:pPr>
              <w:spacing w:after="0"/>
              <w:rPr>
                <w:sz w:val="15"/>
                <w:szCs w:val="15"/>
                <w:color w:val="auto"/>
              </w:rPr>
            </w:pPr>
          </w:p>
        </w:tc>
        <w:tc>
          <w:tcPr>
            <w:tcW w:w="2380" w:type="dxa"/>
            <w:vAlign w:val="bottom"/>
            <w:tcBorders>
              <w:right w:val="single" w:sz="8" w:color="auto"/>
            </w:tcBorders>
            <w:shd w:val="clear" w:color="auto" w:fill="EDF2F8"/>
          </w:tcPr>
          <w:p>
            <w:pPr>
              <w:spacing w:after="0"/>
              <w:rPr>
                <w:sz w:val="15"/>
                <w:szCs w:val="15"/>
                <w:color w:val="auto"/>
              </w:rPr>
            </w:pPr>
          </w:p>
        </w:tc>
        <w:tc>
          <w:tcPr>
            <w:tcW w:w="352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of the Company’s long-term incentive program</w:t>
            </w:r>
          </w:p>
        </w:tc>
        <w:tc>
          <w:tcPr>
            <w:tcW w:w="0" w:type="dxa"/>
            <w:vAlign w:val="bottom"/>
          </w:tcPr>
          <w:p>
            <w:pPr>
              <w:spacing w:after="0"/>
              <w:rPr>
                <w:sz w:val="1"/>
                <w:szCs w:val="1"/>
                <w:color w:val="auto"/>
              </w:rPr>
            </w:pPr>
          </w:p>
        </w:tc>
      </w:tr>
      <w:tr>
        <w:trPr>
          <w:trHeight w:val="178"/>
        </w:trPr>
        <w:tc>
          <w:tcPr>
            <w:tcW w:w="258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targeted annual equity grant value</w:t>
            </w:r>
          </w:p>
        </w:tc>
        <w:tc>
          <w:tcPr>
            <w:tcW w:w="220" w:type="dxa"/>
            <w:vAlign w:val="bottom"/>
            <w:shd w:val="clear" w:color="auto" w:fill="EDF2F8"/>
          </w:tcPr>
          <w:p>
            <w:pPr>
              <w:spacing w:after="0"/>
              <w:rPr>
                <w:sz w:val="15"/>
                <w:szCs w:val="15"/>
                <w:color w:val="auto"/>
              </w:rPr>
            </w:pPr>
          </w:p>
        </w:tc>
        <w:tc>
          <w:tcPr>
            <w:tcW w:w="2380" w:type="dxa"/>
            <w:vAlign w:val="bottom"/>
            <w:tcBorders>
              <w:right w:val="single" w:sz="8" w:color="auto"/>
            </w:tcBorders>
            <w:shd w:val="clear" w:color="auto" w:fill="EDF2F8"/>
          </w:tcPr>
          <w:p>
            <w:pPr>
              <w:spacing w:after="0"/>
              <w:rPr>
                <w:sz w:val="15"/>
                <w:szCs w:val="15"/>
                <w:color w:val="auto"/>
              </w:rPr>
            </w:pPr>
          </w:p>
        </w:tc>
        <w:tc>
          <w:tcPr>
            <w:tcW w:w="3520" w:type="dxa"/>
            <w:vAlign w:val="bottom"/>
            <w:tcBorders>
              <w:right w:val="single" w:sz="8" w:color="auto"/>
            </w:tcBorders>
            <w:shd w:val="clear" w:color="auto" w:fill="EDF2F8"/>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580" w:type="dxa"/>
            <w:vAlign w:val="bottom"/>
            <w:tcBorders>
              <w:left w:val="single" w:sz="8" w:color="auto"/>
              <w:bottom w:val="single" w:sz="8" w:color="auto"/>
              <w:right w:val="single" w:sz="8" w:color="auto"/>
            </w:tcBorders>
            <w:shd w:val="clear" w:color="auto" w:fill="EDF2F8"/>
          </w:tcPr>
          <w:p>
            <w:pPr>
              <w:spacing w:after="0"/>
              <w:rPr>
                <w:sz w:val="22"/>
                <w:szCs w:val="22"/>
                <w:color w:val="auto"/>
              </w:rPr>
            </w:pPr>
          </w:p>
        </w:tc>
        <w:tc>
          <w:tcPr>
            <w:tcW w:w="220" w:type="dxa"/>
            <w:vAlign w:val="bottom"/>
            <w:tcBorders>
              <w:bottom w:val="single" w:sz="8" w:color="auto"/>
            </w:tcBorders>
            <w:shd w:val="clear" w:color="auto" w:fill="EDF2F8"/>
          </w:tcPr>
          <w:p>
            <w:pPr>
              <w:spacing w:after="0"/>
              <w:rPr>
                <w:sz w:val="22"/>
                <w:szCs w:val="22"/>
                <w:color w:val="auto"/>
              </w:rPr>
            </w:pPr>
          </w:p>
        </w:tc>
        <w:tc>
          <w:tcPr>
            <w:tcW w:w="2380" w:type="dxa"/>
            <w:vAlign w:val="bottom"/>
            <w:tcBorders>
              <w:bottom w:val="single" w:sz="8" w:color="auto"/>
              <w:right w:val="single" w:sz="8" w:color="auto"/>
            </w:tcBorders>
            <w:shd w:val="clear" w:color="auto" w:fill="EDF2F8"/>
          </w:tcPr>
          <w:p>
            <w:pPr>
              <w:spacing w:after="0"/>
              <w:rPr>
                <w:sz w:val="22"/>
                <w:szCs w:val="22"/>
                <w:color w:val="auto"/>
              </w:rPr>
            </w:pPr>
          </w:p>
        </w:tc>
        <w:tc>
          <w:tcPr>
            <w:tcW w:w="3520" w:type="dxa"/>
            <w:vAlign w:val="bottom"/>
            <w:tcBorders>
              <w:bottom w:val="single" w:sz="8" w:color="auto"/>
              <w:right w:val="single" w:sz="8" w:color="auto"/>
            </w:tcBorders>
            <w:shd w:val="clear" w:color="auto" w:fill="EDF2F8"/>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58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Performance-based restricted stock</w:t>
            </w:r>
          </w:p>
        </w:tc>
        <w:tc>
          <w:tcPr>
            <w:tcW w:w="220" w:type="dxa"/>
            <w:vAlign w:val="bottom"/>
            <w:shd w:val="clear" w:color="auto" w:fill="EDF2F8"/>
          </w:tcPr>
          <w:p>
            <w:pPr>
              <w:ind w:left="80"/>
              <w:spacing w:after="0"/>
              <w:rPr>
                <w:sz w:val="20"/>
                <w:szCs w:val="20"/>
                <w:color w:val="auto"/>
              </w:rPr>
            </w:pPr>
            <w:r>
              <w:rPr>
                <w:rFonts w:ascii="Arial" w:cs="Arial" w:eastAsia="Arial" w:hAnsi="Arial"/>
                <w:sz w:val="15"/>
                <w:szCs w:val="15"/>
                <w:color w:val="auto"/>
              </w:rPr>
              <w:t>•</w:t>
            </w:r>
          </w:p>
        </w:tc>
        <w:tc>
          <w:tcPr>
            <w:tcW w:w="238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40% Relative Total Shareholder</w:t>
            </w:r>
          </w:p>
        </w:tc>
        <w:tc>
          <w:tcPr>
            <w:tcW w:w="352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Full vesting requires delivery of long-term financial and</w:t>
            </w:r>
          </w:p>
        </w:tc>
        <w:tc>
          <w:tcPr>
            <w:tcW w:w="0" w:type="dxa"/>
            <w:vAlign w:val="bottom"/>
          </w:tcPr>
          <w:p>
            <w:pPr>
              <w:spacing w:after="0"/>
              <w:rPr>
                <w:sz w:val="1"/>
                <w:szCs w:val="1"/>
                <w:color w:val="auto"/>
              </w:rPr>
            </w:pPr>
          </w:p>
        </w:tc>
      </w:tr>
      <w:tr>
        <w:trPr>
          <w:trHeight w:val="175"/>
        </w:trPr>
        <w:tc>
          <w:tcPr>
            <w:tcW w:w="258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units (“PSUs”) granted in stock- and</w:t>
            </w:r>
          </w:p>
        </w:tc>
        <w:tc>
          <w:tcPr>
            <w:tcW w:w="220" w:type="dxa"/>
            <w:vAlign w:val="bottom"/>
            <w:shd w:val="clear" w:color="auto" w:fill="EDF2F8"/>
          </w:tcPr>
          <w:p>
            <w:pPr>
              <w:spacing w:after="0"/>
              <w:rPr>
                <w:sz w:val="15"/>
                <w:szCs w:val="15"/>
                <w:color w:val="auto"/>
              </w:rPr>
            </w:pPr>
          </w:p>
        </w:tc>
        <w:tc>
          <w:tcPr>
            <w:tcW w:w="238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Return (“TSR”) performance vs</w:t>
            </w:r>
          </w:p>
        </w:tc>
        <w:tc>
          <w:tcPr>
            <w:tcW w:w="352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relative TSR performance</w:t>
            </w:r>
          </w:p>
        </w:tc>
        <w:tc>
          <w:tcPr>
            <w:tcW w:w="0" w:type="dxa"/>
            <w:vAlign w:val="bottom"/>
          </w:tcPr>
          <w:p>
            <w:pPr>
              <w:spacing w:after="0"/>
              <w:rPr>
                <w:sz w:val="1"/>
                <w:szCs w:val="1"/>
                <w:color w:val="auto"/>
              </w:rPr>
            </w:pPr>
          </w:p>
        </w:tc>
      </w:tr>
      <w:tr>
        <w:trPr>
          <w:trHeight w:val="178"/>
        </w:trPr>
        <w:tc>
          <w:tcPr>
            <w:tcW w:w="258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cash-settled awards weighted at 70% of</w:t>
            </w:r>
          </w:p>
        </w:tc>
        <w:tc>
          <w:tcPr>
            <w:tcW w:w="220" w:type="dxa"/>
            <w:vAlign w:val="bottom"/>
            <w:shd w:val="clear" w:color="auto" w:fill="EDF2F8"/>
          </w:tcPr>
          <w:p>
            <w:pPr>
              <w:spacing w:after="0"/>
              <w:rPr>
                <w:sz w:val="15"/>
                <w:szCs w:val="15"/>
                <w:color w:val="auto"/>
              </w:rPr>
            </w:pPr>
          </w:p>
        </w:tc>
        <w:tc>
          <w:tcPr>
            <w:tcW w:w="238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Comparator Group</w:t>
            </w:r>
          </w:p>
        </w:tc>
        <w:tc>
          <w:tcPr>
            <w:tcW w:w="3520" w:type="dxa"/>
            <w:vAlign w:val="bottom"/>
            <w:tcBorders>
              <w:right w:val="single" w:sz="8" w:color="auto"/>
            </w:tcBorders>
            <w:shd w:val="clear" w:color="auto" w:fill="EDF2F8"/>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8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the targeted annual equity grant value</w:t>
            </w:r>
          </w:p>
        </w:tc>
        <w:tc>
          <w:tcPr>
            <w:tcW w:w="220" w:type="dxa"/>
            <w:vAlign w:val="bottom"/>
            <w:vMerge w:val="restart"/>
            <w:shd w:val="clear" w:color="auto" w:fill="EDF2F8"/>
          </w:tcPr>
          <w:p>
            <w:pPr>
              <w:ind w:left="80"/>
              <w:spacing w:after="0"/>
              <w:rPr>
                <w:sz w:val="20"/>
                <w:szCs w:val="20"/>
                <w:color w:val="auto"/>
              </w:rPr>
            </w:pPr>
            <w:r>
              <w:rPr>
                <w:rFonts w:ascii="Arial" w:cs="Arial" w:eastAsia="Arial" w:hAnsi="Arial"/>
                <w:sz w:val="15"/>
                <w:szCs w:val="15"/>
                <w:color w:val="auto"/>
              </w:rPr>
              <w:t>•</w:t>
            </w:r>
          </w:p>
        </w:tc>
        <w:tc>
          <w:tcPr>
            <w:tcW w:w="2380" w:type="dxa"/>
            <w:vAlign w:val="bottom"/>
            <w:tcBorders>
              <w:right w:val="single" w:sz="8" w:color="auto"/>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20% Revenue growth</w:t>
            </w:r>
          </w:p>
        </w:tc>
        <w:tc>
          <w:tcPr>
            <w:tcW w:w="3520" w:type="dxa"/>
            <w:vAlign w:val="bottom"/>
            <w:tcBorders>
              <w:right w:val="single" w:sz="8" w:color="auto"/>
            </w:tcBorders>
            <w:shd w:val="clear" w:color="auto" w:fill="EDF2F8"/>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580" w:type="dxa"/>
            <w:vAlign w:val="bottom"/>
            <w:tcBorders>
              <w:left w:val="single" w:sz="8" w:color="auto"/>
              <w:right w:val="single" w:sz="8" w:color="auto"/>
            </w:tcBorders>
            <w:shd w:val="clear" w:color="auto" w:fill="EDF2F8"/>
          </w:tcPr>
          <w:p>
            <w:pPr>
              <w:spacing w:after="0"/>
              <w:rPr>
                <w:sz w:val="11"/>
                <w:szCs w:val="11"/>
                <w:color w:val="auto"/>
              </w:rPr>
            </w:pPr>
          </w:p>
        </w:tc>
        <w:tc>
          <w:tcPr>
            <w:tcW w:w="220" w:type="dxa"/>
            <w:vAlign w:val="bottom"/>
            <w:vMerge w:val="continue"/>
            <w:shd w:val="clear" w:color="auto" w:fill="EDF2F8"/>
          </w:tcPr>
          <w:p>
            <w:pPr>
              <w:spacing w:after="0"/>
              <w:rPr>
                <w:sz w:val="11"/>
                <w:szCs w:val="11"/>
                <w:color w:val="auto"/>
              </w:rPr>
            </w:pPr>
          </w:p>
        </w:tc>
        <w:tc>
          <w:tcPr>
            <w:tcW w:w="2380" w:type="dxa"/>
            <w:vAlign w:val="bottom"/>
            <w:tcBorders>
              <w:right w:val="single" w:sz="8" w:color="auto"/>
            </w:tcBorders>
            <w:vMerge w:val="continue"/>
            <w:shd w:val="clear" w:color="auto" w:fill="EDF2F8"/>
          </w:tcPr>
          <w:p>
            <w:pPr>
              <w:spacing w:after="0"/>
              <w:rPr>
                <w:sz w:val="11"/>
                <w:szCs w:val="11"/>
                <w:color w:val="auto"/>
              </w:rPr>
            </w:pPr>
          </w:p>
        </w:tc>
        <w:tc>
          <w:tcPr>
            <w:tcW w:w="3520" w:type="dxa"/>
            <w:vAlign w:val="bottom"/>
            <w:tcBorders>
              <w:right w:val="single" w:sz="8" w:color="auto"/>
            </w:tcBorders>
            <w:shd w:val="clear" w:color="auto" w:fill="EDF2F8"/>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2580" w:type="dxa"/>
            <w:vAlign w:val="bottom"/>
            <w:tcBorders>
              <w:left w:val="single" w:sz="8" w:color="auto"/>
              <w:bottom w:val="single" w:sz="8" w:color="EDF2F8"/>
              <w:right w:val="single" w:sz="8" w:color="auto"/>
            </w:tcBorders>
            <w:shd w:val="clear" w:color="auto" w:fill="EDF2F8"/>
          </w:tcPr>
          <w:p>
            <w:pPr>
              <w:spacing w:after="0"/>
              <w:rPr>
                <w:sz w:val="24"/>
                <w:szCs w:val="24"/>
                <w:color w:val="auto"/>
              </w:rPr>
            </w:pPr>
          </w:p>
        </w:tc>
        <w:tc>
          <w:tcPr>
            <w:tcW w:w="2600" w:type="dxa"/>
            <w:vAlign w:val="bottom"/>
            <w:tcBorders>
              <w:bottom w:val="single" w:sz="8" w:color="EDF2F8"/>
              <w:right w:val="single" w:sz="8" w:color="auto"/>
            </w:tcBorders>
            <w:gridSpan w:val="2"/>
            <w:shd w:val="clear" w:color="auto" w:fill="EDF2F8"/>
          </w:tcPr>
          <w:p>
            <w:pPr>
              <w:ind w:left="8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3"/>
                <w:szCs w:val="13"/>
                <w:color w:val="auto"/>
              </w:rPr>
              <w:t>40% Earnings per share growth</w:t>
            </w:r>
          </w:p>
        </w:tc>
        <w:tc>
          <w:tcPr>
            <w:tcW w:w="3520" w:type="dxa"/>
            <w:vAlign w:val="bottom"/>
            <w:tcBorders>
              <w:bottom w:val="single" w:sz="8" w:color="EDF2F8"/>
              <w:right w:val="single" w:sz="8" w:color="auto"/>
            </w:tcBorders>
            <w:shd w:val="clear" w:color="auto" w:fill="EDF2F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c>
          <w:tcPr>
            <w:tcW w:w="35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Balance of Fixed and Variable Compensation</w:t>
      </w:r>
    </w:p>
    <w:p>
      <w:pPr>
        <w:spacing w:after="0" w:line="111"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For Executive Officers, the target is to deliver at least 50% of total compensation through variable pay with a mix of long-term and short-term incentives and cash and equity compensation. In 2025, 60% or more of overall compensation for the CEO and other NEOs was delivered through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57785</wp:posOffset>
            </wp:positionV>
            <wp:extent cx="5197475" cy="1937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9747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Details of our pay programs in 2025, including say-on-pay results, elements of pay and other pay programs are detailed in the following sections of the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2086610</wp:posOffset>
            </wp:positionV>
            <wp:extent cx="297180" cy="290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2" w:name="page63"/>
    <w:bookmarkEnd w:id="62"/>
    <w:p>
      <w:pPr>
        <w:spacing w:after="0" w:line="98"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Say-on-Pay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2025 Results</w:t>
      </w:r>
    </w:p>
    <w:p>
      <w:pPr>
        <w:spacing w:after="0" w:line="111" w:lineRule="exact"/>
        <w:rPr>
          <w:sz w:val="20"/>
          <w:szCs w:val="20"/>
          <w:color w:val="auto"/>
        </w:rPr>
      </w:pPr>
    </w:p>
    <w:p>
      <w:pPr>
        <w:jc w:val="both"/>
        <w:ind w:left="200" w:right="119"/>
        <w:spacing w:after="0" w:line="252" w:lineRule="auto"/>
        <w:rPr>
          <w:sz w:val="20"/>
          <w:szCs w:val="20"/>
          <w:color w:val="auto"/>
        </w:rPr>
      </w:pPr>
      <w:r>
        <w:rPr>
          <w:rFonts w:ascii="Arial" w:cs="Arial" w:eastAsia="Arial" w:hAnsi="Arial"/>
          <w:sz w:val="15"/>
          <w:szCs w:val="15"/>
          <w:color w:val="auto"/>
        </w:rPr>
        <w:t>At the 2025 Annual Meeting of Stockholders, the Company conducted a non-binding advisory vote on its executive compensation. At that meeting, approximately 96.5% of the votes cast supported the resolution. The Compensation Committee noted the high level of stockholder support when reviewing its executive compensation programs. The Compensation Committee considers the outcome of the vote, the interaction of our compensation programs with our business objectives, input from the independent compensation consultant and executive market data when reviewing its executive compensation programs. Each of these factors is evaluated by the Compensation Committee in the exercise of its fiduciary duty to act in the best interests of the Company. As part of its regular review process regarding executive compensation, the Compensation Committee has considered each of these factors and any modifications to its NEO compensation process are discussed herein.</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1"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The Compensation Committee of the Board oversees the Company’s compensation programs and practices for NEOs and other key Executive Officers and Directors. The Compensation Committee reviews and recommends to the full Board approval of compensation for our NEOs, including salary, incentive programs, stock-based awards and compensation, retirement plans, perquisites and supplemental benefits, employment agreements, severance arrangements, change in control arrangements and other executive compensation matters.</w:t>
      </w:r>
    </w:p>
    <w:p>
      <w:pPr>
        <w:spacing w:after="0" w:line="93"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The Compensation Committee reviews and recommends to the full Board approval of the compensation structure for our Directors at least biennially, including retainers, fees, stock-based awards and other compensation. This review is discussed under the “Director Compensation” section of this Proxy Statement.</w:t>
      </w:r>
    </w:p>
    <w:p>
      <w:pPr>
        <w:spacing w:after="0" w:line="77"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processes and procedures for the Compensation Committee oversight of compensation programs are discussed in the “Corporate Governance” section of this Proxy Statement.</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11"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In 2025, advice to the Compensation Committee was provided by Exequity, an independent executive compensation consultancy. Exequity was retained by the Compensation Committee and has met with the Compensation Committee at least once and provided advice at other times during the year, as the Compensation Committee deemed appropriate. Exequity’s services to the Compensation Committee included, among other things, providing perspective on market trends, analyses of market compensation levels and designs, and confirmation of peer group composition. Any other work undertaken by the compensation consultant for the Company must be approved by the Compensation Committee. The Compensation Committee has assessed the independence of Exequity and has determined that the firm does not have any conflict of interest with respect to the Company.</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the Chief Executive Officer and Other Executive Officers</w:t>
      </w:r>
    </w:p>
    <w:p>
      <w:pPr>
        <w:spacing w:after="0" w:line="111"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Each year, the CEO, at the request of the Compensation Committee, provides his assessment of the performance of the other Executive Officers, including their achievement of individual objectives and contribution to overall business performance. He then recommends adjustments to base salary and other elements of compensation, if appropriate.</w:t>
      </w:r>
    </w:p>
    <w:p>
      <w:pPr>
        <w:spacing w:after="0" w:line="88"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The Compensation Committee then reviews all elements of compensation for the NEOs, considering the recommendations of the CEO, as well as market data and information offered by the Senior Vice President, Human Resources (“SVP, HR”). The Compensation Committee also reviews all elements of compensation for the CEO and evaluates the CEO’s performance in the achievement of those goals, considering the Chair of the Compensation Committee’s review and assessment of the performance of the CEO, overall business performance and results, competitive market data and other relevant information provided by the SVP, HR. The CEO attends Compensation Committee meetings by invitation but does not attend the portion of any Compensation Committee meetings when his compensation is being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1945005</wp:posOffset>
            </wp:positionV>
            <wp:extent cx="297180" cy="290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3" w:name="page64"/>
    <w:bookmarkEnd w:id="63"/>
    <w:p>
      <w:pPr>
        <w:spacing w:after="0" w:line="100"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Compensation Committee makes decisions relating to the compensation of the NEOs, including the CEO, which it recommends to the full Board for approval.</w:t>
      </w:r>
    </w:p>
    <w:p>
      <w:pPr>
        <w:spacing w:after="0" w:line="75"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SVP, HR assists the Compensation Committee by serving as the Compensation Committee’s secretary and providing information on compensation as requested by the Compensation Committee.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Competitive Market</w:t>
      </w:r>
    </w:p>
    <w:p>
      <w:pPr>
        <w:spacing w:after="0" w:line="111"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The Compensation Committee reviews competitive market data from two sources, a Chemical Industry Comparator Group (“Comparator Group”) and a survey provided by Willis Towers Watson, as prepared by the Compensation Committee’s independent compensation consultant.</w:t>
      </w:r>
    </w:p>
    <w:p>
      <w:pPr>
        <w:spacing w:after="0" w:line="88"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The Comparator Group is the primary source of competitive market data used by the Compensation Committee when reviewing the compensation of the CEO and CFO and a secondary reference for other NEOs. The Comparator Group is reviewed at least biannually by the Compensation Committee. The companies included in the Comparator Group were selected by the Compensation Committee based on several factors, including industry, revenues, and market capitalization. The Comparator Group for 2025 consists of the following 16 companies:</w:t>
      </w:r>
    </w:p>
    <w:p>
      <w:pPr>
        <w:spacing w:after="0" w:line="77" w:lineRule="exact"/>
        <w:rPr>
          <w:sz w:val="20"/>
          <w:szCs w:val="20"/>
          <w:color w:val="auto"/>
        </w:rPr>
      </w:pPr>
    </w:p>
    <w:tbl>
      <w:tblPr>
        <w:tblLayout w:type="fixed"/>
        <w:tblInd w:w="210" w:type="dxa"/>
        <w:tblCellMar>
          <w:top w:w="0" w:type="dxa"/>
          <w:left w:w="0" w:type="dxa"/>
          <w:bottom w:w="0" w:type="dxa"/>
          <w:right w:w="0" w:type="dxa"/>
        </w:tblCellMar>
      </w:tblPr>
      <w:tr>
        <w:trPr>
          <w:trHeight w:val="220"/>
        </w:trPr>
        <w:tc>
          <w:tcPr>
            <w:tcW w:w="220" w:type="dxa"/>
            <w:vAlign w:val="bottom"/>
            <w:tcBorders>
              <w:top w:val="single" w:sz="8" w:color="4F81BD"/>
              <w:left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w:t>
            </w:r>
          </w:p>
        </w:tc>
        <w:tc>
          <w:tcPr>
            <w:tcW w:w="2300" w:type="dxa"/>
            <w:vAlign w:val="bottom"/>
            <w:tcBorders>
              <w:top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AdvanSix Inc.</w:t>
            </w:r>
          </w:p>
        </w:tc>
        <w:tc>
          <w:tcPr>
            <w:tcW w:w="580" w:type="dxa"/>
            <w:vAlign w:val="bottom"/>
            <w:tcBorders>
              <w:top w:val="single" w:sz="8" w:color="4F81BD"/>
            </w:tcBorders>
            <w:shd w:val="clear" w:color="auto" w:fill="EDF2F8"/>
          </w:tcPr>
          <w:p>
            <w:pPr>
              <w:ind w:left="460"/>
              <w:spacing w:after="0"/>
              <w:rPr>
                <w:sz w:val="20"/>
                <w:szCs w:val="20"/>
                <w:color w:val="auto"/>
              </w:rPr>
            </w:pPr>
            <w:r>
              <w:rPr>
                <w:rFonts w:ascii="Arial" w:cs="Arial" w:eastAsia="Arial" w:hAnsi="Arial"/>
                <w:sz w:val="13"/>
                <w:szCs w:val="13"/>
                <w:color w:val="auto"/>
              </w:rPr>
              <w:t>•</w:t>
            </w:r>
          </w:p>
        </w:tc>
        <w:tc>
          <w:tcPr>
            <w:tcW w:w="2300" w:type="dxa"/>
            <w:vAlign w:val="bottom"/>
            <w:tcBorders>
              <w:top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Balchem Corporation</w:t>
            </w:r>
          </w:p>
        </w:tc>
        <w:tc>
          <w:tcPr>
            <w:tcW w:w="600" w:type="dxa"/>
            <w:vAlign w:val="bottom"/>
            <w:tcBorders>
              <w:top w:val="single" w:sz="8" w:color="4F81BD"/>
            </w:tcBorders>
            <w:shd w:val="clear" w:color="auto" w:fill="EDF2F8"/>
          </w:tcPr>
          <w:p>
            <w:pPr>
              <w:ind w:left="480"/>
              <w:spacing w:after="0"/>
              <w:rPr>
                <w:sz w:val="20"/>
                <w:szCs w:val="20"/>
                <w:color w:val="auto"/>
              </w:rPr>
            </w:pPr>
            <w:r>
              <w:rPr>
                <w:rFonts w:ascii="Arial" w:cs="Arial" w:eastAsia="Arial" w:hAnsi="Arial"/>
                <w:sz w:val="13"/>
                <w:szCs w:val="13"/>
                <w:color w:val="auto"/>
              </w:rPr>
              <w:t>•</w:t>
            </w:r>
          </w:p>
        </w:tc>
        <w:tc>
          <w:tcPr>
            <w:tcW w:w="2700" w:type="dxa"/>
            <w:vAlign w:val="bottom"/>
            <w:tcBorders>
              <w:top w:val="single" w:sz="8" w:color="4F81BD"/>
              <w:right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Ashland Inc.</w:t>
            </w:r>
          </w:p>
        </w:tc>
      </w:tr>
      <w:tr>
        <w:trPr>
          <w:trHeight w:val="245"/>
        </w:trPr>
        <w:tc>
          <w:tcPr>
            <w:tcW w:w="220" w:type="dxa"/>
            <w:vAlign w:val="bottom"/>
            <w:tcBorders>
              <w:left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w:t>
            </w:r>
          </w:p>
        </w:tc>
        <w:tc>
          <w:tcPr>
            <w:tcW w:w="2300" w:type="dxa"/>
            <w:vAlign w:val="bottom"/>
            <w:shd w:val="clear" w:color="auto" w:fill="EDF2F8"/>
          </w:tcPr>
          <w:p>
            <w:pPr>
              <w:ind w:left="100"/>
              <w:spacing w:after="0"/>
              <w:rPr>
                <w:sz w:val="20"/>
                <w:szCs w:val="20"/>
                <w:color w:val="auto"/>
              </w:rPr>
            </w:pPr>
            <w:r>
              <w:rPr>
                <w:rFonts w:ascii="Arial" w:cs="Arial" w:eastAsia="Arial" w:hAnsi="Arial"/>
                <w:sz w:val="13"/>
                <w:szCs w:val="13"/>
                <w:color w:val="auto"/>
              </w:rPr>
              <w:t>Avient Corporation</w:t>
            </w:r>
          </w:p>
        </w:tc>
        <w:tc>
          <w:tcPr>
            <w:tcW w:w="580" w:type="dxa"/>
            <w:vAlign w:val="bottom"/>
            <w:shd w:val="clear" w:color="auto" w:fill="EDF2F8"/>
          </w:tcPr>
          <w:p>
            <w:pPr>
              <w:ind w:left="460"/>
              <w:spacing w:after="0"/>
              <w:rPr>
                <w:sz w:val="20"/>
                <w:szCs w:val="20"/>
                <w:color w:val="auto"/>
              </w:rPr>
            </w:pPr>
            <w:r>
              <w:rPr>
                <w:rFonts w:ascii="Arial" w:cs="Arial" w:eastAsia="Arial" w:hAnsi="Arial"/>
                <w:sz w:val="13"/>
                <w:szCs w:val="13"/>
                <w:color w:val="auto"/>
              </w:rPr>
              <w:t>•</w:t>
            </w:r>
          </w:p>
        </w:tc>
        <w:tc>
          <w:tcPr>
            <w:tcW w:w="2300" w:type="dxa"/>
            <w:vAlign w:val="bottom"/>
            <w:shd w:val="clear" w:color="auto" w:fill="EDF2F8"/>
          </w:tcPr>
          <w:p>
            <w:pPr>
              <w:ind w:left="100"/>
              <w:spacing w:after="0"/>
              <w:rPr>
                <w:sz w:val="20"/>
                <w:szCs w:val="20"/>
                <w:color w:val="auto"/>
              </w:rPr>
            </w:pPr>
            <w:r>
              <w:rPr>
                <w:rFonts w:ascii="Arial" w:cs="Arial" w:eastAsia="Arial" w:hAnsi="Arial"/>
                <w:sz w:val="13"/>
                <w:szCs w:val="13"/>
                <w:color w:val="auto"/>
              </w:rPr>
              <w:t>Ingevity Corporation</w:t>
            </w:r>
          </w:p>
        </w:tc>
        <w:tc>
          <w:tcPr>
            <w:tcW w:w="600" w:type="dxa"/>
            <w:vAlign w:val="bottom"/>
            <w:shd w:val="clear" w:color="auto" w:fill="EDF2F8"/>
          </w:tcPr>
          <w:p>
            <w:pPr>
              <w:ind w:left="480"/>
              <w:spacing w:after="0"/>
              <w:rPr>
                <w:sz w:val="20"/>
                <w:szCs w:val="20"/>
                <w:color w:val="auto"/>
              </w:rPr>
            </w:pPr>
            <w:r>
              <w:rPr>
                <w:rFonts w:ascii="Arial" w:cs="Arial" w:eastAsia="Arial" w:hAnsi="Arial"/>
                <w:sz w:val="13"/>
                <w:szCs w:val="13"/>
                <w:color w:val="auto"/>
              </w:rPr>
              <w:t>•</w:t>
            </w:r>
          </w:p>
        </w:tc>
        <w:tc>
          <w:tcPr>
            <w:tcW w:w="2700" w:type="dxa"/>
            <w:vAlign w:val="bottom"/>
            <w:tcBorders>
              <w:right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Cabot Corporation</w:t>
            </w:r>
          </w:p>
        </w:tc>
      </w:tr>
      <w:tr>
        <w:trPr>
          <w:trHeight w:val="234"/>
        </w:trPr>
        <w:tc>
          <w:tcPr>
            <w:tcW w:w="220" w:type="dxa"/>
            <w:vAlign w:val="bottom"/>
            <w:tcBorders>
              <w:left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w:t>
            </w:r>
          </w:p>
        </w:tc>
        <w:tc>
          <w:tcPr>
            <w:tcW w:w="2300" w:type="dxa"/>
            <w:vAlign w:val="bottom"/>
            <w:shd w:val="clear" w:color="auto" w:fill="EDF2F8"/>
          </w:tcPr>
          <w:p>
            <w:pPr>
              <w:ind w:left="100"/>
              <w:spacing w:after="0"/>
              <w:rPr>
                <w:sz w:val="20"/>
                <w:szCs w:val="20"/>
                <w:color w:val="auto"/>
              </w:rPr>
            </w:pPr>
            <w:r>
              <w:rPr>
                <w:rFonts w:ascii="Arial" w:cs="Arial" w:eastAsia="Arial" w:hAnsi="Arial"/>
                <w:sz w:val="13"/>
                <w:szCs w:val="13"/>
                <w:color w:val="auto"/>
              </w:rPr>
              <w:t>H.B. Fuller Company</w:t>
            </w:r>
          </w:p>
        </w:tc>
        <w:tc>
          <w:tcPr>
            <w:tcW w:w="580" w:type="dxa"/>
            <w:vAlign w:val="bottom"/>
            <w:shd w:val="clear" w:color="auto" w:fill="EDF2F8"/>
          </w:tcPr>
          <w:p>
            <w:pPr>
              <w:ind w:left="460"/>
              <w:spacing w:after="0"/>
              <w:rPr>
                <w:sz w:val="20"/>
                <w:szCs w:val="20"/>
                <w:color w:val="auto"/>
              </w:rPr>
            </w:pPr>
            <w:r>
              <w:rPr>
                <w:rFonts w:ascii="Arial" w:cs="Arial" w:eastAsia="Arial" w:hAnsi="Arial"/>
                <w:sz w:val="13"/>
                <w:szCs w:val="13"/>
                <w:color w:val="auto"/>
              </w:rPr>
              <w:t>•</w:t>
            </w:r>
          </w:p>
        </w:tc>
        <w:tc>
          <w:tcPr>
            <w:tcW w:w="2300" w:type="dxa"/>
            <w:vAlign w:val="bottom"/>
            <w:shd w:val="clear" w:color="auto" w:fill="EDF2F8"/>
          </w:tcPr>
          <w:p>
            <w:pPr>
              <w:ind w:left="100"/>
              <w:spacing w:after="0"/>
              <w:rPr>
                <w:sz w:val="20"/>
                <w:szCs w:val="20"/>
                <w:color w:val="auto"/>
              </w:rPr>
            </w:pPr>
            <w:r>
              <w:rPr>
                <w:rFonts w:ascii="Arial" w:cs="Arial" w:eastAsia="Arial" w:hAnsi="Arial"/>
                <w:sz w:val="13"/>
                <w:szCs w:val="13"/>
                <w:color w:val="auto"/>
              </w:rPr>
              <w:t>NewMarket Corporation</w:t>
            </w:r>
          </w:p>
        </w:tc>
        <w:tc>
          <w:tcPr>
            <w:tcW w:w="600" w:type="dxa"/>
            <w:vAlign w:val="bottom"/>
            <w:shd w:val="clear" w:color="auto" w:fill="EDF2F8"/>
          </w:tcPr>
          <w:p>
            <w:pPr>
              <w:ind w:left="480"/>
              <w:spacing w:after="0"/>
              <w:rPr>
                <w:sz w:val="20"/>
                <w:szCs w:val="20"/>
                <w:color w:val="auto"/>
              </w:rPr>
            </w:pPr>
            <w:r>
              <w:rPr>
                <w:rFonts w:ascii="Arial" w:cs="Arial" w:eastAsia="Arial" w:hAnsi="Arial"/>
                <w:sz w:val="13"/>
                <w:szCs w:val="13"/>
                <w:color w:val="auto"/>
              </w:rPr>
              <w:t>•</w:t>
            </w:r>
          </w:p>
        </w:tc>
        <w:tc>
          <w:tcPr>
            <w:tcW w:w="2700" w:type="dxa"/>
            <w:vAlign w:val="bottom"/>
            <w:tcBorders>
              <w:right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Koppers Holding Inc.</w:t>
            </w:r>
          </w:p>
        </w:tc>
      </w:tr>
      <w:tr>
        <w:trPr>
          <w:trHeight w:val="234"/>
        </w:trPr>
        <w:tc>
          <w:tcPr>
            <w:tcW w:w="220" w:type="dxa"/>
            <w:vAlign w:val="bottom"/>
            <w:tcBorders>
              <w:left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w:t>
            </w:r>
          </w:p>
        </w:tc>
        <w:tc>
          <w:tcPr>
            <w:tcW w:w="2300" w:type="dxa"/>
            <w:vAlign w:val="bottom"/>
            <w:shd w:val="clear" w:color="auto" w:fill="EDF2F8"/>
          </w:tcPr>
          <w:p>
            <w:pPr>
              <w:ind w:left="100"/>
              <w:spacing w:after="0"/>
              <w:rPr>
                <w:sz w:val="20"/>
                <w:szCs w:val="20"/>
                <w:color w:val="auto"/>
              </w:rPr>
            </w:pPr>
            <w:r>
              <w:rPr>
                <w:rFonts w:ascii="Arial" w:cs="Arial" w:eastAsia="Arial" w:hAnsi="Arial"/>
                <w:sz w:val="13"/>
                <w:szCs w:val="13"/>
                <w:color w:val="auto"/>
              </w:rPr>
              <w:t>Minerals Technologies Inc.</w:t>
            </w:r>
          </w:p>
        </w:tc>
        <w:tc>
          <w:tcPr>
            <w:tcW w:w="580" w:type="dxa"/>
            <w:vAlign w:val="bottom"/>
            <w:shd w:val="clear" w:color="auto" w:fill="EDF2F8"/>
          </w:tcPr>
          <w:p>
            <w:pPr>
              <w:ind w:left="460"/>
              <w:spacing w:after="0"/>
              <w:rPr>
                <w:sz w:val="20"/>
                <w:szCs w:val="20"/>
                <w:color w:val="auto"/>
              </w:rPr>
            </w:pPr>
            <w:r>
              <w:rPr>
                <w:rFonts w:ascii="Arial" w:cs="Arial" w:eastAsia="Arial" w:hAnsi="Arial"/>
                <w:sz w:val="13"/>
                <w:szCs w:val="13"/>
                <w:color w:val="auto"/>
              </w:rPr>
              <w:t>•</w:t>
            </w:r>
          </w:p>
        </w:tc>
        <w:tc>
          <w:tcPr>
            <w:tcW w:w="2300" w:type="dxa"/>
            <w:vAlign w:val="bottom"/>
            <w:shd w:val="clear" w:color="auto" w:fill="EDF2F8"/>
          </w:tcPr>
          <w:p>
            <w:pPr>
              <w:ind w:left="100"/>
              <w:spacing w:after="0"/>
              <w:rPr>
                <w:sz w:val="20"/>
                <w:szCs w:val="20"/>
                <w:color w:val="auto"/>
              </w:rPr>
            </w:pPr>
            <w:r>
              <w:rPr>
                <w:rFonts w:ascii="Arial" w:cs="Arial" w:eastAsia="Arial" w:hAnsi="Arial"/>
                <w:sz w:val="13"/>
                <w:szCs w:val="13"/>
                <w:color w:val="auto"/>
              </w:rPr>
              <w:t>Rayonier Advanced Materials</w:t>
            </w:r>
          </w:p>
        </w:tc>
        <w:tc>
          <w:tcPr>
            <w:tcW w:w="3300" w:type="dxa"/>
            <w:vAlign w:val="bottom"/>
            <w:tcBorders>
              <w:right w:val="single" w:sz="8" w:color="4F81BD"/>
            </w:tcBorders>
            <w:gridSpan w:val="2"/>
            <w:shd w:val="clear" w:color="auto" w:fill="EDF2F8"/>
          </w:tcPr>
          <w:p>
            <w:pPr>
              <w:ind w:left="480"/>
              <w:spacing w:after="0"/>
              <w:rPr>
                <w:sz w:val="20"/>
                <w:szCs w:val="20"/>
                <w:color w:val="auto"/>
              </w:rPr>
            </w:pPr>
            <w:r>
              <w:rPr>
                <w:rFonts w:ascii="Arial" w:cs="Arial" w:eastAsia="Arial" w:hAnsi="Arial"/>
                <w:sz w:val="13"/>
                <w:szCs w:val="13"/>
                <w:color w:val="auto"/>
              </w:rPr>
              <w:t>•   Orion Engineered Carbons S.A.</w:t>
            </w:r>
          </w:p>
        </w:tc>
      </w:tr>
      <w:tr>
        <w:trPr>
          <w:trHeight w:val="245"/>
        </w:trPr>
        <w:tc>
          <w:tcPr>
            <w:tcW w:w="220" w:type="dxa"/>
            <w:vAlign w:val="bottom"/>
            <w:tcBorders>
              <w:left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w:t>
            </w:r>
          </w:p>
        </w:tc>
        <w:tc>
          <w:tcPr>
            <w:tcW w:w="2300" w:type="dxa"/>
            <w:vAlign w:val="bottom"/>
            <w:shd w:val="clear" w:color="auto" w:fill="EDF2F8"/>
          </w:tcPr>
          <w:p>
            <w:pPr>
              <w:ind w:left="100"/>
              <w:spacing w:after="0"/>
              <w:rPr>
                <w:sz w:val="20"/>
                <w:szCs w:val="20"/>
                <w:color w:val="auto"/>
              </w:rPr>
            </w:pPr>
            <w:r>
              <w:rPr>
                <w:rFonts w:ascii="Arial" w:cs="Arial" w:eastAsia="Arial" w:hAnsi="Arial"/>
                <w:sz w:val="13"/>
                <w:szCs w:val="13"/>
                <w:color w:val="auto"/>
              </w:rPr>
              <w:t>Quaker Chemical Corporation</w:t>
            </w:r>
          </w:p>
        </w:tc>
        <w:tc>
          <w:tcPr>
            <w:tcW w:w="580" w:type="dxa"/>
            <w:vAlign w:val="bottom"/>
            <w:shd w:val="clear" w:color="auto" w:fill="EDF2F8"/>
          </w:tcPr>
          <w:p>
            <w:pPr>
              <w:ind w:left="460"/>
              <w:spacing w:after="0"/>
              <w:rPr>
                <w:sz w:val="20"/>
                <w:szCs w:val="20"/>
                <w:color w:val="auto"/>
              </w:rPr>
            </w:pPr>
            <w:r>
              <w:rPr>
                <w:rFonts w:ascii="Arial" w:cs="Arial" w:eastAsia="Arial" w:hAnsi="Arial"/>
                <w:sz w:val="13"/>
                <w:szCs w:val="13"/>
                <w:color w:val="auto"/>
              </w:rPr>
              <w:t>•</w:t>
            </w:r>
          </w:p>
        </w:tc>
        <w:tc>
          <w:tcPr>
            <w:tcW w:w="2300" w:type="dxa"/>
            <w:vAlign w:val="bottom"/>
            <w:shd w:val="clear" w:color="auto" w:fill="EDF2F8"/>
          </w:tcPr>
          <w:p>
            <w:pPr>
              <w:ind w:left="100"/>
              <w:spacing w:after="0"/>
              <w:rPr>
                <w:sz w:val="20"/>
                <w:szCs w:val="20"/>
                <w:color w:val="auto"/>
              </w:rPr>
            </w:pPr>
            <w:r>
              <w:rPr>
                <w:rFonts w:ascii="Arial" w:cs="Arial" w:eastAsia="Arial" w:hAnsi="Arial"/>
                <w:sz w:val="13"/>
                <w:szCs w:val="13"/>
                <w:color w:val="auto"/>
              </w:rPr>
              <w:t>Element Solutions Inc</w:t>
            </w:r>
          </w:p>
        </w:tc>
        <w:tc>
          <w:tcPr>
            <w:tcW w:w="600" w:type="dxa"/>
            <w:vAlign w:val="bottom"/>
            <w:shd w:val="clear" w:color="auto" w:fill="EDF2F8"/>
          </w:tcPr>
          <w:p>
            <w:pPr>
              <w:ind w:left="480"/>
              <w:spacing w:after="0"/>
              <w:rPr>
                <w:sz w:val="20"/>
                <w:szCs w:val="20"/>
                <w:color w:val="auto"/>
              </w:rPr>
            </w:pPr>
            <w:r>
              <w:rPr>
                <w:rFonts w:ascii="Arial" w:cs="Arial" w:eastAsia="Arial" w:hAnsi="Arial"/>
                <w:sz w:val="13"/>
                <w:szCs w:val="13"/>
                <w:color w:val="auto"/>
              </w:rPr>
              <w:t>•</w:t>
            </w:r>
          </w:p>
        </w:tc>
        <w:tc>
          <w:tcPr>
            <w:tcW w:w="2700" w:type="dxa"/>
            <w:vAlign w:val="bottom"/>
            <w:tcBorders>
              <w:right w:val="single" w:sz="8" w:color="4F81BD"/>
            </w:tcBorders>
            <w:shd w:val="clear" w:color="auto" w:fill="EDF2F8"/>
          </w:tcPr>
          <w:p>
            <w:pPr>
              <w:ind w:left="100"/>
              <w:spacing w:after="0"/>
              <w:rPr>
                <w:sz w:val="20"/>
                <w:szCs w:val="20"/>
                <w:color w:val="auto"/>
              </w:rPr>
            </w:pPr>
            <w:r>
              <w:rPr>
                <w:rFonts w:ascii="Arial" w:cs="Arial" w:eastAsia="Arial" w:hAnsi="Arial"/>
                <w:sz w:val="13"/>
                <w:szCs w:val="13"/>
                <w:color w:val="auto"/>
              </w:rPr>
              <w:t>Sensient Technologies Corporation</w:t>
            </w:r>
          </w:p>
        </w:tc>
      </w:tr>
      <w:tr>
        <w:trPr>
          <w:trHeight w:val="250"/>
        </w:trPr>
        <w:tc>
          <w:tcPr>
            <w:tcW w:w="220" w:type="dxa"/>
            <w:vAlign w:val="bottom"/>
            <w:tcBorders>
              <w:left w:val="single" w:sz="8" w:color="4F81BD"/>
              <w:bottom w:val="single" w:sz="8" w:color="EDF2F8"/>
            </w:tcBorders>
            <w:shd w:val="clear" w:color="auto" w:fill="EDF2F8"/>
          </w:tcPr>
          <w:p>
            <w:pPr>
              <w:ind w:left="100"/>
              <w:spacing w:after="0"/>
              <w:rPr>
                <w:sz w:val="20"/>
                <w:szCs w:val="20"/>
                <w:color w:val="auto"/>
              </w:rPr>
            </w:pPr>
            <w:r>
              <w:rPr>
                <w:rFonts w:ascii="Arial" w:cs="Arial" w:eastAsia="Arial" w:hAnsi="Arial"/>
                <w:sz w:val="13"/>
                <w:szCs w:val="13"/>
                <w:color w:val="auto"/>
              </w:rPr>
              <w:t>•</w:t>
            </w:r>
          </w:p>
        </w:tc>
        <w:tc>
          <w:tcPr>
            <w:tcW w:w="2300" w:type="dxa"/>
            <w:vAlign w:val="bottom"/>
            <w:tcBorders>
              <w:bottom w:val="single" w:sz="8" w:color="EDF2F8"/>
            </w:tcBorders>
            <w:shd w:val="clear" w:color="auto" w:fill="EDF2F8"/>
          </w:tcPr>
          <w:p>
            <w:pPr>
              <w:ind w:left="100"/>
              <w:spacing w:after="0"/>
              <w:rPr>
                <w:sz w:val="20"/>
                <w:szCs w:val="20"/>
                <w:color w:val="auto"/>
              </w:rPr>
            </w:pPr>
            <w:r>
              <w:rPr>
                <w:rFonts w:ascii="Arial" w:cs="Arial" w:eastAsia="Arial" w:hAnsi="Arial"/>
                <w:sz w:val="13"/>
                <w:szCs w:val="13"/>
                <w:color w:val="auto"/>
              </w:rPr>
              <w:t>Stepan Company</w:t>
            </w:r>
          </w:p>
        </w:tc>
        <w:tc>
          <w:tcPr>
            <w:tcW w:w="580" w:type="dxa"/>
            <w:vAlign w:val="bottom"/>
            <w:tcBorders>
              <w:bottom w:val="single" w:sz="8" w:color="EDF2F8"/>
            </w:tcBorders>
            <w:shd w:val="clear" w:color="auto" w:fill="EDF2F8"/>
          </w:tcPr>
          <w:p>
            <w:pPr>
              <w:spacing w:after="0"/>
              <w:rPr>
                <w:sz w:val="21"/>
                <w:szCs w:val="21"/>
                <w:color w:val="auto"/>
              </w:rPr>
            </w:pPr>
          </w:p>
        </w:tc>
        <w:tc>
          <w:tcPr>
            <w:tcW w:w="2300" w:type="dxa"/>
            <w:vAlign w:val="bottom"/>
            <w:tcBorders>
              <w:bottom w:val="single" w:sz="8" w:color="EDF2F8"/>
            </w:tcBorders>
            <w:shd w:val="clear" w:color="auto" w:fill="EDF2F8"/>
          </w:tcPr>
          <w:p>
            <w:pPr>
              <w:spacing w:after="0"/>
              <w:rPr>
                <w:sz w:val="21"/>
                <w:szCs w:val="21"/>
                <w:color w:val="auto"/>
              </w:rPr>
            </w:pPr>
          </w:p>
        </w:tc>
        <w:tc>
          <w:tcPr>
            <w:tcW w:w="600" w:type="dxa"/>
            <w:vAlign w:val="bottom"/>
            <w:tcBorders>
              <w:bottom w:val="single" w:sz="8" w:color="EDF2F8"/>
            </w:tcBorders>
            <w:shd w:val="clear" w:color="auto" w:fill="EDF2F8"/>
          </w:tcPr>
          <w:p>
            <w:pPr>
              <w:spacing w:after="0"/>
              <w:rPr>
                <w:sz w:val="21"/>
                <w:szCs w:val="21"/>
                <w:color w:val="auto"/>
              </w:rPr>
            </w:pPr>
          </w:p>
        </w:tc>
        <w:tc>
          <w:tcPr>
            <w:tcW w:w="2700" w:type="dxa"/>
            <w:vAlign w:val="bottom"/>
            <w:tcBorders>
              <w:bottom w:val="single" w:sz="8" w:color="EDF2F8"/>
              <w:right w:val="single" w:sz="8" w:color="4F81BD"/>
            </w:tcBorders>
            <w:shd w:val="clear" w:color="auto" w:fill="EDF2F8"/>
          </w:tcPr>
          <w:p>
            <w:pPr>
              <w:spacing w:after="0"/>
              <w:rPr>
                <w:sz w:val="21"/>
                <w:szCs w:val="21"/>
                <w:color w:val="auto"/>
              </w:rPr>
            </w:pPr>
          </w:p>
        </w:tc>
      </w:tr>
      <w:tr>
        <w:trPr>
          <w:trHeight w:val="20"/>
        </w:trPr>
        <w:tc>
          <w:tcPr>
            <w:tcW w:w="220" w:type="dxa"/>
            <w:vAlign w:val="bottom"/>
            <w:tcBorders>
              <w:left w:val="single" w:sz="8" w:color="4F81BD"/>
            </w:tcBorders>
            <w:shd w:val="clear" w:color="auto" w:fill="4F81BD"/>
          </w:tcPr>
          <w:p>
            <w:pPr>
              <w:spacing w:after="0" w:line="20" w:lineRule="exact"/>
              <w:rPr>
                <w:sz w:val="1"/>
                <w:szCs w:val="1"/>
                <w:color w:val="auto"/>
              </w:rPr>
            </w:pPr>
          </w:p>
        </w:tc>
        <w:tc>
          <w:tcPr>
            <w:tcW w:w="2300" w:type="dxa"/>
            <w:vAlign w:val="bottom"/>
            <w:shd w:val="clear" w:color="auto" w:fill="4F81BD"/>
          </w:tcPr>
          <w:p>
            <w:pPr>
              <w:spacing w:after="0" w:line="20" w:lineRule="exact"/>
              <w:rPr>
                <w:sz w:val="1"/>
                <w:szCs w:val="1"/>
                <w:color w:val="auto"/>
              </w:rPr>
            </w:pPr>
          </w:p>
        </w:tc>
        <w:tc>
          <w:tcPr>
            <w:tcW w:w="580" w:type="dxa"/>
            <w:vAlign w:val="bottom"/>
            <w:shd w:val="clear" w:color="auto" w:fill="4F81BD"/>
          </w:tcPr>
          <w:p>
            <w:pPr>
              <w:spacing w:after="0" w:line="20" w:lineRule="exact"/>
              <w:rPr>
                <w:sz w:val="1"/>
                <w:szCs w:val="1"/>
                <w:color w:val="auto"/>
              </w:rPr>
            </w:pPr>
          </w:p>
        </w:tc>
        <w:tc>
          <w:tcPr>
            <w:tcW w:w="2300" w:type="dxa"/>
            <w:vAlign w:val="bottom"/>
            <w:shd w:val="clear" w:color="auto" w:fill="4F81BD"/>
          </w:tcPr>
          <w:p>
            <w:pPr>
              <w:spacing w:after="0" w:line="20" w:lineRule="exact"/>
              <w:rPr>
                <w:sz w:val="1"/>
                <w:szCs w:val="1"/>
                <w:color w:val="auto"/>
              </w:rPr>
            </w:pPr>
          </w:p>
        </w:tc>
        <w:tc>
          <w:tcPr>
            <w:tcW w:w="600" w:type="dxa"/>
            <w:vAlign w:val="bottom"/>
            <w:shd w:val="clear" w:color="auto" w:fill="4F81BD"/>
          </w:tcPr>
          <w:p>
            <w:pPr>
              <w:spacing w:after="0" w:line="20" w:lineRule="exact"/>
              <w:rPr>
                <w:sz w:val="1"/>
                <w:szCs w:val="1"/>
                <w:color w:val="auto"/>
              </w:rPr>
            </w:pPr>
          </w:p>
        </w:tc>
        <w:tc>
          <w:tcPr>
            <w:tcW w:w="2700" w:type="dxa"/>
            <w:vAlign w:val="bottom"/>
            <w:tcBorders>
              <w:right w:val="single" w:sz="8" w:color="4F81BD"/>
            </w:tcBorders>
            <w:shd w:val="clear" w:color="auto" w:fill="4F81BD"/>
          </w:tcPr>
          <w:p>
            <w:pPr>
              <w:spacing w:after="0" w:line="20" w:lineRule="exact"/>
              <w:rPr>
                <w:sz w:val="1"/>
                <w:szCs w:val="1"/>
                <w:color w:val="auto"/>
              </w:rPr>
            </w:pPr>
          </w:p>
        </w:tc>
      </w:tr>
    </w:tbl>
    <w:p>
      <w:pPr>
        <w:spacing w:after="0" w:line="10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As a secondary reference for the CEO and CFO and a primary reference for other NEOs, the Compensation Committee reviews Willis Towers Watson survey data for companies with revenues of $1 to $3 billion in revenue. These are standard Willis Towers Watson data sets and were not customized prior to use.</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References to market data in this CD&amp;A, unless otherwise noted, are to these foregoing sources.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Elements of Pay</w:t>
      </w:r>
    </w:p>
    <w:p>
      <w:pPr>
        <w:spacing w:after="0" w:line="195"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Our Compensation Committee has designed our compensation program to align pay with performance. Our executives are rewarded for delivery of long-term stockholder value, performance against long and short-term financial targets, and personal objectives aligned to our strategy.</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material elements of compensation for the Company’s NEOs are:</w:t>
      </w:r>
    </w:p>
    <w:p>
      <w:pPr>
        <w:spacing w:after="0" w:line="128" w:lineRule="exact"/>
        <w:rPr>
          <w:sz w:val="20"/>
          <w:szCs w:val="20"/>
          <w:color w:val="auto"/>
        </w:rPr>
      </w:pPr>
    </w:p>
    <w:p>
      <w:pPr>
        <w:ind w:left="880" w:hanging="340"/>
        <w:spacing w:after="0"/>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 salary;</w:t>
      </w:r>
    </w:p>
    <w:p>
      <w:pPr>
        <w:spacing w:after="0" w:line="117" w:lineRule="exact"/>
        <w:rPr>
          <w:rFonts w:ascii="Arial" w:cs="Arial" w:eastAsia="Arial" w:hAnsi="Arial"/>
          <w:sz w:val="15"/>
          <w:szCs w:val="15"/>
          <w:color w:val="auto"/>
        </w:rPr>
      </w:pPr>
    </w:p>
    <w:p>
      <w:pPr>
        <w:ind w:left="880" w:hanging="340"/>
        <w:spacing w:after="0"/>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Short-term incentive;</w:t>
      </w:r>
    </w:p>
    <w:p>
      <w:pPr>
        <w:spacing w:after="0" w:line="128" w:lineRule="exact"/>
        <w:rPr>
          <w:rFonts w:ascii="Arial" w:cs="Arial" w:eastAsia="Arial" w:hAnsi="Arial"/>
          <w:sz w:val="15"/>
          <w:szCs w:val="15"/>
          <w:color w:val="auto"/>
        </w:rPr>
      </w:pPr>
    </w:p>
    <w:p>
      <w:pPr>
        <w:ind w:left="880" w:hanging="340"/>
        <w:spacing w:after="0"/>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Long-term incentives (consistent of RSUs and PSUs); and</w:t>
      </w:r>
    </w:p>
    <w:p>
      <w:pPr>
        <w:spacing w:after="0" w:line="128" w:lineRule="exact"/>
        <w:rPr>
          <w:rFonts w:ascii="Arial" w:cs="Arial" w:eastAsia="Arial" w:hAnsi="Arial"/>
          <w:sz w:val="15"/>
          <w:szCs w:val="15"/>
          <w:color w:val="auto"/>
        </w:rPr>
      </w:pPr>
    </w:p>
    <w:p>
      <w:pPr>
        <w:ind w:left="880" w:right="139" w:hanging="340"/>
        <w:spacing w:after="0" w:line="281" w:lineRule="auto"/>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Other benefits (including retirement and supplemental plans, severance, change in control, employment agreements,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2249170</wp:posOffset>
            </wp:positionV>
            <wp:extent cx="297180" cy="2901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4" w:name="page65"/>
    <w:bookmarkEnd w:id="64"/>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111" w:lineRule="exact"/>
        <w:rPr>
          <w:sz w:val="20"/>
          <w:szCs w:val="20"/>
          <w:color w:val="auto"/>
        </w:rPr>
      </w:pPr>
    </w:p>
    <w:p>
      <w:pPr>
        <w:jc w:val="both"/>
        <w:ind w:left="200" w:right="139"/>
        <w:spacing w:after="0" w:line="253" w:lineRule="auto"/>
        <w:rPr>
          <w:sz w:val="20"/>
          <w:szCs w:val="20"/>
          <w:color w:val="auto"/>
        </w:rPr>
      </w:pPr>
      <w:r>
        <w:rPr>
          <w:rFonts w:ascii="Arial" w:cs="Arial" w:eastAsia="Arial" w:hAnsi="Arial"/>
          <w:sz w:val="15"/>
          <w:szCs w:val="15"/>
          <w:color w:val="auto"/>
        </w:rPr>
        <w:t>A base salary is provided to our NEOs. The level of base salary is reviewed on an annual basis and is adjusted, if appropriate, to recognize the scope and complexity of a role, market data and individual performance. The Compensation Committee references the median (50th percentile) and considers other factors including individual experience and expertise, overall performance, internal pay equity, and contribution to the Company. We believe this methodology enables us to remain competitive as an employer in our markets without incurring unnecessary costs. The Compensation Committee views Mr. Williams as key to the Company’s continued success, given his unique skills and experience and his long and successful tenure as CEO and considers these factors in comparison to the relevant market.</w:t>
      </w:r>
    </w:p>
    <w:p>
      <w:pPr>
        <w:spacing w:after="0" w:line="86" w:lineRule="exact"/>
        <w:rPr>
          <w:sz w:val="20"/>
          <w:szCs w:val="20"/>
          <w:color w:val="auto"/>
        </w:rPr>
      </w:pPr>
    </w:p>
    <w:p>
      <w:pPr>
        <w:jc w:val="both"/>
        <w:ind w:left="200" w:right="119"/>
        <w:spacing w:after="0" w:line="281" w:lineRule="auto"/>
        <w:rPr>
          <w:sz w:val="20"/>
          <w:szCs w:val="20"/>
          <w:color w:val="auto"/>
        </w:rPr>
      </w:pPr>
      <w:r>
        <w:rPr>
          <w:rFonts w:ascii="Arial" w:cs="Arial" w:eastAsia="Arial" w:hAnsi="Arial"/>
          <w:sz w:val="15"/>
          <w:szCs w:val="15"/>
          <w:color w:val="auto"/>
        </w:rPr>
        <w:t>Mr. Williams’s base salary was $1,354,500 for 2025, which was not increased from 2024. Base salaries for the other NEOs increased according to the following table for 2025:</w:t>
      </w:r>
    </w:p>
    <w:p>
      <w:pPr>
        <w:spacing w:after="0" w:line="70" w:lineRule="exact"/>
        <w:rPr>
          <w:sz w:val="20"/>
          <w:szCs w:val="20"/>
          <w:color w:val="auto"/>
        </w:rPr>
      </w:pPr>
    </w:p>
    <w:tbl>
      <w:tblPr>
        <w:tblLayout w:type="fixed"/>
        <w:tblInd w:w="210" w:type="dxa"/>
        <w:tblCellMar>
          <w:top w:w="0" w:type="dxa"/>
          <w:left w:w="0" w:type="dxa"/>
          <w:bottom w:w="0" w:type="dxa"/>
          <w:right w:w="0" w:type="dxa"/>
        </w:tblCellMar>
      </w:tblPr>
      <w:tr>
        <w:trPr>
          <w:trHeight w:val="283"/>
        </w:trPr>
        <w:tc>
          <w:tcPr>
            <w:tcW w:w="2200" w:type="dxa"/>
            <w:vAlign w:val="bottom"/>
            <w:tcBorders>
              <w:top w:val="single" w:sz="8" w:color="auto"/>
              <w:left w:val="single" w:sz="8" w:color="auto"/>
              <w:bottom w:val="single" w:sz="8" w:color="4F81BD"/>
              <w:right w:val="single" w:sz="8" w:color="auto"/>
            </w:tcBorders>
            <w:shd w:val="clear" w:color="auto" w:fill="4F81BD"/>
          </w:tcPr>
          <w:p>
            <w:pPr>
              <w:ind w:left="100"/>
              <w:spacing w:after="0"/>
              <w:rPr>
                <w:sz w:val="20"/>
                <w:szCs w:val="20"/>
                <w:color w:val="auto"/>
              </w:rPr>
            </w:pPr>
            <w:r>
              <w:rPr>
                <w:rFonts w:ascii="Arial" w:cs="Arial" w:eastAsia="Arial" w:hAnsi="Arial"/>
                <w:sz w:val="13"/>
                <w:szCs w:val="13"/>
                <w:b w:val="1"/>
                <w:bCs w:val="1"/>
                <w:color w:val="FFFFFF"/>
              </w:rPr>
              <w:t>NEO</w:t>
            </w:r>
          </w:p>
        </w:tc>
        <w:tc>
          <w:tcPr>
            <w:tcW w:w="2160" w:type="dxa"/>
            <w:vAlign w:val="bottom"/>
            <w:tcBorders>
              <w:top w:val="single" w:sz="8" w:color="auto"/>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2024 Base Salary</w:t>
            </w:r>
          </w:p>
        </w:tc>
        <w:tc>
          <w:tcPr>
            <w:tcW w:w="2180" w:type="dxa"/>
            <w:vAlign w:val="bottom"/>
            <w:tcBorders>
              <w:top w:val="single" w:sz="8" w:color="auto"/>
              <w:bottom w:val="single" w:sz="8" w:color="4F81BD"/>
              <w:right w:val="single" w:sz="8" w:color="auto"/>
            </w:tcBorders>
            <w:shd w:val="clear" w:color="auto" w:fill="4F81BD"/>
          </w:tcPr>
          <w:p>
            <w:pPr>
              <w:jc w:val="right"/>
              <w:ind w:right="673"/>
              <w:spacing w:after="0"/>
              <w:rPr>
                <w:sz w:val="20"/>
                <w:szCs w:val="20"/>
                <w:color w:val="auto"/>
              </w:rPr>
            </w:pPr>
            <w:r>
              <w:rPr>
                <w:rFonts w:ascii="Arial" w:cs="Arial" w:eastAsia="Arial" w:hAnsi="Arial"/>
                <w:sz w:val="13"/>
                <w:szCs w:val="13"/>
                <w:b w:val="1"/>
                <w:bCs w:val="1"/>
                <w:color w:val="FFFFFF"/>
              </w:rPr>
              <w:t>Increase %</w:t>
            </w:r>
          </w:p>
        </w:tc>
        <w:tc>
          <w:tcPr>
            <w:tcW w:w="2160" w:type="dxa"/>
            <w:vAlign w:val="bottom"/>
            <w:tcBorders>
              <w:top w:val="single" w:sz="8" w:color="auto"/>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2025 Base Salary</w:t>
            </w:r>
          </w:p>
        </w:tc>
      </w:tr>
      <w:tr>
        <w:trPr>
          <w:trHeight w:val="263"/>
        </w:trPr>
        <w:tc>
          <w:tcPr>
            <w:tcW w:w="220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Mr. Ian P. Cleminson</w:t>
            </w:r>
          </w:p>
        </w:tc>
        <w:tc>
          <w:tcPr>
            <w:tcW w:w="21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$495,708</w:t>
            </w:r>
          </w:p>
        </w:tc>
        <w:tc>
          <w:tcPr>
            <w:tcW w:w="2180" w:type="dxa"/>
            <w:vAlign w:val="bottom"/>
            <w:tcBorders>
              <w:top w:val="single" w:sz="8" w:color="auto"/>
              <w:bottom w:val="single" w:sz="8" w:color="EDF2F8"/>
              <w:right w:val="single" w:sz="8" w:color="auto"/>
            </w:tcBorders>
            <w:shd w:val="clear" w:color="auto" w:fill="EDF2F8"/>
          </w:tcPr>
          <w:p>
            <w:pPr>
              <w:jc w:val="right"/>
              <w:ind w:right="713"/>
              <w:spacing w:after="0"/>
              <w:rPr>
                <w:sz w:val="20"/>
                <w:szCs w:val="20"/>
                <w:color w:val="auto"/>
              </w:rPr>
            </w:pPr>
            <w:r>
              <w:rPr>
                <w:rFonts w:ascii="Arial" w:cs="Arial" w:eastAsia="Arial" w:hAnsi="Arial"/>
                <w:sz w:val="13"/>
                <w:szCs w:val="13"/>
                <w:color w:val="auto"/>
              </w:rPr>
              <w:t>5%</w:t>
            </w:r>
          </w:p>
        </w:tc>
        <w:tc>
          <w:tcPr>
            <w:tcW w:w="21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$520,493</w:t>
            </w:r>
          </w:p>
        </w:tc>
      </w:tr>
      <w:tr>
        <w:trPr>
          <w:trHeight w:val="263"/>
        </w:trPr>
        <w:tc>
          <w:tcPr>
            <w:tcW w:w="220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Dr. Ian M. McRobbie</w:t>
            </w:r>
          </w:p>
        </w:tc>
        <w:tc>
          <w:tcPr>
            <w:tcW w:w="21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$293,025</w:t>
            </w:r>
          </w:p>
        </w:tc>
        <w:tc>
          <w:tcPr>
            <w:tcW w:w="2180" w:type="dxa"/>
            <w:vAlign w:val="bottom"/>
            <w:tcBorders>
              <w:top w:val="single" w:sz="8" w:color="auto"/>
              <w:bottom w:val="single" w:sz="8" w:color="EDF2F8"/>
              <w:right w:val="single" w:sz="8" w:color="auto"/>
            </w:tcBorders>
            <w:shd w:val="clear" w:color="auto" w:fill="EDF2F8"/>
          </w:tcPr>
          <w:p>
            <w:pPr>
              <w:jc w:val="right"/>
              <w:ind w:right="713"/>
              <w:spacing w:after="0"/>
              <w:rPr>
                <w:sz w:val="20"/>
                <w:szCs w:val="20"/>
                <w:color w:val="auto"/>
              </w:rPr>
            </w:pPr>
            <w:r>
              <w:rPr>
                <w:rFonts w:ascii="Arial" w:cs="Arial" w:eastAsia="Arial" w:hAnsi="Arial"/>
                <w:sz w:val="13"/>
                <w:szCs w:val="13"/>
                <w:color w:val="auto"/>
              </w:rPr>
              <w:t>15%</w:t>
            </w:r>
          </w:p>
        </w:tc>
        <w:tc>
          <w:tcPr>
            <w:tcW w:w="21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$336,979</w:t>
            </w:r>
          </w:p>
        </w:tc>
      </w:tr>
      <w:tr>
        <w:trPr>
          <w:trHeight w:val="263"/>
        </w:trPr>
        <w:tc>
          <w:tcPr>
            <w:tcW w:w="220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Mr. Corbin Barnes</w:t>
            </w:r>
          </w:p>
        </w:tc>
        <w:tc>
          <w:tcPr>
            <w:tcW w:w="21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$329,188</w:t>
            </w:r>
          </w:p>
        </w:tc>
        <w:tc>
          <w:tcPr>
            <w:tcW w:w="2180" w:type="dxa"/>
            <w:vAlign w:val="bottom"/>
            <w:tcBorders>
              <w:top w:val="single" w:sz="8" w:color="auto"/>
              <w:bottom w:val="single" w:sz="8" w:color="EDF2F8"/>
              <w:right w:val="single" w:sz="8" w:color="auto"/>
            </w:tcBorders>
            <w:shd w:val="clear" w:color="auto" w:fill="EDF2F8"/>
          </w:tcPr>
          <w:p>
            <w:pPr>
              <w:jc w:val="right"/>
              <w:ind w:right="713"/>
              <w:spacing w:after="0"/>
              <w:rPr>
                <w:sz w:val="20"/>
                <w:szCs w:val="20"/>
                <w:color w:val="auto"/>
              </w:rPr>
            </w:pPr>
            <w:r>
              <w:rPr>
                <w:rFonts w:ascii="Arial" w:cs="Arial" w:eastAsia="Arial" w:hAnsi="Arial"/>
                <w:sz w:val="13"/>
                <w:szCs w:val="13"/>
                <w:color w:val="auto"/>
              </w:rPr>
              <w:t>7%</w:t>
            </w:r>
          </w:p>
        </w:tc>
        <w:tc>
          <w:tcPr>
            <w:tcW w:w="21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$352,231</w:t>
            </w:r>
          </w:p>
        </w:tc>
      </w:tr>
      <w:tr>
        <w:trPr>
          <w:trHeight w:val="238"/>
        </w:trPr>
        <w:tc>
          <w:tcPr>
            <w:tcW w:w="220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Mr. David B. Jones</w:t>
            </w:r>
          </w:p>
        </w:tc>
        <w:tc>
          <w:tcPr>
            <w:tcW w:w="21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$386,400</w:t>
            </w:r>
          </w:p>
        </w:tc>
        <w:tc>
          <w:tcPr>
            <w:tcW w:w="2180" w:type="dxa"/>
            <w:vAlign w:val="bottom"/>
            <w:tcBorders>
              <w:top w:val="single" w:sz="8" w:color="auto"/>
              <w:bottom w:val="single" w:sz="8" w:color="EDF2F8"/>
              <w:right w:val="single" w:sz="8" w:color="auto"/>
            </w:tcBorders>
            <w:shd w:val="clear" w:color="auto" w:fill="EDF2F8"/>
          </w:tcPr>
          <w:p>
            <w:pPr>
              <w:jc w:val="right"/>
              <w:ind w:right="713"/>
              <w:spacing w:after="0"/>
              <w:rPr>
                <w:sz w:val="20"/>
                <w:szCs w:val="20"/>
                <w:color w:val="auto"/>
              </w:rPr>
            </w:pPr>
            <w:r>
              <w:rPr>
                <w:rFonts w:ascii="Arial" w:cs="Arial" w:eastAsia="Arial" w:hAnsi="Arial"/>
                <w:sz w:val="13"/>
                <w:szCs w:val="13"/>
                <w:color w:val="auto"/>
              </w:rPr>
              <w:t>10%</w:t>
            </w:r>
          </w:p>
        </w:tc>
        <w:tc>
          <w:tcPr>
            <w:tcW w:w="21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$425,040</w:t>
            </w:r>
          </w:p>
        </w:tc>
      </w:tr>
      <w:tr>
        <w:trPr>
          <w:trHeight w:val="20"/>
        </w:trPr>
        <w:tc>
          <w:tcPr>
            <w:tcW w:w="2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00" w:lineRule="exact"/>
        <w:rPr>
          <w:sz w:val="20"/>
          <w:szCs w:val="20"/>
          <w:color w:val="auto"/>
        </w:rPr>
      </w:pPr>
    </w:p>
    <w:p>
      <w:pPr>
        <w:jc w:val="both"/>
        <w:ind w:left="200" w:right="139"/>
        <w:spacing w:after="0" w:line="274" w:lineRule="auto"/>
        <w:rPr>
          <w:sz w:val="20"/>
          <w:szCs w:val="20"/>
          <w:color w:val="auto"/>
        </w:rPr>
      </w:pPr>
      <w:r>
        <w:rPr>
          <w:rFonts w:ascii="Arial" w:cs="Arial" w:eastAsia="Arial" w:hAnsi="Arial"/>
          <w:sz w:val="14"/>
          <w:szCs w:val="14"/>
          <w:color w:val="auto"/>
        </w:rPr>
        <w:t>The Company’s Management Incentive Compensation Plan (“MICP”) is a short-term incentive plan, which provides cash payments based on achievement against pre-determined financial goals approved by the Compensation Committee each year. Targets are set for corporate performance and business unit performance (where appropriate) and for personal performance against pre-determined objectives. All payments under the MICP related to the financial performance element are subject to an overall Corporate Operating Income performance threshold. If this threshold is not achieved, no payment relative to the financial performance element is made to any individual, regardless of business unit performance. For grants made for the 2024 year, all payments under the MICP related to the financial performance element were subject to an overall Corporate Operating Income performance threshold of 90%.</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auto"/>
        </w:rPr>
        <w:t>Change for 2025</w:t>
      </w:r>
    </w:p>
    <w:p>
      <w:pPr>
        <w:spacing w:after="0" w:line="12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In 2025, the Compensation Committee conducted a review of the Company’s MICP program in coordination with Exequity. The Compensation Committee noted that, according to market practice, the financial performance threshold is normally lower than 90%. Therefore, the Compensation Committee approved lowering the threshold to 80% for the grants made for the 2025 year.</w:t>
      </w:r>
    </w:p>
    <w:p>
      <w:pPr>
        <w:spacing w:after="0" w:line="77"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Therefore, all payments under the MICP for 2025 related to the financial performance element are subject to an overall Corporate Operating Income performance threshold of 80% of the agreed target for the year; if this target is not achieved, no payments related to this element under the MICP are made to any individual, regardless of business unit performance.</w:t>
      </w:r>
    </w:p>
    <w:p>
      <w:pPr>
        <w:spacing w:after="0" w:line="88"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Further, where an individual’s payment under the MICP includes a financial measure for a business unit, the business unit must also achieve a minimum of 80% of the operating income target or the individual will not receive any MICP bonus for that year related to the financial performance element, irrespective of overall corporate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2632075</wp:posOffset>
            </wp:positionV>
            <wp:extent cx="297180" cy="290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5" w:name="page66"/>
    <w:bookmarkEnd w:id="65"/>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Actual MICP Bonus pay-outs are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133350</wp:posOffset>
            </wp:positionV>
            <wp:extent cx="4554220" cy="1944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554220" cy="194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200" w:right="139"/>
        <w:spacing w:after="0" w:line="291" w:lineRule="auto"/>
        <w:rPr>
          <w:sz w:val="20"/>
          <w:szCs w:val="20"/>
          <w:color w:val="auto"/>
        </w:rPr>
      </w:pPr>
      <w:r>
        <w:rPr>
          <w:rFonts w:ascii="Arial" w:cs="Arial" w:eastAsia="Arial" w:hAnsi="Arial"/>
          <w:sz w:val="14"/>
          <w:szCs w:val="14"/>
          <w:color w:val="auto"/>
        </w:rPr>
        <w:t>Mr. Williams’s bonus at target was increased to 120% of his salary in 2025, and his maximum potential bonus is 276% of his salary. The target percentage for the other NEOs is 60% of their respective salaries, with a maximum potential MICP Bonus pay-out as a percentage of salary of 138%. The levels of MICP target bonus are reviewed periodically and compared to the relevant market.</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4F81BD"/>
        </w:rPr>
        <w:t>Financial Performance Multiplier</w:t>
      </w:r>
      <w:r>
        <w:rPr>
          <w:rFonts w:ascii="Arial" w:cs="Arial" w:eastAsia="Arial" w:hAnsi="Arial"/>
          <w:sz w:val="15"/>
          <w:szCs w:val="15"/>
          <w:color w:val="auto"/>
        </w:rPr>
        <w:t xml:space="preserve"> is determined by the following table:</w:t>
      </w:r>
    </w:p>
    <w:p>
      <w:pPr>
        <w:spacing w:after="0" w:line="112" w:lineRule="exact"/>
        <w:rPr>
          <w:sz w:val="20"/>
          <w:szCs w:val="20"/>
          <w:color w:val="auto"/>
        </w:rPr>
      </w:pPr>
    </w:p>
    <w:tbl>
      <w:tblPr>
        <w:tblLayout w:type="fixed"/>
        <w:tblInd w:w="1930" w:type="dxa"/>
        <w:tblCellMar>
          <w:top w:w="0" w:type="dxa"/>
          <w:left w:w="0" w:type="dxa"/>
          <w:bottom w:w="0" w:type="dxa"/>
          <w:right w:w="0" w:type="dxa"/>
        </w:tblCellMar>
      </w:tblPr>
      <w:tr>
        <w:trPr>
          <w:trHeight w:val="233"/>
        </w:trPr>
        <w:tc>
          <w:tcPr>
            <w:tcW w:w="2640" w:type="dxa"/>
            <w:vAlign w:val="bottom"/>
            <w:tcBorders>
              <w:top w:val="single" w:sz="8" w:color="auto"/>
              <w:left w:val="single" w:sz="8" w:color="auto"/>
              <w:right w:val="single" w:sz="8" w:color="auto"/>
            </w:tcBorders>
            <w:shd w:val="clear" w:color="auto" w:fill="4F81BD"/>
          </w:tcPr>
          <w:p>
            <w:pPr>
              <w:ind w:left="520"/>
              <w:spacing w:after="0"/>
              <w:rPr>
                <w:sz w:val="20"/>
                <w:szCs w:val="20"/>
                <w:color w:val="auto"/>
              </w:rPr>
            </w:pPr>
            <w:r>
              <w:rPr>
                <w:rFonts w:ascii="Arial" w:cs="Arial" w:eastAsia="Arial" w:hAnsi="Arial"/>
                <w:sz w:val="13"/>
                <w:szCs w:val="13"/>
                <w:b w:val="1"/>
                <w:bCs w:val="1"/>
                <w:color w:val="FFFFFF"/>
              </w:rPr>
              <w:t>% Business Achievement</w:t>
            </w:r>
          </w:p>
        </w:tc>
        <w:tc>
          <w:tcPr>
            <w:tcW w:w="264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Financial Performance</w:t>
            </w:r>
          </w:p>
        </w:tc>
      </w:tr>
      <w:tr>
        <w:trPr>
          <w:trHeight w:val="229"/>
        </w:trPr>
        <w:tc>
          <w:tcPr>
            <w:tcW w:w="2640" w:type="dxa"/>
            <w:vAlign w:val="bottom"/>
            <w:tcBorders>
              <w:left w:val="single" w:sz="8" w:color="auto"/>
              <w:bottom w:val="single" w:sz="8" w:color="4F81BD"/>
              <w:right w:val="single" w:sz="8" w:color="auto"/>
            </w:tcBorders>
            <w:shd w:val="clear" w:color="auto" w:fill="4F81BD"/>
          </w:tcPr>
          <w:p>
            <w:pPr>
              <w:ind w:left="860"/>
              <w:spacing w:after="0"/>
              <w:rPr>
                <w:sz w:val="20"/>
                <w:szCs w:val="20"/>
                <w:color w:val="auto"/>
              </w:rPr>
            </w:pPr>
            <w:r>
              <w:rPr>
                <w:rFonts w:ascii="Arial" w:cs="Arial" w:eastAsia="Arial" w:hAnsi="Arial"/>
                <w:sz w:val="13"/>
                <w:szCs w:val="13"/>
                <w:b w:val="1"/>
                <w:bCs w:val="1"/>
                <w:color w:val="FFFFFF"/>
              </w:rPr>
              <w:t>against Target</w:t>
            </w:r>
          </w:p>
        </w:tc>
        <w:tc>
          <w:tcPr>
            <w:tcW w:w="264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Multiplier</w:t>
            </w:r>
          </w:p>
        </w:tc>
      </w:tr>
      <w:tr>
        <w:trPr>
          <w:trHeight w:val="263"/>
        </w:trPr>
        <w:tc>
          <w:tcPr>
            <w:tcW w:w="264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Less than 80%</w:t>
            </w:r>
          </w:p>
        </w:tc>
        <w:tc>
          <w:tcPr>
            <w:tcW w:w="264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82"/>
              </w:rPr>
              <w:t>0</w:t>
            </w:r>
          </w:p>
        </w:tc>
      </w:tr>
      <w:tr>
        <w:trPr>
          <w:trHeight w:val="263"/>
        </w:trPr>
        <w:tc>
          <w:tcPr>
            <w:tcW w:w="264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80%</w:t>
            </w:r>
          </w:p>
        </w:tc>
        <w:tc>
          <w:tcPr>
            <w:tcW w:w="264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9"/>
              </w:rPr>
              <w:t>50%</w:t>
            </w:r>
          </w:p>
        </w:tc>
      </w:tr>
      <w:tr>
        <w:trPr>
          <w:trHeight w:val="263"/>
        </w:trPr>
        <w:tc>
          <w:tcPr>
            <w:tcW w:w="264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100%</w:t>
            </w:r>
          </w:p>
        </w:tc>
        <w:tc>
          <w:tcPr>
            <w:tcW w:w="264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100%</w:t>
            </w:r>
          </w:p>
        </w:tc>
      </w:tr>
      <w:tr>
        <w:trPr>
          <w:trHeight w:val="238"/>
        </w:trPr>
        <w:tc>
          <w:tcPr>
            <w:tcW w:w="264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Equal to or more than 130%</w:t>
            </w:r>
          </w:p>
        </w:tc>
        <w:tc>
          <w:tcPr>
            <w:tcW w:w="264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250%</w:t>
            </w:r>
          </w:p>
        </w:tc>
      </w:tr>
      <w:tr>
        <w:trPr>
          <w:trHeight w:val="20"/>
        </w:trPr>
        <w:tc>
          <w:tcPr>
            <w:tcW w:w="2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40" w:type="dxa"/>
            <w:vAlign w:val="bottom"/>
            <w:tcBorders>
              <w:right w:val="single" w:sz="8" w:color="auto"/>
            </w:tcBorders>
            <w:shd w:val="clear" w:color="auto" w:fill="000000"/>
          </w:tcPr>
          <w:p>
            <w:pPr>
              <w:spacing w:after="0" w:line="20" w:lineRule="exact"/>
              <w:rPr>
                <w:sz w:val="1"/>
                <w:szCs w:val="1"/>
                <w:color w:val="auto"/>
              </w:rPr>
            </w:pPr>
          </w:p>
        </w:tc>
      </w:tr>
    </w:tbl>
    <w:p>
      <w:pPr>
        <w:spacing w:after="0" w:line="10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The Financial Performance Multiplier increases on a linear basis between the data points listed in the table above up to the maximum multiplier listed. For example, a 90% Business Achievement results in a 75% Financial Performance Multiplier, and a 110% Business Achievement results in a 150% Financial Performance Multiplier.</w:t>
      </w:r>
    </w:p>
    <w:p>
      <w:pPr>
        <w:spacing w:after="0" w:line="8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The Compensation Committee reviews the financial performance measures and the allocation between business and personal performance each year to verify alignment with the Compensation Committee’s philosophy. In 2025, the Compensation Committee determined that, consistent with the approach taken in the previous year, the appropriate measures were as follows:</w:t>
      </w:r>
    </w:p>
    <w:p>
      <w:pPr>
        <w:spacing w:after="0" w:line="77" w:lineRule="exact"/>
        <w:rPr>
          <w:sz w:val="20"/>
          <w:szCs w:val="20"/>
          <w:color w:val="auto"/>
        </w:rPr>
      </w:pPr>
    </w:p>
    <w:p>
      <w:pPr>
        <w:jc w:val="both"/>
        <w:ind w:left="880" w:right="139" w:hanging="340"/>
        <w:spacing w:after="0" w:line="254" w:lineRule="auto"/>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b w:val="1"/>
          <w:bCs w:val="1"/>
          <w:u w:val="single" w:color="auto"/>
          <w:color w:val="4F81BD"/>
        </w:rPr>
        <w:t>Corporate Operating Income (before nonrecurring items</w:t>
      </w:r>
      <w:r>
        <w:rPr>
          <w:rFonts w:ascii="Arial" w:cs="Arial" w:eastAsia="Arial" w:hAnsi="Arial"/>
          <w:sz w:val="15"/>
          <w:szCs w:val="15"/>
          <w:b w:val="1"/>
          <w:bCs w:val="1"/>
          <w:color w:val="4F81BD"/>
        </w:rPr>
        <w:t xml:space="preserve">). </w:t>
      </w:r>
      <w:r>
        <w:rPr>
          <w:rFonts w:ascii="Arial" w:cs="Arial" w:eastAsia="Arial" w:hAnsi="Arial"/>
          <w:sz w:val="15"/>
          <w:szCs w:val="15"/>
          <w:color w:val="000000"/>
        </w:rPr>
        <w:t>This is a measure of earnings and represents operating</w:t>
      </w:r>
      <w:r>
        <w:rPr>
          <w:rFonts w:ascii="Arial" w:cs="Arial" w:eastAsia="Arial" w:hAnsi="Arial"/>
          <w:sz w:val="15"/>
          <w:szCs w:val="15"/>
          <w:b w:val="1"/>
          <w:bCs w:val="1"/>
          <w:color w:val="4F81BD"/>
        </w:rPr>
        <w:t xml:space="preserve"> </w:t>
      </w:r>
      <w:r>
        <w:rPr>
          <w:rFonts w:ascii="Arial" w:cs="Arial" w:eastAsia="Arial" w:hAnsi="Arial"/>
          <w:sz w:val="15"/>
          <w:szCs w:val="15"/>
          <w:color w:val="000000"/>
        </w:rPr>
        <w:t>income adjusted to exclude certain one-time/nonrecurring items that are not reflective of our underlying operations for the period in which they are recorded and therefore mask our underlying trends. This measure accounts for 60% of the payout calculation in terms of weighting (75% of the Financial Performance Multiplier). In 2025, items adjusted out of this measure included amortization of intangible assets and UK pension buy-out costs. Exclusion of one-time/nonrecurring items during any given year for this purpose is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1873885</wp:posOffset>
            </wp:positionV>
            <wp:extent cx="297180" cy="290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6" w:name="page67"/>
    <w:bookmarkEnd w:id="66"/>
    <w:p>
      <w:pPr>
        <w:spacing w:after="0" w:line="100" w:lineRule="exact"/>
        <w:rPr>
          <w:sz w:val="20"/>
          <w:szCs w:val="20"/>
          <w:color w:val="auto"/>
        </w:rPr>
      </w:pPr>
    </w:p>
    <w:p>
      <w:pPr>
        <w:jc w:val="both"/>
        <w:ind w:left="880" w:right="139" w:hanging="340"/>
        <w:spacing w:after="0" w:line="258" w:lineRule="auto"/>
        <w:tabs>
          <w:tab w:leader="none" w:pos="880" w:val="left"/>
        </w:tabs>
        <w:numPr>
          <w:ilvl w:val="0"/>
          <w:numId w:val="32"/>
        </w:numPr>
        <w:rPr>
          <w:rFonts w:ascii="Arial" w:cs="Arial" w:eastAsia="Arial" w:hAnsi="Arial"/>
          <w:sz w:val="15"/>
          <w:szCs w:val="15"/>
          <w:color w:val="auto"/>
        </w:rPr>
      </w:pPr>
      <w:r>
        <w:rPr>
          <w:rFonts w:ascii="Arial" w:cs="Arial" w:eastAsia="Arial" w:hAnsi="Arial"/>
          <w:sz w:val="15"/>
          <w:szCs w:val="15"/>
          <w:b w:val="1"/>
          <w:bCs w:val="1"/>
          <w:u w:val="single" w:color="auto"/>
          <w:color w:val="4F81BD"/>
        </w:rPr>
        <w:t>Corporate Free Cash Flow</w:t>
      </w:r>
      <w:r>
        <w:rPr>
          <w:rFonts w:ascii="Arial" w:cs="Arial" w:eastAsia="Arial" w:hAnsi="Arial"/>
          <w:sz w:val="15"/>
          <w:szCs w:val="15"/>
          <w:b w:val="1"/>
          <w:bCs w:val="1"/>
          <w:color w:val="4F81BD"/>
        </w:rPr>
        <w:t xml:space="preserve">. </w:t>
      </w:r>
      <w:r>
        <w:rPr>
          <w:rFonts w:ascii="Arial" w:cs="Arial" w:eastAsia="Arial" w:hAnsi="Arial"/>
          <w:sz w:val="15"/>
          <w:szCs w:val="15"/>
          <w:color w:val="000000"/>
        </w:rPr>
        <w:t>This is a measure of working capital management and represents corporate operating cash</w:t>
      </w:r>
      <w:r>
        <w:rPr>
          <w:rFonts w:ascii="Arial" w:cs="Arial" w:eastAsia="Arial" w:hAnsi="Arial"/>
          <w:sz w:val="15"/>
          <w:szCs w:val="15"/>
          <w:b w:val="1"/>
          <w:bCs w:val="1"/>
          <w:color w:val="4F81BD"/>
        </w:rPr>
        <w:t xml:space="preserve"> </w:t>
      </w:r>
      <w:r>
        <w:rPr>
          <w:rFonts w:ascii="Arial" w:cs="Arial" w:eastAsia="Arial" w:hAnsi="Arial"/>
          <w:sz w:val="15"/>
          <w:szCs w:val="15"/>
          <w:color w:val="000000"/>
        </w:rPr>
        <w:t>flow after capital expenditure and before the cash effect of one-time/non-recurring items, which in 2025 included legacy costs associated with historical environmental liabilities. This measure accounts for 20% of the payout calculation in terms of weighting (25% of the Financial Performance Multiplier).</w:t>
      </w:r>
    </w:p>
    <w:p>
      <w:pPr>
        <w:spacing w:after="0" w:line="93" w:lineRule="exact"/>
        <w:rPr>
          <w:rFonts w:ascii="Arial" w:cs="Arial" w:eastAsia="Arial" w:hAnsi="Arial"/>
          <w:sz w:val="15"/>
          <w:szCs w:val="15"/>
          <w:color w:val="auto"/>
        </w:rPr>
      </w:pPr>
    </w:p>
    <w:p>
      <w:pPr>
        <w:jc w:val="both"/>
        <w:ind w:left="880" w:right="119" w:hanging="340"/>
        <w:spacing w:after="0" w:line="264" w:lineRule="auto"/>
        <w:tabs>
          <w:tab w:leader="none" w:pos="880" w:val="left"/>
        </w:tabs>
        <w:numPr>
          <w:ilvl w:val="0"/>
          <w:numId w:val="32"/>
        </w:numPr>
        <w:rPr>
          <w:rFonts w:ascii="Arial" w:cs="Arial" w:eastAsia="Arial" w:hAnsi="Arial"/>
          <w:sz w:val="15"/>
          <w:szCs w:val="15"/>
          <w:color w:val="auto"/>
        </w:rPr>
      </w:pPr>
      <w:r>
        <w:rPr>
          <w:rFonts w:ascii="Arial" w:cs="Arial" w:eastAsia="Arial" w:hAnsi="Arial"/>
          <w:sz w:val="15"/>
          <w:szCs w:val="15"/>
          <w:b w:val="1"/>
          <w:bCs w:val="1"/>
          <w:u w:val="single" w:color="auto"/>
          <w:color w:val="4F81BD"/>
        </w:rPr>
        <w:t>Personal Performance against Objectives</w:t>
      </w:r>
      <w:r>
        <w:rPr>
          <w:rFonts w:ascii="Arial" w:cs="Arial" w:eastAsia="Arial" w:hAnsi="Arial"/>
          <w:sz w:val="15"/>
          <w:szCs w:val="15"/>
          <w:b w:val="1"/>
          <w:bCs w:val="1"/>
          <w:color w:val="4F81BD"/>
        </w:rPr>
        <w:t xml:space="preserve">. </w:t>
      </w:r>
      <w:r>
        <w:rPr>
          <w:rFonts w:ascii="Arial" w:cs="Arial" w:eastAsia="Arial" w:hAnsi="Arial"/>
          <w:sz w:val="15"/>
          <w:szCs w:val="15"/>
          <w:color w:val="000000"/>
        </w:rPr>
        <w:t>Annual personal objectives for each NEO are established by the</w:t>
      </w:r>
      <w:r>
        <w:rPr>
          <w:rFonts w:ascii="Arial" w:cs="Arial" w:eastAsia="Arial" w:hAnsi="Arial"/>
          <w:sz w:val="15"/>
          <w:szCs w:val="15"/>
          <w:b w:val="1"/>
          <w:bCs w:val="1"/>
          <w:color w:val="4F81BD"/>
        </w:rPr>
        <w:t xml:space="preserve"> </w:t>
      </w:r>
      <w:r>
        <w:rPr>
          <w:rFonts w:ascii="Arial" w:cs="Arial" w:eastAsia="Arial" w:hAnsi="Arial"/>
          <w:sz w:val="15"/>
          <w:szCs w:val="15"/>
          <w:color w:val="000000"/>
        </w:rPr>
        <w:t>Compensation Committee and tailored to reflect each NEO’s specific role and responsibilities. This measure accounts for 20% of the payout calculation in terms of weighting (100% of the Personal Performance Multiplier).</w:t>
      </w:r>
    </w:p>
    <w:p>
      <w:pPr>
        <w:spacing w:after="0" w:line="77" w:lineRule="exact"/>
        <w:rPr>
          <w:sz w:val="20"/>
          <w:szCs w:val="20"/>
          <w:color w:val="auto"/>
        </w:rPr>
      </w:pPr>
    </w:p>
    <w:p>
      <w:pPr>
        <w:jc w:val="both"/>
        <w:ind w:left="200" w:right="139"/>
        <w:spacing w:after="0" w:line="252" w:lineRule="auto"/>
        <w:rPr>
          <w:sz w:val="20"/>
          <w:szCs w:val="20"/>
          <w:color w:val="auto"/>
        </w:rPr>
      </w:pPr>
      <w:r>
        <w:rPr>
          <w:rFonts w:ascii="Arial" w:cs="Arial" w:eastAsia="Arial" w:hAnsi="Arial"/>
          <w:sz w:val="15"/>
          <w:szCs w:val="15"/>
          <w:color w:val="auto"/>
        </w:rPr>
        <w:t>Corporate operating income before nonrecurring items and corporate free cash flow are non-GAAP measures. In addition, the Compensation Committee determines whether the performance measures for any NEO should also include operating income and operating cash flow for the relevant individual businesses, based on the NEO’s specific role and responsibilities. This determination is made at the start of the year. These measures were chosen to align the NEOs with the balanced objectives of increasing earnings and improving cash flow through working capital management, which the Compensation Committee believes are key to the success of the Company. Personal objectives are specific to the business unit(s) or function within which the NEO operates. In addition to the personal element shown in the formula above, if an individual’s overall performance assessment for the year is below satisfactory, then no MICP bonus is paid to that individual.</w:t>
      </w:r>
    </w:p>
    <w:p>
      <w:pPr>
        <w:spacing w:after="0" w:line="99"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Maximum incentive payments under the financial performance component of the MICP are awarded when the Company or, where relevant, an individual business unit exceeds its target performance measures by 30%.</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4F81BD"/>
        </w:rPr>
        <w:t>Personal Performance Multiplier</w:t>
      </w:r>
      <w:r>
        <w:rPr>
          <w:rFonts w:ascii="Arial" w:cs="Arial" w:eastAsia="Arial" w:hAnsi="Arial"/>
          <w:sz w:val="15"/>
          <w:szCs w:val="15"/>
          <w:color w:val="auto"/>
        </w:rPr>
        <w:t xml:space="preserve"> is determined by the following table:</w:t>
      </w:r>
    </w:p>
    <w:p>
      <w:pPr>
        <w:spacing w:after="0" w:line="112" w:lineRule="exact"/>
        <w:rPr>
          <w:sz w:val="20"/>
          <w:szCs w:val="20"/>
          <w:color w:val="auto"/>
        </w:rPr>
      </w:pPr>
    </w:p>
    <w:tbl>
      <w:tblPr>
        <w:tblLayout w:type="fixed"/>
        <w:tblInd w:w="2450" w:type="dxa"/>
        <w:tblCellMar>
          <w:top w:w="0" w:type="dxa"/>
          <w:left w:w="0" w:type="dxa"/>
          <w:bottom w:w="0" w:type="dxa"/>
          <w:right w:w="0" w:type="dxa"/>
        </w:tblCellMar>
      </w:tblPr>
      <w:tr>
        <w:trPr>
          <w:trHeight w:val="233"/>
        </w:trPr>
        <w:tc>
          <w:tcPr>
            <w:tcW w:w="2120" w:type="dxa"/>
            <w:vAlign w:val="bottom"/>
            <w:tcBorders>
              <w:top w:val="single" w:sz="8" w:color="auto"/>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Marks out of 50 against</w:t>
            </w:r>
          </w:p>
        </w:tc>
        <w:tc>
          <w:tcPr>
            <w:tcW w:w="212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Personal Performance</w:t>
            </w:r>
          </w:p>
        </w:tc>
      </w:tr>
      <w:tr>
        <w:trPr>
          <w:trHeight w:val="229"/>
        </w:trPr>
        <w:tc>
          <w:tcPr>
            <w:tcW w:w="2120" w:type="dxa"/>
            <w:vAlign w:val="bottom"/>
            <w:tcBorders>
              <w:left w:val="single" w:sz="8" w:color="auto"/>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Personal Objectives</w:t>
            </w:r>
          </w:p>
        </w:tc>
        <w:tc>
          <w:tcPr>
            <w:tcW w:w="212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Multiplier</w:t>
            </w:r>
          </w:p>
        </w:tc>
      </w:tr>
      <w:tr>
        <w:trPr>
          <w:trHeight w:val="263"/>
        </w:trPr>
        <w:tc>
          <w:tcPr>
            <w:tcW w:w="21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46 – 50</w:t>
            </w:r>
          </w:p>
        </w:tc>
        <w:tc>
          <w:tcPr>
            <w:tcW w:w="2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150%</w:t>
            </w:r>
          </w:p>
        </w:tc>
      </w:tr>
      <w:tr>
        <w:trPr>
          <w:trHeight w:val="263"/>
        </w:trPr>
        <w:tc>
          <w:tcPr>
            <w:tcW w:w="21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41 – 45</w:t>
            </w:r>
          </w:p>
        </w:tc>
        <w:tc>
          <w:tcPr>
            <w:tcW w:w="2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125%</w:t>
            </w:r>
          </w:p>
        </w:tc>
      </w:tr>
      <w:tr>
        <w:trPr>
          <w:trHeight w:val="263"/>
        </w:trPr>
        <w:tc>
          <w:tcPr>
            <w:tcW w:w="21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36 – 40</w:t>
            </w:r>
          </w:p>
        </w:tc>
        <w:tc>
          <w:tcPr>
            <w:tcW w:w="2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100%</w:t>
            </w:r>
          </w:p>
        </w:tc>
      </w:tr>
      <w:tr>
        <w:trPr>
          <w:trHeight w:val="263"/>
        </w:trPr>
        <w:tc>
          <w:tcPr>
            <w:tcW w:w="21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31 – 35</w:t>
            </w:r>
          </w:p>
        </w:tc>
        <w:tc>
          <w:tcPr>
            <w:tcW w:w="2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9"/>
              </w:rPr>
              <w:t>50%</w:t>
            </w:r>
          </w:p>
        </w:tc>
      </w:tr>
      <w:tr>
        <w:trPr>
          <w:trHeight w:val="263"/>
        </w:trPr>
        <w:tc>
          <w:tcPr>
            <w:tcW w:w="21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26 – 30</w:t>
            </w:r>
          </w:p>
        </w:tc>
        <w:tc>
          <w:tcPr>
            <w:tcW w:w="2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9"/>
              </w:rPr>
              <w:t>25%</w:t>
            </w:r>
          </w:p>
        </w:tc>
      </w:tr>
      <w:tr>
        <w:trPr>
          <w:trHeight w:val="238"/>
        </w:trPr>
        <w:tc>
          <w:tcPr>
            <w:tcW w:w="21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25 or less</w:t>
            </w:r>
          </w:p>
        </w:tc>
        <w:tc>
          <w:tcPr>
            <w:tcW w:w="2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82"/>
              </w:rPr>
              <w:t>0</w:t>
            </w:r>
          </w:p>
        </w:tc>
      </w:tr>
      <w:tr>
        <w:trPr>
          <w:trHeight w:val="20"/>
        </w:trPr>
        <w:tc>
          <w:tcPr>
            <w:tcW w:w="2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120" w:type="dxa"/>
            <w:vAlign w:val="bottom"/>
            <w:tcBorders>
              <w:right w:val="single" w:sz="8" w:color="auto"/>
            </w:tcBorders>
            <w:shd w:val="clear" w:color="auto" w:fill="000000"/>
          </w:tcPr>
          <w:p>
            <w:pPr>
              <w:spacing w:after="0" w:line="20" w:lineRule="exact"/>
              <w:rPr>
                <w:sz w:val="1"/>
                <w:szCs w:val="1"/>
                <w:color w:val="auto"/>
              </w:rPr>
            </w:pPr>
          </w:p>
        </w:tc>
      </w:tr>
    </w:tbl>
    <w:p>
      <w:pPr>
        <w:spacing w:after="0" w:line="108"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In assessing individual performance on personal objectives for each NEO, the Compensation Committee uses the following rigorous process:</w:t>
      </w:r>
    </w:p>
    <w:p>
      <w:pPr>
        <w:spacing w:after="0" w:line="75" w:lineRule="exact"/>
        <w:rPr>
          <w:sz w:val="20"/>
          <w:szCs w:val="20"/>
          <w:color w:val="auto"/>
        </w:rPr>
      </w:pPr>
    </w:p>
    <w:p>
      <w:pPr>
        <w:jc w:val="both"/>
        <w:ind w:left="200" w:right="119"/>
        <w:spacing w:after="0" w:line="252" w:lineRule="auto"/>
        <w:rPr>
          <w:sz w:val="20"/>
          <w:szCs w:val="20"/>
          <w:color w:val="auto"/>
        </w:rPr>
      </w:pPr>
      <w:r>
        <w:rPr>
          <w:rFonts w:ascii="Arial" w:cs="Arial" w:eastAsia="Arial" w:hAnsi="Arial"/>
          <w:sz w:val="15"/>
          <w:szCs w:val="15"/>
          <w:color w:val="auto"/>
        </w:rPr>
        <w:t>Annual personal objectives for each NEO are established by the Compensation Committee at the start of the financial year. These objectives are also designed to focus on delivery of high performance, considering the economic and business challenges the Company faces. The Compensation Committee annually reviews the scoring mechanism for personal objectives to make sure performance is appropriately rewarded. Each objective is weighed to give a maximum potential total score of 50. A good performance on the personal objectives is defined as achieving an overall score at the end of the year of 36 to 40 and earning the target level for the 20% based on personal objectives. Achievement of a maximum score of 46 to 50 represents exceptional performance against the personal objectives and increases the 20% of the overall target MICP bonus based on personal objectives by a factor of 50% as shown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2320925</wp:posOffset>
            </wp:positionV>
            <wp:extent cx="297180" cy="290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7" w:name="page68"/>
    <w:bookmarkEnd w:id="67"/>
    <w:p>
      <w:pPr>
        <w:spacing w:after="0" w:line="100"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At the end of the year, as part of the annual performance review process, the CEO reviews the performance of each NEO against the established personal objectives and makes his recommendation to the Compensation Committee. In the case of the CEO, this assessment is made by the Compensation Committee following an interview session with the Chair of the Compensation Committee and a detailed review of the CEO’s annual self-assessment. The final scoring for the NEOs and CEO is reviewed and approved by the full Compensation Committee and then taken to the full Board for final approval.</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consolidated financial performance targets set for annual MICP payments purposes and the actual level achieved for the</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Company in 2025 were as follows:</w:t>
      </w:r>
    </w:p>
    <w:p>
      <w:pPr>
        <w:spacing w:after="0" w:line="98" w:lineRule="exact"/>
        <w:rPr>
          <w:sz w:val="20"/>
          <w:szCs w:val="20"/>
          <w:color w:val="auto"/>
        </w:rPr>
      </w:pPr>
    </w:p>
    <w:tbl>
      <w:tblPr>
        <w:tblLayout w:type="fixed"/>
        <w:tblInd w:w="210" w:type="dxa"/>
        <w:tblCellMar>
          <w:top w:w="0" w:type="dxa"/>
          <w:left w:w="0" w:type="dxa"/>
          <w:bottom w:w="0" w:type="dxa"/>
          <w:right w:w="0" w:type="dxa"/>
        </w:tblCellMar>
      </w:tblPr>
      <w:tr>
        <w:trPr>
          <w:trHeight w:val="233"/>
        </w:trPr>
        <w:tc>
          <w:tcPr>
            <w:tcW w:w="2100" w:type="dxa"/>
            <w:vAlign w:val="bottom"/>
            <w:tcBorders>
              <w:top w:val="single" w:sz="8" w:color="auto"/>
              <w:left w:val="single" w:sz="8" w:color="auto"/>
              <w:right w:val="single" w:sz="8" w:color="auto"/>
            </w:tcBorders>
            <w:shd w:val="clear" w:color="auto" w:fill="4F81BD"/>
          </w:tcPr>
          <w:p>
            <w:pPr>
              <w:ind w:left="340"/>
              <w:spacing w:after="0"/>
              <w:rPr>
                <w:sz w:val="20"/>
                <w:szCs w:val="20"/>
                <w:color w:val="auto"/>
              </w:rPr>
            </w:pPr>
            <w:r>
              <w:rPr>
                <w:rFonts w:ascii="Arial" w:cs="Arial" w:eastAsia="Arial" w:hAnsi="Arial"/>
                <w:sz w:val="13"/>
                <w:szCs w:val="13"/>
                <w:b w:val="1"/>
                <w:bCs w:val="1"/>
                <w:color w:val="FFFFFF"/>
              </w:rPr>
              <w:t>Financial Performance</w:t>
            </w:r>
          </w:p>
        </w:tc>
        <w:tc>
          <w:tcPr>
            <w:tcW w:w="20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Target Set for Annual MICP</w:t>
            </w:r>
          </w:p>
        </w:tc>
        <w:tc>
          <w:tcPr>
            <w:tcW w:w="188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Actual Achieved for MICP</w:t>
            </w:r>
          </w:p>
        </w:tc>
        <w:tc>
          <w:tcPr>
            <w:tcW w:w="126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Achievement as</w:t>
            </w:r>
          </w:p>
        </w:tc>
        <w:tc>
          <w:tcPr>
            <w:tcW w:w="144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 of Target MICP</w:t>
            </w:r>
          </w:p>
        </w:tc>
        <w:tc>
          <w:tcPr>
            <w:tcW w:w="0" w:type="dxa"/>
            <w:vAlign w:val="bottom"/>
          </w:tcPr>
          <w:p>
            <w:pPr>
              <w:spacing w:after="0"/>
              <w:rPr>
                <w:sz w:val="1"/>
                <w:szCs w:val="1"/>
                <w:color w:val="auto"/>
              </w:rPr>
            </w:pPr>
          </w:p>
        </w:tc>
      </w:tr>
      <w:tr>
        <w:trPr>
          <w:trHeight w:val="229"/>
        </w:trPr>
        <w:tc>
          <w:tcPr>
            <w:tcW w:w="2100" w:type="dxa"/>
            <w:vAlign w:val="bottom"/>
            <w:tcBorders>
              <w:left w:val="single" w:sz="8" w:color="auto"/>
              <w:bottom w:val="single" w:sz="8" w:color="4F81BD"/>
              <w:right w:val="single" w:sz="8" w:color="auto"/>
            </w:tcBorders>
            <w:shd w:val="clear" w:color="auto" w:fill="4F81BD"/>
          </w:tcPr>
          <w:p>
            <w:pPr>
              <w:ind w:left="780"/>
              <w:spacing w:after="0"/>
              <w:rPr>
                <w:sz w:val="20"/>
                <w:szCs w:val="20"/>
                <w:color w:val="auto"/>
              </w:rPr>
            </w:pPr>
            <w:r>
              <w:rPr>
                <w:rFonts w:ascii="Arial" w:cs="Arial" w:eastAsia="Arial" w:hAnsi="Arial"/>
                <w:sz w:val="13"/>
                <w:szCs w:val="13"/>
                <w:b w:val="1"/>
                <w:bCs w:val="1"/>
                <w:color w:val="FFFFFF"/>
              </w:rPr>
              <w:t>Measure</w:t>
            </w:r>
          </w:p>
        </w:tc>
        <w:tc>
          <w:tcPr>
            <w:tcW w:w="200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Bonus Purposes</w:t>
            </w:r>
          </w:p>
        </w:tc>
        <w:tc>
          <w:tcPr>
            <w:tcW w:w="188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Bonus Purposes</w:t>
            </w:r>
          </w:p>
        </w:tc>
        <w:tc>
          <w:tcPr>
            <w:tcW w:w="126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 of Target</w:t>
            </w:r>
          </w:p>
        </w:tc>
        <w:tc>
          <w:tcPr>
            <w:tcW w:w="144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Bonus Achieved</w:t>
            </w:r>
          </w:p>
        </w:tc>
        <w:tc>
          <w:tcPr>
            <w:tcW w:w="0" w:type="dxa"/>
            <w:vAlign w:val="bottom"/>
          </w:tcPr>
          <w:p>
            <w:pPr>
              <w:spacing w:after="0"/>
              <w:rPr>
                <w:sz w:val="1"/>
                <w:szCs w:val="1"/>
                <w:color w:val="auto"/>
              </w:rPr>
            </w:pPr>
          </w:p>
        </w:tc>
      </w:tr>
      <w:tr>
        <w:trPr>
          <w:trHeight w:val="211"/>
        </w:trPr>
        <w:tc>
          <w:tcPr>
            <w:tcW w:w="210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Corporate Operating Income</w:t>
            </w:r>
          </w:p>
        </w:tc>
        <w:tc>
          <w:tcPr>
            <w:tcW w:w="2000" w:type="dxa"/>
            <w:vAlign w:val="bottom"/>
            <w:tcBorders>
              <w:top w:val="single" w:sz="8" w:color="auto"/>
              <w:right w:val="single" w:sz="8" w:color="auto"/>
            </w:tcBorders>
            <w:vMerge w:val="restart"/>
            <w:shd w:val="clear" w:color="auto" w:fill="EDF2F8"/>
          </w:tcPr>
          <w:p>
            <w:pPr>
              <w:jc w:val="center"/>
              <w:spacing w:after="0"/>
              <w:rPr>
                <w:sz w:val="20"/>
                <w:szCs w:val="20"/>
                <w:color w:val="auto"/>
              </w:rPr>
            </w:pPr>
            <w:r>
              <w:rPr>
                <w:rFonts w:ascii="Arial" w:cs="Arial" w:eastAsia="Arial" w:hAnsi="Arial"/>
                <w:sz w:val="13"/>
                <w:szCs w:val="13"/>
                <w:color w:val="auto"/>
              </w:rPr>
              <w:t>$174.868 million</w:t>
            </w:r>
          </w:p>
        </w:tc>
        <w:tc>
          <w:tcPr>
            <w:tcW w:w="1880" w:type="dxa"/>
            <w:vAlign w:val="bottom"/>
            <w:tcBorders>
              <w:top w:val="single" w:sz="8" w:color="auto"/>
              <w:right w:val="single" w:sz="8" w:color="auto"/>
            </w:tcBorders>
            <w:vMerge w:val="restart"/>
            <w:shd w:val="clear" w:color="auto" w:fill="EDF2F8"/>
          </w:tcPr>
          <w:p>
            <w:pPr>
              <w:jc w:val="center"/>
              <w:spacing w:after="0"/>
              <w:rPr>
                <w:sz w:val="20"/>
                <w:szCs w:val="20"/>
                <w:color w:val="auto"/>
              </w:rPr>
            </w:pPr>
            <w:r>
              <w:rPr>
                <w:rFonts w:ascii="Arial" w:cs="Arial" w:eastAsia="Arial" w:hAnsi="Arial"/>
                <w:sz w:val="13"/>
                <w:szCs w:val="13"/>
                <w:color w:val="auto"/>
              </w:rPr>
              <w:t>$151.813 million</w:t>
            </w:r>
          </w:p>
        </w:tc>
        <w:tc>
          <w:tcPr>
            <w:tcW w:w="1260" w:type="dxa"/>
            <w:vAlign w:val="bottom"/>
            <w:tcBorders>
              <w:top w:val="single" w:sz="8" w:color="auto"/>
              <w:right w:val="single" w:sz="8" w:color="auto"/>
            </w:tcBorders>
            <w:vMerge w:val="restart"/>
            <w:shd w:val="clear" w:color="auto" w:fill="EDF2F8"/>
          </w:tcPr>
          <w:p>
            <w:pPr>
              <w:jc w:val="center"/>
              <w:spacing w:after="0"/>
              <w:rPr>
                <w:sz w:val="20"/>
                <w:szCs w:val="20"/>
                <w:color w:val="auto"/>
              </w:rPr>
            </w:pPr>
            <w:r>
              <w:rPr>
                <w:rFonts w:ascii="Arial" w:cs="Arial" w:eastAsia="Arial" w:hAnsi="Arial"/>
                <w:sz w:val="13"/>
                <w:szCs w:val="13"/>
                <w:color w:val="auto"/>
                <w:w w:val="99"/>
              </w:rPr>
              <w:t>87%</w:t>
            </w:r>
          </w:p>
        </w:tc>
        <w:tc>
          <w:tcPr>
            <w:tcW w:w="1440" w:type="dxa"/>
            <w:vAlign w:val="bottom"/>
            <w:tcBorders>
              <w:top w:val="single" w:sz="8" w:color="auto"/>
              <w:right w:val="single" w:sz="8" w:color="auto"/>
            </w:tcBorders>
            <w:vMerge w:val="restart"/>
            <w:shd w:val="clear" w:color="auto" w:fill="EDF2F8"/>
          </w:tcPr>
          <w:p>
            <w:pPr>
              <w:jc w:val="center"/>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89"/>
        </w:trPr>
        <w:tc>
          <w:tcPr>
            <w:tcW w:w="2100" w:type="dxa"/>
            <w:vAlign w:val="bottom"/>
            <w:tcBorders>
              <w:left w:val="single" w:sz="8" w:color="auto"/>
              <w:right w:val="single" w:sz="8" w:color="auto"/>
            </w:tcBorders>
            <w:vMerge w:val="restart"/>
            <w:shd w:val="clear" w:color="auto" w:fill="EDF2F8"/>
          </w:tcPr>
          <w:p>
            <w:pPr>
              <w:ind w:left="100"/>
              <w:spacing w:after="0"/>
              <w:rPr>
                <w:sz w:val="20"/>
                <w:szCs w:val="20"/>
                <w:color w:val="auto"/>
              </w:rPr>
            </w:pPr>
            <w:r>
              <w:rPr>
                <w:rFonts w:ascii="Arial" w:cs="Arial" w:eastAsia="Arial" w:hAnsi="Arial"/>
                <w:sz w:val="13"/>
                <w:szCs w:val="13"/>
                <w:color w:val="auto"/>
              </w:rPr>
              <w:t>(before nonrecurring items)</w:t>
            </w:r>
          </w:p>
        </w:tc>
        <w:tc>
          <w:tcPr>
            <w:tcW w:w="2000" w:type="dxa"/>
            <w:vAlign w:val="bottom"/>
            <w:tcBorders>
              <w:right w:val="single" w:sz="8" w:color="auto"/>
            </w:tcBorders>
            <w:vMerge w:val="continue"/>
            <w:shd w:val="clear" w:color="auto" w:fill="EDF2F8"/>
          </w:tcPr>
          <w:p>
            <w:pPr>
              <w:spacing w:after="0"/>
              <w:rPr>
                <w:sz w:val="7"/>
                <w:szCs w:val="7"/>
                <w:color w:val="auto"/>
              </w:rPr>
            </w:pPr>
          </w:p>
        </w:tc>
        <w:tc>
          <w:tcPr>
            <w:tcW w:w="1880" w:type="dxa"/>
            <w:vAlign w:val="bottom"/>
            <w:tcBorders>
              <w:right w:val="single" w:sz="8" w:color="auto"/>
            </w:tcBorders>
            <w:vMerge w:val="continue"/>
            <w:shd w:val="clear" w:color="auto" w:fill="EDF2F8"/>
          </w:tcPr>
          <w:p>
            <w:pPr>
              <w:spacing w:after="0"/>
              <w:rPr>
                <w:sz w:val="7"/>
                <w:szCs w:val="7"/>
                <w:color w:val="auto"/>
              </w:rPr>
            </w:pPr>
          </w:p>
        </w:tc>
        <w:tc>
          <w:tcPr>
            <w:tcW w:w="1260" w:type="dxa"/>
            <w:vAlign w:val="bottom"/>
            <w:tcBorders>
              <w:right w:val="single" w:sz="8" w:color="auto"/>
            </w:tcBorders>
            <w:vMerge w:val="continue"/>
            <w:shd w:val="clear" w:color="auto" w:fill="EDF2F8"/>
          </w:tcPr>
          <w:p>
            <w:pPr>
              <w:spacing w:after="0"/>
              <w:rPr>
                <w:sz w:val="7"/>
                <w:szCs w:val="7"/>
                <w:color w:val="auto"/>
              </w:rPr>
            </w:pPr>
          </w:p>
        </w:tc>
        <w:tc>
          <w:tcPr>
            <w:tcW w:w="1440" w:type="dxa"/>
            <w:vAlign w:val="bottom"/>
            <w:tcBorders>
              <w:right w:val="single" w:sz="8" w:color="auto"/>
            </w:tcBorders>
            <w:vMerge w:val="continue"/>
            <w:shd w:val="clear" w:color="auto" w:fill="EDF2F8"/>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100" w:type="dxa"/>
            <w:vAlign w:val="bottom"/>
            <w:tcBorders>
              <w:left w:val="single" w:sz="8" w:color="auto"/>
              <w:bottom w:val="single" w:sz="8" w:color="EDF2F8"/>
              <w:right w:val="single" w:sz="8" w:color="auto"/>
            </w:tcBorders>
            <w:vMerge w:val="continue"/>
            <w:shd w:val="clear" w:color="auto" w:fill="EDF2F8"/>
          </w:tcPr>
          <w:p>
            <w:pPr>
              <w:spacing w:after="0"/>
              <w:rPr>
                <w:sz w:val="11"/>
                <w:szCs w:val="11"/>
                <w:color w:val="auto"/>
              </w:rPr>
            </w:pPr>
          </w:p>
        </w:tc>
        <w:tc>
          <w:tcPr>
            <w:tcW w:w="2000" w:type="dxa"/>
            <w:vAlign w:val="bottom"/>
            <w:tcBorders>
              <w:bottom w:val="single" w:sz="8" w:color="EDF2F8"/>
              <w:right w:val="single" w:sz="8" w:color="auto"/>
            </w:tcBorders>
            <w:shd w:val="clear" w:color="auto" w:fill="EDF2F8"/>
          </w:tcPr>
          <w:p>
            <w:pPr>
              <w:spacing w:after="0"/>
              <w:rPr>
                <w:sz w:val="11"/>
                <w:szCs w:val="11"/>
                <w:color w:val="auto"/>
              </w:rPr>
            </w:pPr>
          </w:p>
        </w:tc>
        <w:tc>
          <w:tcPr>
            <w:tcW w:w="1880" w:type="dxa"/>
            <w:vAlign w:val="bottom"/>
            <w:tcBorders>
              <w:bottom w:val="single" w:sz="8" w:color="EDF2F8"/>
              <w:right w:val="single" w:sz="8" w:color="auto"/>
            </w:tcBorders>
            <w:shd w:val="clear" w:color="auto" w:fill="EDF2F8"/>
          </w:tcPr>
          <w:p>
            <w:pPr>
              <w:spacing w:after="0"/>
              <w:rPr>
                <w:sz w:val="11"/>
                <w:szCs w:val="11"/>
                <w:color w:val="auto"/>
              </w:rPr>
            </w:pPr>
          </w:p>
        </w:tc>
        <w:tc>
          <w:tcPr>
            <w:tcW w:w="1260" w:type="dxa"/>
            <w:vAlign w:val="bottom"/>
            <w:tcBorders>
              <w:bottom w:val="single" w:sz="8" w:color="EDF2F8"/>
              <w:right w:val="single" w:sz="8" w:color="auto"/>
            </w:tcBorders>
            <w:shd w:val="clear" w:color="auto" w:fill="EDF2F8"/>
          </w:tcPr>
          <w:p>
            <w:pPr>
              <w:spacing w:after="0"/>
              <w:rPr>
                <w:sz w:val="11"/>
                <w:szCs w:val="11"/>
                <w:color w:val="auto"/>
              </w:rPr>
            </w:pPr>
          </w:p>
        </w:tc>
        <w:tc>
          <w:tcPr>
            <w:tcW w:w="1440" w:type="dxa"/>
            <w:vAlign w:val="bottom"/>
            <w:tcBorders>
              <w:bottom w:val="single" w:sz="8" w:color="EDF2F8"/>
              <w:right w:val="single" w:sz="8" w:color="auto"/>
            </w:tcBorders>
            <w:shd w:val="clear" w:color="auto" w:fill="EDF2F8"/>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10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Corporate Free Cash Flow</w:t>
            </w:r>
          </w:p>
        </w:tc>
        <w:tc>
          <w:tcPr>
            <w:tcW w:w="2000" w:type="dxa"/>
            <w:vAlign w:val="bottom"/>
            <w:tcBorders>
              <w:top w:val="single" w:sz="8" w:color="auto"/>
              <w:right w:val="single" w:sz="8" w:color="auto"/>
            </w:tcBorders>
            <w:vMerge w:val="restart"/>
            <w:shd w:val="clear" w:color="auto" w:fill="EDF2F8"/>
          </w:tcPr>
          <w:p>
            <w:pPr>
              <w:jc w:val="center"/>
              <w:spacing w:after="0"/>
              <w:rPr>
                <w:sz w:val="20"/>
                <w:szCs w:val="20"/>
                <w:color w:val="auto"/>
              </w:rPr>
            </w:pPr>
            <w:r>
              <w:rPr>
                <w:rFonts w:ascii="Arial" w:cs="Arial" w:eastAsia="Arial" w:hAnsi="Arial"/>
                <w:sz w:val="13"/>
                <w:szCs w:val="13"/>
                <w:color w:val="auto"/>
              </w:rPr>
              <w:t>$74.068 million</w:t>
            </w:r>
          </w:p>
        </w:tc>
        <w:tc>
          <w:tcPr>
            <w:tcW w:w="1880" w:type="dxa"/>
            <w:vAlign w:val="bottom"/>
            <w:tcBorders>
              <w:top w:val="single" w:sz="8" w:color="auto"/>
              <w:right w:val="single" w:sz="8" w:color="auto"/>
            </w:tcBorders>
            <w:vMerge w:val="restart"/>
            <w:shd w:val="clear" w:color="auto" w:fill="EDF2F8"/>
          </w:tcPr>
          <w:p>
            <w:pPr>
              <w:jc w:val="center"/>
              <w:spacing w:after="0"/>
              <w:rPr>
                <w:sz w:val="20"/>
                <w:szCs w:val="20"/>
                <w:color w:val="auto"/>
              </w:rPr>
            </w:pPr>
            <w:r>
              <w:rPr>
                <w:rFonts w:ascii="Arial" w:cs="Arial" w:eastAsia="Arial" w:hAnsi="Arial"/>
                <w:sz w:val="13"/>
                <w:szCs w:val="13"/>
                <w:color w:val="auto"/>
              </w:rPr>
              <w:t>$64.516 million</w:t>
            </w:r>
          </w:p>
        </w:tc>
        <w:tc>
          <w:tcPr>
            <w:tcW w:w="1260" w:type="dxa"/>
            <w:vAlign w:val="bottom"/>
            <w:tcBorders>
              <w:top w:val="single" w:sz="8" w:color="auto"/>
              <w:right w:val="single" w:sz="8" w:color="auto"/>
            </w:tcBorders>
            <w:vMerge w:val="restart"/>
            <w:shd w:val="clear" w:color="auto" w:fill="EDF2F8"/>
          </w:tcPr>
          <w:p>
            <w:pPr>
              <w:jc w:val="center"/>
              <w:spacing w:after="0"/>
              <w:rPr>
                <w:sz w:val="20"/>
                <w:szCs w:val="20"/>
                <w:color w:val="auto"/>
              </w:rPr>
            </w:pPr>
            <w:r>
              <w:rPr>
                <w:rFonts w:ascii="Arial" w:cs="Arial" w:eastAsia="Arial" w:hAnsi="Arial"/>
                <w:sz w:val="13"/>
                <w:szCs w:val="13"/>
                <w:color w:val="auto"/>
                <w:w w:val="99"/>
              </w:rPr>
              <w:t>87%</w:t>
            </w:r>
          </w:p>
        </w:tc>
        <w:tc>
          <w:tcPr>
            <w:tcW w:w="1440" w:type="dxa"/>
            <w:vAlign w:val="bottom"/>
            <w:tcBorders>
              <w:top w:val="single" w:sz="8" w:color="auto"/>
              <w:right w:val="single" w:sz="8" w:color="auto"/>
            </w:tcBorders>
            <w:vMerge w:val="restart"/>
            <w:shd w:val="clear" w:color="auto" w:fill="EDF2F8"/>
          </w:tcPr>
          <w:p>
            <w:pPr>
              <w:jc w:val="center"/>
              <w:spacing w:after="0"/>
              <w:rPr>
                <w:sz w:val="20"/>
                <w:szCs w:val="20"/>
                <w:color w:val="auto"/>
              </w:rPr>
            </w:pPr>
            <w:r>
              <w:rPr>
                <w:rFonts w:ascii="Arial" w:cs="Arial" w:eastAsia="Arial" w:hAnsi="Arial"/>
                <w:sz w:val="13"/>
                <w:szCs w:val="13"/>
                <w:color w:val="auto"/>
              </w:rPr>
              <w:t>67.5%</w:t>
            </w:r>
          </w:p>
        </w:tc>
        <w:tc>
          <w:tcPr>
            <w:tcW w:w="0" w:type="dxa"/>
            <w:vAlign w:val="bottom"/>
          </w:tcPr>
          <w:p>
            <w:pPr>
              <w:spacing w:after="0"/>
              <w:rPr>
                <w:sz w:val="1"/>
                <w:szCs w:val="1"/>
                <w:color w:val="auto"/>
              </w:rPr>
            </w:pPr>
          </w:p>
        </w:tc>
      </w:tr>
      <w:tr>
        <w:trPr>
          <w:trHeight w:val="89"/>
        </w:trPr>
        <w:tc>
          <w:tcPr>
            <w:tcW w:w="2100" w:type="dxa"/>
            <w:vAlign w:val="bottom"/>
            <w:tcBorders>
              <w:left w:val="single" w:sz="8" w:color="auto"/>
              <w:right w:val="single" w:sz="8" w:color="auto"/>
            </w:tcBorders>
            <w:vMerge w:val="restart"/>
            <w:shd w:val="clear" w:color="auto" w:fill="EDF2F8"/>
          </w:tcPr>
          <w:p>
            <w:pPr>
              <w:ind w:left="100"/>
              <w:spacing w:after="0"/>
              <w:rPr>
                <w:sz w:val="20"/>
                <w:szCs w:val="20"/>
                <w:color w:val="auto"/>
              </w:rPr>
            </w:pPr>
            <w:r>
              <w:rPr>
                <w:rFonts w:ascii="Arial" w:cs="Arial" w:eastAsia="Arial" w:hAnsi="Arial"/>
                <w:sz w:val="13"/>
                <w:szCs w:val="13"/>
                <w:color w:val="auto"/>
              </w:rPr>
              <w:t>(before nonrecurring items)</w:t>
            </w:r>
          </w:p>
        </w:tc>
        <w:tc>
          <w:tcPr>
            <w:tcW w:w="2000" w:type="dxa"/>
            <w:vAlign w:val="bottom"/>
            <w:tcBorders>
              <w:right w:val="single" w:sz="8" w:color="auto"/>
            </w:tcBorders>
            <w:vMerge w:val="continue"/>
            <w:shd w:val="clear" w:color="auto" w:fill="EDF2F8"/>
          </w:tcPr>
          <w:p>
            <w:pPr>
              <w:spacing w:after="0"/>
              <w:rPr>
                <w:sz w:val="7"/>
                <w:szCs w:val="7"/>
                <w:color w:val="auto"/>
              </w:rPr>
            </w:pPr>
          </w:p>
        </w:tc>
        <w:tc>
          <w:tcPr>
            <w:tcW w:w="1880" w:type="dxa"/>
            <w:vAlign w:val="bottom"/>
            <w:tcBorders>
              <w:right w:val="single" w:sz="8" w:color="auto"/>
            </w:tcBorders>
            <w:vMerge w:val="continue"/>
            <w:shd w:val="clear" w:color="auto" w:fill="EDF2F8"/>
          </w:tcPr>
          <w:p>
            <w:pPr>
              <w:spacing w:after="0"/>
              <w:rPr>
                <w:sz w:val="7"/>
                <w:szCs w:val="7"/>
                <w:color w:val="auto"/>
              </w:rPr>
            </w:pPr>
          </w:p>
        </w:tc>
        <w:tc>
          <w:tcPr>
            <w:tcW w:w="1260" w:type="dxa"/>
            <w:vAlign w:val="bottom"/>
            <w:tcBorders>
              <w:right w:val="single" w:sz="8" w:color="auto"/>
            </w:tcBorders>
            <w:vMerge w:val="continue"/>
            <w:shd w:val="clear" w:color="auto" w:fill="EDF2F8"/>
          </w:tcPr>
          <w:p>
            <w:pPr>
              <w:spacing w:after="0"/>
              <w:rPr>
                <w:sz w:val="7"/>
                <w:szCs w:val="7"/>
                <w:color w:val="auto"/>
              </w:rPr>
            </w:pPr>
          </w:p>
        </w:tc>
        <w:tc>
          <w:tcPr>
            <w:tcW w:w="1440" w:type="dxa"/>
            <w:vAlign w:val="bottom"/>
            <w:tcBorders>
              <w:right w:val="single" w:sz="8" w:color="auto"/>
            </w:tcBorders>
            <w:vMerge w:val="continue"/>
            <w:shd w:val="clear" w:color="auto" w:fill="EDF2F8"/>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100" w:type="dxa"/>
            <w:vAlign w:val="bottom"/>
            <w:tcBorders>
              <w:left w:val="single" w:sz="8" w:color="auto"/>
              <w:bottom w:val="single" w:sz="8" w:color="EDF2F8"/>
              <w:right w:val="single" w:sz="8" w:color="auto"/>
            </w:tcBorders>
            <w:vMerge w:val="continue"/>
            <w:shd w:val="clear" w:color="auto" w:fill="EDF2F8"/>
          </w:tcPr>
          <w:p>
            <w:pPr>
              <w:spacing w:after="0"/>
              <w:rPr>
                <w:sz w:val="10"/>
                <w:szCs w:val="10"/>
                <w:color w:val="auto"/>
              </w:rPr>
            </w:pPr>
          </w:p>
        </w:tc>
        <w:tc>
          <w:tcPr>
            <w:tcW w:w="2000" w:type="dxa"/>
            <w:vAlign w:val="bottom"/>
            <w:tcBorders>
              <w:bottom w:val="single" w:sz="8" w:color="EDF2F8"/>
              <w:right w:val="single" w:sz="8" w:color="auto"/>
            </w:tcBorders>
            <w:shd w:val="clear" w:color="auto" w:fill="EDF2F8"/>
          </w:tcPr>
          <w:p>
            <w:pPr>
              <w:spacing w:after="0"/>
              <w:rPr>
                <w:sz w:val="10"/>
                <w:szCs w:val="10"/>
                <w:color w:val="auto"/>
              </w:rPr>
            </w:pPr>
          </w:p>
        </w:tc>
        <w:tc>
          <w:tcPr>
            <w:tcW w:w="1880" w:type="dxa"/>
            <w:vAlign w:val="bottom"/>
            <w:tcBorders>
              <w:bottom w:val="single" w:sz="8" w:color="EDF2F8"/>
              <w:right w:val="single" w:sz="8" w:color="auto"/>
            </w:tcBorders>
            <w:shd w:val="clear" w:color="auto" w:fill="EDF2F8"/>
          </w:tcPr>
          <w:p>
            <w:pPr>
              <w:spacing w:after="0"/>
              <w:rPr>
                <w:sz w:val="10"/>
                <w:szCs w:val="10"/>
                <w:color w:val="auto"/>
              </w:rPr>
            </w:pPr>
          </w:p>
        </w:tc>
        <w:tc>
          <w:tcPr>
            <w:tcW w:w="1260" w:type="dxa"/>
            <w:vAlign w:val="bottom"/>
            <w:tcBorders>
              <w:bottom w:val="single" w:sz="8" w:color="EDF2F8"/>
              <w:right w:val="single" w:sz="8" w:color="auto"/>
            </w:tcBorders>
            <w:shd w:val="clear" w:color="auto" w:fill="EDF2F8"/>
          </w:tcPr>
          <w:p>
            <w:pPr>
              <w:spacing w:after="0"/>
              <w:rPr>
                <w:sz w:val="10"/>
                <w:szCs w:val="10"/>
                <w:color w:val="auto"/>
              </w:rPr>
            </w:pPr>
          </w:p>
        </w:tc>
        <w:tc>
          <w:tcPr>
            <w:tcW w:w="1440" w:type="dxa"/>
            <w:vAlign w:val="bottom"/>
            <w:tcBorders>
              <w:bottom w:val="single" w:sz="8" w:color="EDF2F8"/>
              <w:right w:val="single" w:sz="8" w:color="auto"/>
            </w:tcBorders>
            <w:shd w:val="clear" w:color="auto" w:fill="EDF2F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200" w:right="119"/>
        <w:spacing w:after="0" w:line="281" w:lineRule="auto"/>
        <w:rPr>
          <w:sz w:val="20"/>
          <w:szCs w:val="20"/>
          <w:color w:val="auto"/>
        </w:rPr>
      </w:pPr>
      <w:r>
        <w:rPr>
          <w:rFonts w:ascii="Arial" w:cs="Arial" w:eastAsia="Arial" w:hAnsi="Arial"/>
          <w:sz w:val="15"/>
          <w:szCs w:val="15"/>
          <w:color w:val="auto"/>
        </w:rPr>
        <w:t>The following table summarizes the assessment of the personal performance scores for 2025 performance and incentive payments made under the MICP for 2025 for each of the NEOs.</w:t>
      </w:r>
    </w:p>
    <w:p>
      <w:pPr>
        <w:spacing w:after="0" w:line="70" w:lineRule="exact"/>
        <w:rPr>
          <w:sz w:val="20"/>
          <w:szCs w:val="20"/>
          <w:color w:val="auto"/>
        </w:rPr>
      </w:pPr>
    </w:p>
    <w:tbl>
      <w:tblPr>
        <w:tblLayout w:type="fixed"/>
        <w:tblInd w:w="1230" w:type="dxa"/>
        <w:tblCellMar>
          <w:top w:w="0" w:type="dxa"/>
          <w:left w:w="0" w:type="dxa"/>
          <w:bottom w:w="0" w:type="dxa"/>
          <w:right w:w="0" w:type="dxa"/>
        </w:tblCellMar>
      </w:tblPr>
      <w:tr>
        <w:trPr>
          <w:trHeight w:val="233"/>
        </w:trPr>
        <w:tc>
          <w:tcPr>
            <w:tcW w:w="2460" w:type="dxa"/>
            <w:vAlign w:val="bottom"/>
            <w:tcBorders>
              <w:top w:val="single" w:sz="8" w:color="auto"/>
              <w:left w:val="single" w:sz="8" w:color="auto"/>
              <w:right w:val="single" w:sz="8" w:color="auto"/>
            </w:tcBorders>
            <w:shd w:val="clear" w:color="auto" w:fill="4F81BD"/>
          </w:tcPr>
          <w:p>
            <w:pPr>
              <w:ind w:left="100"/>
              <w:spacing w:after="0"/>
              <w:rPr>
                <w:sz w:val="20"/>
                <w:szCs w:val="20"/>
                <w:color w:val="auto"/>
              </w:rPr>
            </w:pPr>
            <w:r>
              <w:rPr>
                <w:rFonts w:ascii="Arial" w:cs="Arial" w:eastAsia="Arial" w:hAnsi="Arial"/>
                <w:sz w:val="13"/>
                <w:szCs w:val="13"/>
                <w:b w:val="1"/>
                <w:bCs w:val="1"/>
                <w:color w:val="FFFFFF"/>
              </w:rPr>
              <w:t>NEO</w:t>
            </w:r>
          </w:p>
        </w:tc>
        <w:tc>
          <w:tcPr>
            <w:tcW w:w="188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Target MICP Bonus</w:t>
            </w:r>
          </w:p>
        </w:tc>
        <w:tc>
          <w:tcPr>
            <w:tcW w:w="134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Personal</w:t>
            </w:r>
          </w:p>
        </w:tc>
        <w:tc>
          <w:tcPr>
            <w:tcW w:w="10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w w:val="98"/>
              </w:rPr>
              <w:t>MICP</w:t>
            </w:r>
          </w:p>
        </w:tc>
      </w:tr>
      <w:tr>
        <w:trPr>
          <w:trHeight w:val="178"/>
        </w:trPr>
        <w:tc>
          <w:tcPr>
            <w:tcW w:w="2460" w:type="dxa"/>
            <w:vAlign w:val="bottom"/>
            <w:tcBorders>
              <w:left w:val="single" w:sz="8" w:color="auto"/>
              <w:right w:val="single" w:sz="8" w:color="auto"/>
            </w:tcBorders>
            <w:shd w:val="clear" w:color="auto" w:fill="4F81BD"/>
          </w:tcPr>
          <w:p>
            <w:pPr>
              <w:spacing w:after="0"/>
              <w:rPr>
                <w:sz w:val="15"/>
                <w:szCs w:val="15"/>
                <w:color w:val="auto"/>
              </w:rPr>
            </w:pPr>
          </w:p>
        </w:tc>
        <w:tc>
          <w:tcPr>
            <w:tcW w:w="1880" w:type="dxa"/>
            <w:vAlign w:val="bottom"/>
            <w:tcBorders>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as a Percentage</w:t>
            </w:r>
          </w:p>
        </w:tc>
        <w:tc>
          <w:tcPr>
            <w:tcW w:w="1340" w:type="dxa"/>
            <w:vAlign w:val="bottom"/>
            <w:tcBorders>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Performance</w:t>
            </w:r>
          </w:p>
        </w:tc>
        <w:tc>
          <w:tcPr>
            <w:tcW w:w="1000" w:type="dxa"/>
            <w:vAlign w:val="bottom"/>
            <w:tcBorders>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Incentive</w:t>
            </w:r>
          </w:p>
        </w:tc>
      </w:tr>
      <w:tr>
        <w:trPr>
          <w:trHeight w:val="229"/>
        </w:trPr>
        <w:tc>
          <w:tcPr>
            <w:tcW w:w="2460" w:type="dxa"/>
            <w:vAlign w:val="bottom"/>
            <w:tcBorders>
              <w:left w:val="single" w:sz="8" w:color="auto"/>
              <w:bottom w:val="single" w:sz="8" w:color="4F81BD"/>
              <w:right w:val="single" w:sz="8" w:color="auto"/>
            </w:tcBorders>
            <w:shd w:val="clear" w:color="auto" w:fill="4F81BD"/>
          </w:tcPr>
          <w:p>
            <w:pPr>
              <w:spacing w:after="0"/>
              <w:rPr>
                <w:sz w:val="19"/>
                <w:szCs w:val="19"/>
                <w:color w:val="auto"/>
              </w:rPr>
            </w:pPr>
          </w:p>
        </w:tc>
        <w:tc>
          <w:tcPr>
            <w:tcW w:w="188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of Salary</w:t>
            </w:r>
          </w:p>
        </w:tc>
        <w:tc>
          <w:tcPr>
            <w:tcW w:w="134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Score</w:t>
            </w:r>
          </w:p>
        </w:tc>
        <w:tc>
          <w:tcPr>
            <w:tcW w:w="100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Award</w:t>
            </w:r>
          </w:p>
        </w:tc>
      </w:tr>
      <w:tr>
        <w:trPr>
          <w:trHeight w:val="215"/>
        </w:trPr>
        <w:tc>
          <w:tcPr>
            <w:tcW w:w="246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b w:val="1"/>
                <w:bCs w:val="1"/>
                <w:color w:val="auto"/>
              </w:rPr>
              <w:t>Mr. Patrick S. Williams</w:t>
            </w:r>
          </w:p>
        </w:tc>
        <w:tc>
          <w:tcPr>
            <w:tcW w:w="188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3"/>
                <w:szCs w:val="13"/>
                <w:color w:val="auto"/>
              </w:rPr>
              <w:t>120%</w:t>
            </w:r>
          </w:p>
        </w:tc>
        <w:tc>
          <w:tcPr>
            <w:tcW w:w="134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3"/>
                <w:szCs w:val="13"/>
                <w:color w:val="auto"/>
                <w:w w:val="96"/>
              </w:rPr>
              <w:t>46</w:t>
            </w:r>
          </w:p>
        </w:tc>
        <w:tc>
          <w:tcPr>
            <w:tcW w:w="1000" w:type="dxa"/>
            <w:vAlign w:val="bottom"/>
            <w:tcBorders>
              <w:top w:val="single" w:sz="8" w:color="auto"/>
              <w:right w:val="single" w:sz="8" w:color="auto"/>
            </w:tcBorders>
            <w:shd w:val="clear" w:color="auto" w:fill="DBE5F1"/>
          </w:tcPr>
          <w:p>
            <w:pPr>
              <w:jc w:val="right"/>
              <w:ind w:right="193"/>
              <w:spacing w:after="0"/>
              <w:rPr>
                <w:sz w:val="20"/>
                <w:szCs w:val="20"/>
                <w:color w:val="auto"/>
              </w:rPr>
            </w:pPr>
            <w:r>
              <w:rPr>
                <w:rFonts w:ascii="Arial" w:cs="Arial" w:eastAsia="Arial" w:hAnsi="Arial"/>
                <w:sz w:val="13"/>
                <w:szCs w:val="13"/>
                <w:color w:val="auto"/>
              </w:rPr>
              <w:t>$1,365,336</w:t>
            </w:r>
          </w:p>
        </w:tc>
      </w:tr>
      <w:tr>
        <w:trPr>
          <w:trHeight w:val="175"/>
        </w:trPr>
        <w:tc>
          <w:tcPr>
            <w:tcW w:w="246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President and</w:t>
            </w:r>
          </w:p>
        </w:tc>
        <w:tc>
          <w:tcPr>
            <w:tcW w:w="1880" w:type="dxa"/>
            <w:vAlign w:val="bottom"/>
            <w:tcBorders>
              <w:right w:val="single" w:sz="8" w:color="auto"/>
            </w:tcBorders>
            <w:shd w:val="clear" w:color="auto" w:fill="DBE5F1"/>
          </w:tcPr>
          <w:p>
            <w:pPr>
              <w:spacing w:after="0"/>
              <w:rPr>
                <w:sz w:val="15"/>
                <w:szCs w:val="15"/>
                <w:color w:val="auto"/>
              </w:rPr>
            </w:pPr>
          </w:p>
        </w:tc>
        <w:tc>
          <w:tcPr>
            <w:tcW w:w="1340" w:type="dxa"/>
            <w:vAlign w:val="bottom"/>
            <w:tcBorders>
              <w:right w:val="single" w:sz="8" w:color="auto"/>
            </w:tcBorders>
            <w:shd w:val="clear" w:color="auto" w:fill="DBE5F1"/>
          </w:tcPr>
          <w:p>
            <w:pPr>
              <w:spacing w:after="0"/>
              <w:rPr>
                <w:sz w:val="15"/>
                <w:szCs w:val="15"/>
                <w:color w:val="auto"/>
              </w:rPr>
            </w:pPr>
          </w:p>
        </w:tc>
        <w:tc>
          <w:tcPr>
            <w:tcW w:w="1000" w:type="dxa"/>
            <w:vAlign w:val="bottom"/>
            <w:tcBorders>
              <w:right w:val="single" w:sz="8" w:color="auto"/>
            </w:tcBorders>
            <w:shd w:val="clear" w:color="auto" w:fill="DBE5F1"/>
          </w:tcPr>
          <w:p>
            <w:pPr>
              <w:spacing w:after="0"/>
              <w:rPr>
                <w:sz w:val="15"/>
                <w:szCs w:val="15"/>
                <w:color w:val="auto"/>
              </w:rPr>
            </w:pPr>
          </w:p>
        </w:tc>
      </w:tr>
      <w:tr>
        <w:trPr>
          <w:trHeight w:val="230"/>
        </w:trPr>
        <w:tc>
          <w:tcPr>
            <w:tcW w:w="2460" w:type="dxa"/>
            <w:vAlign w:val="bottom"/>
            <w:tcBorders>
              <w:left w:val="single" w:sz="8" w:color="auto"/>
              <w:bottom w:val="single" w:sz="8" w:color="DBE5F1"/>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Chief Executive Officer</w:t>
            </w:r>
          </w:p>
        </w:tc>
        <w:tc>
          <w:tcPr>
            <w:tcW w:w="1880" w:type="dxa"/>
            <w:vAlign w:val="bottom"/>
            <w:tcBorders>
              <w:bottom w:val="single" w:sz="8" w:color="DBE5F1"/>
              <w:right w:val="single" w:sz="8" w:color="auto"/>
            </w:tcBorders>
            <w:shd w:val="clear" w:color="auto" w:fill="DBE5F1"/>
          </w:tcPr>
          <w:p>
            <w:pPr>
              <w:spacing w:after="0"/>
              <w:rPr>
                <w:sz w:val="19"/>
                <w:szCs w:val="19"/>
                <w:color w:val="auto"/>
              </w:rPr>
            </w:pPr>
          </w:p>
        </w:tc>
        <w:tc>
          <w:tcPr>
            <w:tcW w:w="1340" w:type="dxa"/>
            <w:vAlign w:val="bottom"/>
            <w:tcBorders>
              <w:bottom w:val="single" w:sz="8" w:color="DBE5F1"/>
              <w:right w:val="single" w:sz="8" w:color="auto"/>
            </w:tcBorders>
            <w:shd w:val="clear" w:color="auto" w:fill="DBE5F1"/>
          </w:tcPr>
          <w:p>
            <w:pPr>
              <w:spacing w:after="0"/>
              <w:rPr>
                <w:sz w:val="19"/>
                <w:szCs w:val="19"/>
                <w:color w:val="auto"/>
              </w:rPr>
            </w:pPr>
          </w:p>
        </w:tc>
        <w:tc>
          <w:tcPr>
            <w:tcW w:w="1000" w:type="dxa"/>
            <w:vAlign w:val="bottom"/>
            <w:tcBorders>
              <w:bottom w:val="single" w:sz="8" w:color="DBE5F1"/>
              <w:right w:val="single" w:sz="8" w:color="auto"/>
            </w:tcBorders>
            <w:shd w:val="clear" w:color="auto" w:fill="DBE5F1"/>
          </w:tcPr>
          <w:p>
            <w:pPr>
              <w:spacing w:after="0"/>
              <w:rPr>
                <w:sz w:val="19"/>
                <w:szCs w:val="19"/>
                <w:color w:val="auto"/>
              </w:rPr>
            </w:pPr>
          </w:p>
        </w:tc>
      </w:tr>
      <w:tr>
        <w:trPr>
          <w:trHeight w:val="215"/>
        </w:trPr>
        <w:tc>
          <w:tcPr>
            <w:tcW w:w="246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b w:val="1"/>
                <w:bCs w:val="1"/>
                <w:color w:val="auto"/>
              </w:rPr>
              <w:t>Mr. Ian P. Cleminson</w:t>
            </w:r>
          </w:p>
        </w:tc>
        <w:tc>
          <w:tcPr>
            <w:tcW w:w="1880" w:type="dxa"/>
            <w:vAlign w:val="bottom"/>
            <w:tcBorders>
              <w:top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9"/>
              </w:rPr>
              <w:t>60%</w:t>
            </w:r>
          </w:p>
        </w:tc>
        <w:tc>
          <w:tcPr>
            <w:tcW w:w="1340" w:type="dxa"/>
            <w:vAlign w:val="bottom"/>
            <w:tcBorders>
              <w:top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6"/>
              </w:rPr>
              <w:t>46</w:t>
            </w:r>
          </w:p>
        </w:tc>
        <w:tc>
          <w:tcPr>
            <w:tcW w:w="1000" w:type="dxa"/>
            <w:vAlign w:val="bottom"/>
            <w:tcBorders>
              <w:top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$287,512</w:t>
            </w:r>
          </w:p>
        </w:tc>
      </w:tr>
      <w:tr>
        <w:trPr>
          <w:trHeight w:val="175"/>
        </w:trPr>
        <w:tc>
          <w:tcPr>
            <w:tcW w:w="246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Executive Vice President and Chief</w:t>
            </w:r>
          </w:p>
        </w:tc>
        <w:tc>
          <w:tcPr>
            <w:tcW w:w="1880" w:type="dxa"/>
            <w:vAlign w:val="bottom"/>
            <w:tcBorders>
              <w:right w:val="single" w:sz="8" w:color="auto"/>
            </w:tcBorders>
            <w:shd w:val="clear" w:color="auto" w:fill="EDF2F8"/>
          </w:tcPr>
          <w:p>
            <w:pPr>
              <w:spacing w:after="0"/>
              <w:rPr>
                <w:sz w:val="15"/>
                <w:szCs w:val="15"/>
                <w:color w:val="auto"/>
              </w:rPr>
            </w:pPr>
          </w:p>
        </w:tc>
        <w:tc>
          <w:tcPr>
            <w:tcW w:w="1340" w:type="dxa"/>
            <w:vAlign w:val="bottom"/>
            <w:tcBorders>
              <w:right w:val="single" w:sz="8" w:color="auto"/>
            </w:tcBorders>
            <w:shd w:val="clear" w:color="auto" w:fill="EDF2F8"/>
          </w:tcPr>
          <w:p>
            <w:pPr>
              <w:spacing w:after="0"/>
              <w:rPr>
                <w:sz w:val="15"/>
                <w:szCs w:val="15"/>
                <w:color w:val="auto"/>
              </w:rPr>
            </w:pPr>
          </w:p>
        </w:tc>
        <w:tc>
          <w:tcPr>
            <w:tcW w:w="1000" w:type="dxa"/>
            <w:vAlign w:val="bottom"/>
            <w:tcBorders>
              <w:right w:val="single" w:sz="8" w:color="auto"/>
            </w:tcBorders>
            <w:shd w:val="clear" w:color="auto" w:fill="EDF2F8"/>
          </w:tcPr>
          <w:p>
            <w:pPr>
              <w:spacing w:after="0"/>
              <w:rPr>
                <w:sz w:val="15"/>
                <w:szCs w:val="15"/>
                <w:color w:val="auto"/>
              </w:rPr>
            </w:pPr>
          </w:p>
        </w:tc>
      </w:tr>
      <w:tr>
        <w:trPr>
          <w:trHeight w:val="230"/>
        </w:trPr>
        <w:tc>
          <w:tcPr>
            <w:tcW w:w="2460" w:type="dxa"/>
            <w:vAlign w:val="bottom"/>
            <w:tcBorders>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Financial Officer</w:t>
            </w:r>
          </w:p>
        </w:tc>
        <w:tc>
          <w:tcPr>
            <w:tcW w:w="1880" w:type="dxa"/>
            <w:vAlign w:val="bottom"/>
            <w:tcBorders>
              <w:bottom w:val="single" w:sz="8" w:color="EDF2F8"/>
              <w:right w:val="single" w:sz="8" w:color="auto"/>
            </w:tcBorders>
            <w:shd w:val="clear" w:color="auto" w:fill="EDF2F8"/>
          </w:tcPr>
          <w:p>
            <w:pPr>
              <w:spacing w:after="0"/>
              <w:rPr>
                <w:sz w:val="19"/>
                <w:szCs w:val="19"/>
                <w:color w:val="auto"/>
              </w:rPr>
            </w:pPr>
          </w:p>
        </w:tc>
        <w:tc>
          <w:tcPr>
            <w:tcW w:w="1340" w:type="dxa"/>
            <w:vAlign w:val="bottom"/>
            <w:tcBorders>
              <w:bottom w:val="single" w:sz="8" w:color="EDF2F8"/>
              <w:right w:val="single" w:sz="8" w:color="auto"/>
            </w:tcBorders>
            <w:shd w:val="clear" w:color="auto" w:fill="EDF2F8"/>
          </w:tcPr>
          <w:p>
            <w:pPr>
              <w:spacing w:after="0"/>
              <w:rPr>
                <w:sz w:val="19"/>
                <w:szCs w:val="19"/>
                <w:color w:val="auto"/>
              </w:rPr>
            </w:pPr>
          </w:p>
        </w:tc>
        <w:tc>
          <w:tcPr>
            <w:tcW w:w="1000" w:type="dxa"/>
            <w:vAlign w:val="bottom"/>
            <w:tcBorders>
              <w:bottom w:val="single" w:sz="8" w:color="EDF2F8"/>
              <w:right w:val="single" w:sz="8" w:color="auto"/>
            </w:tcBorders>
            <w:shd w:val="clear" w:color="auto" w:fill="EDF2F8"/>
          </w:tcPr>
          <w:p>
            <w:pPr>
              <w:spacing w:after="0"/>
              <w:rPr>
                <w:sz w:val="19"/>
                <w:szCs w:val="19"/>
                <w:color w:val="auto"/>
              </w:rPr>
            </w:pPr>
          </w:p>
        </w:tc>
      </w:tr>
      <w:tr>
        <w:trPr>
          <w:trHeight w:val="215"/>
        </w:trPr>
        <w:tc>
          <w:tcPr>
            <w:tcW w:w="246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b w:val="1"/>
                <w:bCs w:val="1"/>
                <w:color w:val="auto"/>
              </w:rPr>
              <w:t>Dr. Ian M. McRobbie</w:t>
            </w:r>
          </w:p>
        </w:tc>
        <w:tc>
          <w:tcPr>
            <w:tcW w:w="188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3"/>
                <w:szCs w:val="13"/>
                <w:color w:val="auto"/>
                <w:w w:val="99"/>
              </w:rPr>
              <w:t>60%</w:t>
            </w:r>
          </w:p>
        </w:tc>
        <w:tc>
          <w:tcPr>
            <w:tcW w:w="134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3"/>
                <w:szCs w:val="13"/>
                <w:color w:val="auto"/>
                <w:w w:val="96"/>
              </w:rPr>
              <w:t>46</w:t>
            </w:r>
          </w:p>
        </w:tc>
        <w:tc>
          <w:tcPr>
            <w:tcW w:w="100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3"/>
                <w:szCs w:val="13"/>
                <w:color w:val="auto"/>
              </w:rPr>
              <w:t>$178,049</w:t>
            </w:r>
          </w:p>
        </w:tc>
      </w:tr>
      <w:tr>
        <w:trPr>
          <w:trHeight w:val="175"/>
        </w:trPr>
        <w:tc>
          <w:tcPr>
            <w:tcW w:w="246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Senior Vice President and Chief</w:t>
            </w:r>
          </w:p>
        </w:tc>
        <w:tc>
          <w:tcPr>
            <w:tcW w:w="1880" w:type="dxa"/>
            <w:vAlign w:val="bottom"/>
            <w:tcBorders>
              <w:right w:val="single" w:sz="8" w:color="auto"/>
            </w:tcBorders>
            <w:shd w:val="clear" w:color="auto" w:fill="DBE5F1"/>
          </w:tcPr>
          <w:p>
            <w:pPr>
              <w:spacing w:after="0"/>
              <w:rPr>
                <w:sz w:val="15"/>
                <w:szCs w:val="15"/>
                <w:color w:val="auto"/>
              </w:rPr>
            </w:pPr>
          </w:p>
        </w:tc>
        <w:tc>
          <w:tcPr>
            <w:tcW w:w="1340" w:type="dxa"/>
            <w:vAlign w:val="bottom"/>
            <w:tcBorders>
              <w:right w:val="single" w:sz="8" w:color="auto"/>
            </w:tcBorders>
            <w:shd w:val="clear" w:color="auto" w:fill="DBE5F1"/>
          </w:tcPr>
          <w:p>
            <w:pPr>
              <w:spacing w:after="0"/>
              <w:rPr>
                <w:sz w:val="15"/>
                <w:szCs w:val="15"/>
                <w:color w:val="auto"/>
              </w:rPr>
            </w:pPr>
          </w:p>
        </w:tc>
        <w:tc>
          <w:tcPr>
            <w:tcW w:w="1000" w:type="dxa"/>
            <w:vAlign w:val="bottom"/>
            <w:tcBorders>
              <w:right w:val="single" w:sz="8" w:color="auto"/>
            </w:tcBorders>
            <w:shd w:val="clear" w:color="auto" w:fill="DBE5F1"/>
          </w:tcPr>
          <w:p>
            <w:pPr>
              <w:spacing w:after="0"/>
              <w:rPr>
                <w:sz w:val="15"/>
                <w:szCs w:val="15"/>
                <w:color w:val="auto"/>
              </w:rPr>
            </w:pPr>
          </w:p>
        </w:tc>
      </w:tr>
      <w:tr>
        <w:trPr>
          <w:trHeight w:val="230"/>
        </w:trPr>
        <w:tc>
          <w:tcPr>
            <w:tcW w:w="2460" w:type="dxa"/>
            <w:vAlign w:val="bottom"/>
            <w:tcBorders>
              <w:left w:val="single" w:sz="8" w:color="auto"/>
              <w:bottom w:val="single" w:sz="8" w:color="DBE5F1"/>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Technology Officer</w:t>
            </w:r>
          </w:p>
        </w:tc>
        <w:tc>
          <w:tcPr>
            <w:tcW w:w="1880" w:type="dxa"/>
            <w:vAlign w:val="bottom"/>
            <w:tcBorders>
              <w:bottom w:val="single" w:sz="8" w:color="DBE5F1"/>
              <w:right w:val="single" w:sz="8" w:color="auto"/>
            </w:tcBorders>
            <w:shd w:val="clear" w:color="auto" w:fill="DBE5F1"/>
          </w:tcPr>
          <w:p>
            <w:pPr>
              <w:spacing w:after="0"/>
              <w:rPr>
                <w:sz w:val="19"/>
                <w:szCs w:val="19"/>
                <w:color w:val="auto"/>
              </w:rPr>
            </w:pPr>
          </w:p>
        </w:tc>
        <w:tc>
          <w:tcPr>
            <w:tcW w:w="1340" w:type="dxa"/>
            <w:vAlign w:val="bottom"/>
            <w:tcBorders>
              <w:bottom w:val="single" w:sz="8" w:color="DBE5F1"/>
              <w:right w:val="single" w:sz="8" w:color="auto"/>
            </w:tcBorders>
            <w:shd w:val="clear" w:color="auto" w:fill="DBE5F1"/>
          </w:tcPr>
          <w:p>
            <w:pPr>
              <w:spacing w:after="0"/>
              <w:rPr>
                <w:sz w:val="19"/>
                <w:szCs w:val="19"/>
                <w:color w:val="auto"/>
              </w:rPr>
            </w:pPr>
          </w:p>
        </w:tc>
        <w:tc>
          <w:tcPr>
            <w:tcW w:w="1000" w:type="dxa"/>
            <w:vAlign w:val="bottom"/>
            <w:tcBorders>
              <w:bottom w:val="single" w:sz="8" w:color="DBE5F1"/>
              <w:right w:val="single" w:sz="8" w:color="auto"/>
            </w:tcBorders>
            <w:shd w:val="clear" w:color="auto" w:fill="DBE5F1"/>
          </w:tcPr>
          <w:p>
            <w:pPr>
              <w:spacing w:after="0"/>
              <w:rPr>
                <w:sz w:val="19"/>
                <w:szCs w:val="19"/>
                <w:color w:val="auto"/>
              </w:rPr>
            </w:pPr>
          </w:p>
        </w:tc>
      </w:tr>
      <w:tr>
        <w:trPr>
          <w:trHeight w:val="215"/>
        </w:trPr>
        <w:tc>
          <w:tcPr>
            <w:tcW w:w="246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b w:val="1"/>
                <w:bCs w:val="1"/>
                <w:color w:val="auto"/>
              </w:rPr>
              <w:t>Mr. Corbin Barnes</w:t>
            </w:r>
          </w:p>
        </w:tc>
        <w:tc>
          <w:tcPr>
            <w:tcW w:w="1880" w:type="dxa"/>
            <w:vAlign w:val="bottom"/>
            <w:tcBorders>
              <w:top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9"/>
              </w:rPr>
              <w:t>60%</w:t>
            </w:r>
          </w:p>
        </w:tc>
        <w:tc>
          <w:tcPr>
            <w:tcW w:w="1340" w:type="dxa"/>
            <w:vAlign w:val="bottom"/>
            <w:tcBorders>
              <w:top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6"/>
              </w:rPr>
              <w:t>46</w:t>
            </w:r>
          </w:p>
        </w:tc>
        <w:tc>
          <w:tcPr>
            <w:tcW w:w="1000" w:type="dxa"/>
            <w:vAlign w:val="bottom"/>
            <w:tcBorders>
              <w:top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$177,524</w:t>
            </w:r>
          </w:p>
        </w:tc>
      </w:tr>
      <w:tr>
        <w:trPr>
          <w:trHeight w:val="175"/>
        </w:trPr>
        <w:tc>
          <w:tcPr>
            <w:tcW w:w="246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Senior Vice President,</w:t>
            </w:r>
          </w:p>
        </w:tc>
        <w:tc>
          <w:tcPr>
            <w:tcW w:w="1880" w:type="dxa"/>
            <w:vAlign w:val="bottom"/>
            <w:tcBorders>
              <w:right w:val="single" w:sz="8" w:color="auto"/>
            </w:tcBorders>
            <w:shd w:val="clear" w:color="auto" w:fill="EDF2F8"/>
          </w:tcPr>
          <w:p>
            <w:pPr>
              <w:spacing w:after="0"/>
              <w:rPr>
                <w:sz w:val="15"/>
                <w:szCs w:val="15"/>
                <w:color w:val="auto"/>
              </w:rPr>
            </w:pPr>
          </w:p>
        </w:tc>
        <w:tc>
          <w:tcPr>
            <w:tcW w:w="1340" w:type="dxa"/>
            <w:vAlign w:val="bottom"/>
            <w:tcBorders>
              <w:right w:val="single" w:sz="8" w:color="auto"/>
            </w:tcBorders>
            <w:shd w:val="clear" w:color="auto" w:fill="EDF2F8"/>
          </w:tcPr>
          <w:p>
            <w:pPr>
              <w:spacing w:after="0"/>
              <w:rPr>
                <w:sz w:val="15"/>
                <w:szCs w:val="15"/>
                <w:color w:val="auto"/>
              </w:rPr>
            </w:pPr>
          </w:p>
        </w:tc>
        <w:tc>
          <w:tcPr>
            <w:tcW w:w="1000" w:type="dxa"/>
            <w:vAlign w:val="bottom"/>
            <w:tcBorders>
              <w:right w:val="single" w:sz="8" w:color="auto"/>
            </w:tcBorders>
            <w:shd w:val="clear" w:color="auto" w:fill="EDF2F8"/>
          </w:tcPr>
          <w:p>
            <w:pPr>
              <w:spacing w:after="0"/>
              <w:rPr>
                <w:sz w:val="15"/>
                <w:szCs w:val="15"/>
                <w:color w:val="auto"/>
              </w:rPr>
            </w:pPr>
          </w:p>
        </w:tc>
      </w:tr>
      <w:tr>
        <w:trPr>
          <w:trHeight w:val="178"/>
        </w:trPr>
        <w:tc>
          <w:tcPr>
            <w:tcW w:w="246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Corporate Development &amp; Investor</w:t>
            </w:r>
          </w:p>
        </w:tc>
        <w:tc>
          <w:tcPr>
            <w:tcW w:w="1880" w:type="dxa"/>
            <w:vAlign w:val="bottom"/>
            <w:tcBorders>
              <w:right w:val="single" w:sz="8" w:color="auto"/>
            </w:tcBorders>
            <w:shd w:val="clear" w:color="auto" w:fill="EDF2F8"/>
          </w:tcPr>
          <w:p>
            <w:pPr>
              <w:spacing w:after="0"/>
              <w:rPr>
                <w:sz w:val="15"/>
                <w:szCs w:val="15"/>
                <w:color w:val="auto"/>
              </w:rPr>
            </w:pPr>
          </w:p>
        </w:tc>
        <w:tc>
          <w:tcPr>
            <w:tcW w:w="1340" w:type="dxa"/>
            <w:vAlign w:val="bottom"/>
            <w:tcBorders>
              <w:right w:val="single" w:sz="8" w:color="auto"/>
            </w:tcBorders>
            <w:shd w:val="clear" w:color="auto" w:fill="EDF2F8"/>
          </w:tcPr>
          <w:p>
            <w:pPr>
              <w:spacing w:after="0"/>
              <w:rPr>
                <w:sz w:val="15"/>
                <w:szCs w:val="15"/>
                <w:color w:val="auto"/>
              </w:rPr>
            </w:pPr>
          </w:p>
        </w:tc>
        <w:tc>
          <w:tcPr>
            <w:tcW w:w="1000" w:type="dxa"/>
            <w:vAlign w:val="bottom"/>
            <w:tcBorders>
              <w:right w:val="single" w:sz="8" w:color="auto"/>
            </w:tcBorders>
            <w:shd w:val="clear" w:color="auto" w:fill="EDF2F8"/>
          </w:tcPr>
          <w:p>
            <w:pPr>
              <w:spacing w:after="0"/>
              <w:rPr>
                <w:sz w:val="15"/>
                <w:szCs w:val="15"/>
                <w:color w:val="auto"/>
              </w:rPr>
            </w:pPr>
          </w:p>
        </w:tc>
      </w:tr>
      <w:tr>
        <w:trPr>
          <w:trHeight w:val="230"/>
        </w:trPr>
        <w:tc>
          <w:tcPr>
            <w:tcW w:w="2460" w:type="dxa"/>
            <w:vAlign w:val="bottom"/>
            <w:tcBorders>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Relations</w:t>
            </w:r>
          </w:p>
        </w:tc>
        <w:tc>
          <w:tcPr>
            <w:tcW w:w="1880" w:type="dxa"/>
            <w:vAlign w:val="bottom"/>
            <w:tcBorders>
              <w:bottom w:val="single" w:sz="8" w:color="EDF2F8"/>
              <w:right w:val="single" w:sz="8" w:color="auto"/>
            </w:tcBorders>
            <w:shd w:val="clear" w:color="auto" w:fill="EDF2F8"/>
          </w:tcPr>
          <w:p>
            <w:pPr>
              <w:spacing w:after="0"/>
              <w:rPr>
                <w:sz w:val="19"/>
                <w:szCs w:val="19"/>
                <w:color w:val="auto"/>
              </w:rPr>
            </w:pPr>
          </w:p>
        </w:tc>
        <w:tc>
          <w:tcPr>
            <w:tcW w:w="1340" w:type="dxa"/>
            <w:vAlign w:val="bottom"/>
            <w:tcBorders>
              <w:bottom w:val="single" w:sz="8" w:color="EDF2F8"/>
              <w:right w:val="single" w:sz="8" w:color="auto"/>
            </w:tcBorders>
            <w:shd w:val="clear" w:color="auto" w:fill="EDF2F8"/>
          </w:tcPr>
          <w:p>
            <w:pPr>
              <w:spacing w:after="0"/>
              <w:rPr>
                <w:sz w:val="19"/>
                <w:szCs w:val="19"/>
                <w:color w:val="auto"/>
              </w:rPr>
            </w:pPr>
          </w:p>
        </w:tc>
        <w:tc>
          <w:tcPr>
            <w:tcW w:w="1000" w:type="dxa"/>
            <w:vAlign w:val="bottom"/>
            <w:tcBorders>
              <w:bottom w:val="single" w:sz="8" w:color="EDF2F8"/>
              <w:right w:val="single" w:sz="8" w:color="auto"/>
            </w:tcBorders>
            <w:shd w:val="clear" w:color="auto" w:fill="EDF2F8"/>
          </w:tcPr>
          <w:p>
            <w:pPr>
              <w:spacing w:after="0"/>
              <w:rPr>
                <w:sz w:val="19"/>
                <w:szCs w:val="19"/>
                <w:color w:val="auto"/>
              </w:rPr>
            </w:pPr>
          </w:p>
        </w:tc>
      </w:tr>
      <w:tr>
        <w:trPr>
          <w:trHeight w:val="215"/>
        </w:trPr>
        <w:tc>
          <w:tcPr>
            <w:tcW w:w="246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b w:val="1"/>
                <w:bCs w:val="1"/>
                <w:color w:val="auto"/>
              </w:rPr>
              <w:t>Mr. David B. Jones</w:t>
            </w:r>
          </w:p>
        </w:tc>
        <w:tc>
          <w:tcPr>
            <w:tcW w:w="188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3"/>
                <w:szCs w:val="13"/>
                <w:color w:val="auto"/>
                <w:w w:val="99"/>
              </w:rPr>
              <w:t>60%</w:t>
            </w:r>
          </w:p>
        </w:tc>
        <w:tc>
          <w:tcPr>
            <w:tcW w:w="134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3"/>
                <w:szCs w:val="13"/>
                <w:color w:val="auto"/>
                <w:w w:val="96"/>
              </w:rPr>
              <w:t>46</w:t>
            </w:r>
          </w:p>
        </w:tc>
        <w:tc>
          <w:tcPr>
            <w:tcW w:w="100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13"/>
                <w:szCs w:val="13"/>
                <w:color w:val="auto"/>
              </w:rPr>
              <w:t>$214,220</w:t>
            </w:r>
          </w:p>
        </w:tc>
      </w:tr>
      <w:tr>
        <w:trPr>
          <w:trHeight w:val="175"/>
        </w:trPr>
        <w:tc>
          <w:tcPr>
            <w:tcW w:w="246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Senior Vice President,</w:t>
            </w:r>
          </w:p>
        </w:tc>
        <w:tc>
          <w:tcPr>
            <w:tcW w:w="1880" w:type="dxa"/>
            <w:vAlign w:val="bottom"/>
            <w:tcBorders>
              <w:right w:val="single" w:sz="8" w:color="auto"/>
            </w:tcBorders>
            <w:shd w:val="clear" w:color="auto" w:fill="DBE5F1"/>
          </w:tcPr>
          <w:p>
            <w:pPr>
              <w:spacing w:after="0"/>
              <w:rPr>
                <w:sz w:val="15"/>
                <w:szCs w:val="15"/>
                <w:color w:val="auto"/>
              </w:rPr>
            </w:pPr>
          </w:p>
        </w:tc>
        <w:tc>
          <w:tcPr>
            <w:tcW w:w="1340" w:type="dxa"/>
            <w:vAlign w:val="bottom"/>
            <w:tcBorders>
              <w:right w:val="single" w:sz="8" w:color="auto"/>
            </w:tcBorders>
            <w:shd w:val="clear" w:color="auto" w:fill="DBE5F1"/>
          </w:tcPr>
          <w:p>
            <w:pPr>
              <w:spacing w:after="0"/>
              <w:rPr>
                <w:sz w:val="15"/>
                <w:szCs w:val="15"/>
                <w:color w:val="auto"/>
              </w:rPr>
            </w:pPr>
          </w:p>
        </w:tc>
        <w:tc>
          <w:tcPr>
            <w:tcW w:w="1000" w:type="dxa"/>
            <w:vAlign w:val="bottom"/>
            <w:tcBorders>
              <w:right w:val="single" w:sz="8" w:color="auto"/>
            </w:tcBorders>
            <w:shd w:val="clear" w:color="auto" w:fill="DBE5F1"/>
          </w:tcPr>
          <w:p>
            <w:pPr>
              <w:spacing w:after="0"/>
              <w:rPr>
                <w:sz w:val="15"/>
                <w:szCs w:val="15"/>
                <w:color w:val="auto"/>
              </w:rPr>
            </w:pPr>
          </w:p>
        </w:tc>
      </w:tr>
      <w:tr>
        <w:trPr>
          <w:trHeight w:val="178"/>
        </w:trPr>
        <w:tc>
          <w:tcPr>
            <w:tcW w:w="246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General Counsel,</w:t>
            </w:r>
          </w:p>
        </w:tc>
        <w:tc>
          <w:tcPr>
            <w:tcW w:w="1880" w:type="dxa"/>
            <w:vAlign w:val="bottom"/>
            <w:tcBorders>
              <w:right w:val="single" w:sz="8" w:color="auto"/>
            </w:tcBorders>
            <w:shd w:val="clear" w:color="auto" w:fill="DBE5F1"/>
          </w:tcPr>
          <w:p>
            <w:pPr>
              <w:spacing w:after="0"/>
              <w:rPr>
                <w:sz w:val="15"/>
                <w:szCs w:val="15"/>
                <w:color w:val="auto"/>
              </w:rPr>
            </w:pPr>
          </w:p>
        </w:tc>
        <w:tc>
          <w:tcPr>
            <w:tcW w:w="1340" w:type="dxa"/>
            <w:vAlign w:val="bottom"/>
            <w:tcBorders>
              <w:right w:val="single" w:sz="8" w:color="auto"/>
            </w:tcBorders>
            <w:shd w:val="clear" w:color="auto" w:fill="DBE5F1"/>
          </w:tcPr>
          <w:p>
            <w:pPr>
              <w:spacing w:after="0"/>
              <w:rPr>
                <w:sz w:val="15"/>
                <w:szCs w:val="15"/>
                <w:color w:val="auto"/>
              </w:rPr>
            </w:pPr>
          </w:p>
        </w:tc>
        <w:tc>
          <w:tcPr>
            <w:tcW w:w="1000" w:type="dxa"/>
            <w:vAlign w:val="bottom"/>
            <w:tcBorders>
              <w:right w:val="single" w:sz="8" w:color="auto"/>
            </w:tcBorders>
            <w:shd w:val="clear" w:color="auto" w:fill="DBE5F1"/>
          </w:tcPr>
          <w:p>
            <w:pPr>
              <w:spacing w:after="0"/>
              <w:rPr>
                <w:sz w:val="15"/>
                <w:szCs w:val="15"/>
                <w:color w:val="auto"/>
              </w:rPr>
            </w:pPr>
          </w:p>
        </w:tc>
      </w:tr>
      <w:tr>
        <w:trPr>
          <w:trHeight w:val="205"/>
        </w:trPr>
        <w:tc>
          <w:tcPr>
            <w:tcW w:w="2460" w:type="dxa"/>
            <w:vAlign w:val="bottom"/>
            <w:tcBorders>
              <w:left w:val="single" w:sz="8" w:color="auto"/>
              <w:bottom w:val="single" w:sz="8" w:color="DBE5F1"/>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Chief Compliance Officer</w:t>
            </w:r>
          </w:p>
        </w:tc>
        <w:tc>
          <w:tcPr>
            <w:tcW w:w="1880" w:type="dxa"/>
            <w:vAlign w:val="bottom"/>
            <w:tcBorders>
              <w:bottom w:val="single" w:sz="8" w:color="DBE5F1"/>
              <w:right w:val="single" w:sz="8" w:color="auto"/>
            </w:tcBorders>
            <w:shd w:val="clear" w:color="auto" w:fill="DBE5F1"/>
          </w:tcPr>
          <w:p>
            <w:pPr>
              <w:spacing w:after="0"/>
              <w:rPr>
                <w:sz w:val="17"/>
                <w:szCs w:val="17"/>
                <w:color w:val="auto"/>
              </w:rPr>
            </w:pPr>
          </w:p>
        </w:tc>
        <w:tc>
          <w:tcPr>
            <w:tcW w:w="1340" w:type="dxa"/>
            <w:vAlign w:val="bottom"/>
            <w:tcBorders>
              <w:bottom w:val="single" w:sz="8" w:color="DBE5F1"/>
              <w:right w:val="single" w:sz="8" w:color="auto"/>
            </w:tcBorders>
            <w:shd w:val="clear" w:color="auto" w:fill="DBE5F1"/>
          </w:tcPr>
          <w:p>
            <w:pPr>
              <w:spacing w:after="0"/>
              <w:rPr>
                <w:sz w:val="17"/>
                <w:szCs w:val="17"/>
                <w:color w:val="auto"/>
              </w:rPr>
            </w:pPr>
          </w:p>
        </w:tc>
        <w:tc>
          <w:tcPr>
            <w:tcW w:w="1000" w:type="dxa"/>
            <w:vAlign w:val="bottom"/>
            <w:tcBorders>
              <w:bottom w:val="single" w:sz="8" w:color="DBE5F1"/>
              <w:right w:val="single" w:sz="8" w:color="auto"/>
            </w:tcBorders>
            <w:shd w:val="clear" w:color="auto" w:fill="DBE5F1"/>
          </w:tcPr>
          <w:p>
            <w:pPr>
              <w:spacing w:after="0"/>
              <w:rPr>
                <w:sz w:val="17"/>
                <w:szCs w:val="17"/>
                <w:color w:val="auto"/>
              </w:rPr>
            </w:pPr>
          </w:p>
        </w:tc>
      </w:tr>
      <w:tr>
        <w:trPr>
          <w:trHeight w:val="20"/>
        </w:trPr>
        <w:tc>
          <w:tcPr>
            <w:tcW w:w="24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r>
    </w:tbl>
    <w:p>
      <w:pPr>
        <w:spacing w:after="0" w:line="97"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The score for personal performance includes consideration of the achievement of the following selected relevant goals and objectives for each NEO. In 2025, the Compensation Committee set personal objectives for Mr. Williams, which focused on the key challenges and priorities for the Company, which included strategic initiatives, financial performance, and compliance. These were in addition to the financial targets for Corporate Operating Income and Free Cash Flow, on which 80% of Mr. William’s incentive compensation under the MICP is based. The key personal performance goals for Mr. Williams are summarized below, together with the actual performance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1774825</wp:posOffset>
            </wp:positionV>
            <wp:extent cx="297180" cy="290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8" w:name="page69"/>
    <w:bookmarkEnd w:id="68"/>
    <w:p>
      <w:pPr>
        <w:spacing w:after="0" w:line="94" w:lineRule="exact"/>
        <w:rPr>
          <w:sz w:val="20"/>
          <w:szCs w:val="20"/>
          <w:color w:val="auto"/>
        </w:rPr>
      </w:pPr>
    </w:p>
    <w:tbl>
      <w:tblPr>
        <w:tblLayout w:type="fixed"/>
        <w:tblInd w:w="210" w:type="dxa"/>
        <w:tblCellMar>
          <w:top w:w="0" w:type="dxa"/>
          <w:left w:w="0" w:type="dxa"/>
          <w:bottom w:w="0" w:type="dxa"/>
          <w:right w:w="0" w:type="dxa"/>
        </w:tblCellMar>
      </w:tblPr>
      <w:tr>
        <w:trPr>
          <w:trHeight w:val="233"/>
        </w:trPr>
        <w:tc>
          <w:tcPr>
            <w:tcW w:w="3740" w:type="dxa"/>
            <w:vAlign w:val="bottom"/>
            <w:tcBorders>
              <w:top w:val="single" w:sz="8" w:color="auto"/>
              <w:left w:val="single" w:sz="8" w:color="auto"/>
              <w:right w:val="single" w:sz="8" w:color="auto"/>
            </w:tcBorders>
            <w:shd w:val="clear" w:color="auto" w:fill="4F81BD"/>
          </w:tcPr>
          <w:p>
            <w:pPr>
              <w:ind w:left="100"/>
              <w:spacing w:after="0"/>
              <w:rPr>
                <w:sz w:val="20"/>
                <w:szCs w:val="20"/>
                <w:color w:val="auto"/>
              </w:rPr>
            </w:pPr>
            <w:r>
              <w:rPr>
                <w:rFonts w:ascii="Arial" w:cs="Arial" w:eastAsia="Arial" w:hAnsi="Arial"/>
                <w:sz w:val="13"/>
                <w:szCs w:val="13"/>
                <w:b w:val="1"/>
                <w:bCs w:val="1"/>
                <w:color w:val="FFFFFF"/>
              </w:rPr>
              <w:t>Mr. Patrick S. Williams</w:t>
            </w:r>
          </w:p>
        </w:tc>
        <w:tc>
          <w:tcPr>
            <w:tcW w:w="4960" w:type="dxa"/>
            <w:vAlign w:val="bottom"/>
            <w:tcBorders>
              <w:top w:val="single" w:sz="8" w:color="auto"/>
              <w:right w:val="single" w:sz="8" w:color="auto"/>
            </w:tcBorders>
            <w:shd w:val="clear" w:color="auto" w:fill="4F81BD"/>
          </w:tcPr>
          <w:p>
            <w:pPr>
              <w:ind w:left="1740"/>
              <w:spacing w:after="0"/>
              <w:rPr>
                <w:sz w:val="20"/>
                <w:szCs w:val="20"/>
                <w:color w:val="auto"/>
              </w:rPr>
            </w:pPr>
            <w:r>
              <w:rPr>
                <w:rFonts w:ascii="Arial" w:cs="Arial" w:eastAsia="Arial" w:hAnsi="Arial"/>
                <w:sz w:val="13"/>
                <w:szCs w:val="13"/>
                <w:b w:val="1"/>
                <w:bCs w:val="1"/>
                <w:color w:val="FFFFFF"/>
              </w:rPr>
              <w:t>Actual Performance vs</w:t>
            </w:r>
          </w:p>
        </w:tc>
        <w:tc>
          <w:tcPr>
            <w:tcW w:w="0" w:type="dxa"/>
            <w:vAlign w:val="bottom"/>
          </w:tcPr>
          <w:p>
            <w:pPr>
              <w:spacing w:after="0"/>
              <w:rPr>
                <w:sz w:val="1"/>
                <w:szCs w:val="1"/>
                <w:color w:val="auto"/>
              </w:rPr>
            </w:pPr>
          </w:p>
        </w:tc>
      </w:tr>
      <w:tr>
        <w:trPr>
          <w:trHeight w:val="229"/>
        </w:trPr>
        <w:tc>
          <w:tcPr>
            <w:tcW w:w="3740" w:type="dxa"/>
            <w:vAlign w:val="bottom"/>
            <w:tcBorders>
              <w:left w:val="single" w:sz="8" w:color="auto"/>
              <w:bottom w:val="single" w:sz="8" w:color="4F81BD"/>
              <w:right w:val="single" w:sz="8" w:color="auto"/>
            </w:tcBorders>
            <w:shd w:val="clear" w:color="auto" w:fill="4F81BD"/>
          </w:tcPr>
          <w:p>
            <w:pPr>
              <w:ind w:left="100"/>
              <w:spacing w:after="0"/>
              <w:rPr>
                <w:sz w:val="20"/>
                <w:szCs w:val="20"/>
                <w:color w:val="auto"/>
              </w:rPr>
            </w:pPr>
            <w:r>
              <w:rPr>
                <w:rFonts w:ascii="Arial" w:cs="Arial" w:eastAsia="Arial" w:hAnsi="Arial"/>
                <w:sz w:val="13"/>
                <w:szCs w:val="13"/>
                <w:b w:val="1"/>
                <w:bCs w:val="1"/>
                <w:color w:val="FFFFFF"/>
              </w:rPr>
              <w:t>Personal Performance Goals and Objectives</w:t>
            </w:r>
          </w:p>
        </w:tc>
        <w:tc>
          <w:tcPr>
            <w:tcW w:w="4960" w:type="dxa"/>
            <w:vAlign w:val="bottom"/>
            <w:tcBorders>
              <w:bottom w:val="single" w:sz="8" w:color="4F81BD"/>
              <w:right w:val="single" w:sz="8" w:color="auto"/>
            </w:tcBorders>
            <w:shd w:val="clear" w:color="auto" w:fill="4F81BD"/>
          </w:tcPr>
          <w:p>
            <w:pPr>
              <w:ind w:left="1480"/>
              <w:spacing w:after="0"/>
              <w:rPr>
                <w:sz w:val="20"/>
                <w:szCs w:val="20"/>
                <w:color w:val="auto"/>
              </w:rPr>
            </w:pPr>
            <w:r>
              <w:rPr>
                <w:rFonts w:ascii="Arial" w:cs="Arial" w:eastAsia="Arial" w:hAnsi="Arial"/>
                <w:sz w:val="13"/>
                <w:szCs w:val="13"/>
                <w:b w:val="1"/>
                <w:bCs w:val="1"/>
                <w:color w:val="FFFFFF"/>
              </w:rPr>
              <w:t>Personal Goals and Objectives</w:t>
            </w:r>
          </w:p>
        </w:tc>
        <w:tc>
          <w:tcPr>
            <w:tcW w:w="0" w:type="dxa"/>
            <w:vAlign w:val="bottom"/>
          </w:tcPr>
          <w:p>
            <w:pPr>
              <w:spacing w:after="0"/>
              <w:rPr>
                <w:sz w:val="1"/>
                <w:szCs w:val="1"/>
                <w:color w:val="auto"/>
              </w:rPr>
            </w:pPr>
          </w:p>
        </w:tc>
      </w:tr>
      <w:tr>
        <w:trPr>
          <w:trHeight w:val="211"/>
        </w:trPr>
        <w:tc>
          <w:tcPr>
            <w:tcW w:w="374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Continue to lead the Company in the implementation of the</w:t>
            </w:r>
          </w:p>
        </w:tc>
        <w:tc>
          <w:tcPr>
            <w:tcW w:w="496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Drove strong performance in Fuel Specialties, delivering higher sales,</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growth strategy to drive top line growth</w:t>
            </w: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improved margins, and increased operating income despite broader market</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challenges.</w:t>
            </w:r>
          </w:p>
        </w:tc>
        <w:tc>
          <w:tcPr>
            <w:tcW w:w="0" w:type="dxa"/>
            <w:vAlign w:val="bottom"/>
          </w:tcPr>
          <w:p>
            <w:pPr>
              <w:spacing w:after="0"/>
              <w:rPr>
                <w:sz w:val="1"/>
                <w:szCs w:val="1"/>
                <w:color w:val="auto"/>
              </w:rPr>
            </w:pPr>
          </w:p>
        </w:tc>
      </w:tr>
      <w:tr>
        <w:trPr>
          <w:trHeight w:val="234"/>
        </w:trPr>
        <w:tc>
          <w:tcPr>
            <w:tcW w:w="3740" w:type="dxa"/>
            <w:vAlign w:val="bottom"/>
            <w:tcBorders>
              <w:left w:val="single" w:sz="8" w:color="auto"/>
              <w:right w:val="single" w:sz="8" w:color="auto"/>
            </w:tcBorders>
            <w:shd w:val="clear" w:color="auto" w:fill="EDF2F8"/>
          </w:tcPr>
          <w:p>
            <w:pPr>
              <w:spacing w:after="0"/>
              <w:rPr>
                <w:sz w:val="20"/>
                <w:szCs w:val="20"/>
                <w:color w:val="auto"/>
              </w:rPr>
            </w:pPr>
          </w:p>
        </w:tc>
        <w:tc>
          <w:tcPr>
            <w:tcW w:w="496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Advanced long-term growth initiatives through major technology</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investments, including the Drag Reducer Agent (DRA) plant expansion, AI-</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enabled compound database, and predictive customer applications.</w:t>
            </w:r>
          </w:p>
        </w:tc>
        <w:tc>
          <w:tcPr>
            <w:tcW w:w="0" w:type="dxa"/>
            <w:vAlign w:val="bottom"/>
          </w:tcPr>
          <w:p>
            <w:pPr>
              <w:spacing w:after="0"/>
              <w:rPr>
                <w:sz w:val="1"/>
                <w:szCs w:val="1"/>
                <w:color w:val="auto"/>
              </w:rPr>
            </w:pPr>
          </w:p>
        </w:tc>
      </w:tr>
      <w:tr>
        <w:trPr>
          <w:trHeight w:val="245"/>
        </w:trPr>
        <w:tc>
          <w:tcPr>
            <w:tcW w:w="3740" w:type="dxa"/>
            <w:vAlign w:val="bottom"/>
            <w:tcBorders>
              <w:left w:val="single" w:sz="8" w:color="auto"/>
              <w:right w:val="single" w:sz="8" w:color="auto"/>
            </w:tcBorders>
            <w:shd w:val="clear" w:color="auto" w:fill="EDF2F8"/>
          </w:tcPr>
          <w:p>
            <w:pPr>
              <w:spacing w:after="0"/>
              <w:rPr>
                <w:sz w:val="21"/>
                <w:szCs w:val="21"/>
                <w:color w:val="auto"/>
              </w:rPr>
            </w:pPr>
          </w:p>
        </w:tc>
        <w:tc>
          <w:tcPr>
            <w:tcW w:w="496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Pursued strategic development opportunities and monitoring of</w:t>
            </w:r>
          </w:p>
        </w:tc>
        <w:tc>
          <w:tcPr>
            <w:tcW w:w="0" w:type="dxa"/>
            <w:vAlign w:val="bottom"/>
          </w:tcPr>
          <w:p>
            <w:pPr>
              <w:spacing w:after="0"/>
              <w:rPr>
                <w:sz w:val="1"/>
                <w:szCs w:val="1"/>
                <w:color w:val="auto"/>
              </w:rPr>
            </w:pPr>
          </w:p>
        </w:tc>
      </w:tr>
      <w:tr>
        <w:trPr>
          <w:trHeight w:val="230"/>
        </w:trPr>
        <w:tc>
          <w:tcPr>
            <w:tcW w:w="3740" w:type="dxa"/>
            <w:vAlign w:val="bottom"/>
            <w:tcBorders>
              <w:left w:val="single" w:sz="8" w:color="auto"/>
              <w:bottom w:val="single" w:sz="8" w:color="EDF2F8"/>
              <w:right w:val="single" w:sz="8" w:color="auto"/>
            </w:tcBorders>
            <w:shd w:val="clear" w:color="auto" w:fill="EDF2F8"/>
          </w:tcPr>
          <w:p>
            <w:pPr>
              <w:spacing w:after="0"/>
              <w:rPr>
                <w:sz w:val="19"/>
                <w:szCs w:val="19"/>
                <w:color w:val="auto"/>
              </w:rPr>
            </w:pPr>
          </w:p>
        </w:tc>
        <w:tc>
          <w:tcPr>
            <w:tcW w:w="4960" w:type="dxa"/>
            <w:vAlign w:val="bottom"/>
            <w:tcBorders>
              <w:bottom w:val="single" w:sz="8" w:color="EDF2F8"/>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transformational M&amp;A options to strengthen the portfolio.</w:t>
            </w:r>
          </w:p>
        </w:tc>
        <w:tc>
          <w:tcPr>
            <w:tcW w:w="0" w:type="dxa"/>
            <w:vAlign w:val="bottom"/>
          </w:tcPr>
          <w:p>
            <w:pPr>
              <w:spacing w:after="0"/>
              <w:rPr>
                <w:sz w:val="1"/>
                <w:szCs w:val="1"/>
                <w:color w:val="auto"/>
              </w:rPr>
            </w:pPr>
          </w:p>
        </w:tc>
      </w:tr>
      <w:tr>
        <w:trPr>
          <w:trHeight w:val="211"/>
        </w:trPr>
        <w:tc>
          <w:tcPr>
            <w:tcW w:w="374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Lead the focus on recruitment, identification and</w:t>
            </w:r>
          </w:p>
        </w:tc>
        <w:tc>
          <w:tcPr>
            <w:tcW w:w="496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Strengthened succession planning by redesigning the R&amp;T leadership</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development of high potential employees to ensure we</w:t>
            </w: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development approach, ensuring deeper technical and strategic bench</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have the talent and resource needed for the future growth</w:t>
            </w: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strength across multiple expertise areas.</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of the Company</w:t>
            </w:r>
          </w:p>
        </w:tc>
        <w:tc>
          <w:tcPr>
            <w:tcW w:w="4960" w:type="dxa"/>
            <w:vAlign w:val="bottom"/>
            <w:tcBorders>
              <w:right w:val="single" w:sz="8" w:color="auto"/>
            </w:tcBorders>
            <w:vMerge w:val="restart"/>
            <w:shd w:val="clear" w:color="auto" w:fill="EDF2F8"/>
          </w:tcPr>
          <w:p>
            <w:pPr>
              <w:ind w:left="80"/>
              <w:spacing w:after="0"/>
              <w:rPr>
                <w:sz w:val="20"/>
                <w:szCs w:val="20"/>
                <w:color w:val="auto"/>
              </w:rPr>
            </w:pPr>
            <w:r>
              <w:rPr>
                <w:rFonts w:ascii="Arial" w:cs="Arial" w:eastAsia="Arial" w:hAnsi="Arial"/>
                <w:sz w:val="13"/>
                <w:szCs w:val="13"/>
                <w:color w:val="auto"/>
              </w:rPr>
              <w:t>•   Advanced internal talent development through the second deployment of the</w:t>
            </w:r>
          </w:p>
        </w:tc>
        <w:tc>
          <w:tcPr>
            <w:tcW w:w="0" w:type="dxa"/>
            <w:vAlign w:val="bottom"/>
          </w:tcPr>
          <w:p>
            <w:pPr>
              <w:spacing w:after="0"/>
              <w:rPr>
                <w:sz w:val="1"/>
                <w:szCs w:val="1"/>
                <w:color w:val="auto"/>
              </w:rPr>
            </w:pPr>
          </w:p>
        </w:tc>
      </w:tr>
      <w:tr>
        <w:trPr>
          <w:trHeight w:val="56"/>
        </w:trPr>
        <w:tc>
          <w:tcPr>
            <w:tcW w:w="3740" w:type="dxa"/>
            <w:vAlign w:val="bottom"/>
            <w:tcBorders>
              <w:left w:val="single" w:sz="8" w:color="auto"/>
              <w:right w:val="single" w:sz="8" w:color="auto"/>
            </w:tcBorders>
            <w:shd w:val="clear" w:color="auto" w:fill="EDF2F8"/>
          </w:tcPr>
          <w:p>
            <w:pPr>
              <w:spacing w:after="0"/>
              <w:rPr>
                <w:sz w:val="4"/>
                <w:szCs w:val="4"/>
                <w:color w:val="auto"/>
              </w:rPr>
            </w:pPr>
          </w:p>
        </w:tc>
        <w:tc>
          <w:tcPr>
            <w:tcW w:w="4960" w:type="dxa"/>
            <w:vAlign w:val="bottom"/>
            <w:tcBorders>
              <w:right w:val="single" w:sz="8" w:color="auto"/>
            </w:tcBorders>
            <w:vMerge w:val="continue"/>
            <w:shd w:val="clear" w:color="auto" w:fill="EDF2F8"/>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Senior Leadership Development Program, which produced strong participant</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feedback and actionable project outcomes.</w:t>
            </w:r>
          </w:p>
        </w:tc>
        <w:tc>
          <w:tcPr>
            <w:tcW w:w="0" w:type="dxa"/>
            <w:vAlign w:val="bottom"/>
          </w:tcPr>
          <w:p>
            <w:pPr>
              <w:spacing w:after="0"/>
              <w:rPr>
                <w:sz w:val="1"/>
                <w:szCs w:val="1"/>
                <w:color w:val="auto"/>
              </w:rPr>
            </w:pPr>
          </w:p>
        </w:tc>
      </w:tr>
      <w:tr>
        <w:trPr>
          <w:trHeight w:val="245"/>
        </w:trPr>
        <w:tc>
          <w:tcPr>
            <w:tcW w:w="3740" w:type="dxa"/>
            <w:vAlign w:val="bottom"/>
            <w:tcBorders>
              <w:left w:val="single" w:sz="8" w:color="auto"/>
              <w:right w:val="single" w:sz="8" w:color="auto"/>
            </w:tcBorders>
            <w:shd w:val="clear" w:color="auto" w:fill="EDF2F8"/>
          </w:tcPr>
          <w:p>
            <w:pPr>
              <w:spacing w:after="0"/>
              <w:rPr>
                <w:sz w:val="21"/>
                <w:szCs w:val="21"/>
                <w:color w:val="auto"/>
              </w:rPr>
            </w:pPr>
          </w:p>
        </w:tc>
        <w:tc>
          <w:tcPr>
            <w:tcW w:w="496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Initiated global people initiatives—including the Global Employee Survey—to</w:t>
            </w:r>
          </w:p>
        </w:tc>
        <w:tc>
          <w:tcPr>
            <w:tcW w:w="0" w:type="dxa"/>
            <w:vAlign w:val="bottom"/>
          </w:tcPr>
          <w:p>
            <w:pPr>
              <w:spacing w:after="0"/>
              <w:rPr>
                <w:sz w:val="1"/>
                <w:szCs w:val="1"/>
                <w:color w:val="auto"/>
              </w:rPr>
            </w:pPr>
          </w:p>
        </w:tc>
      </w:tr>
      <w:tr>
        <w:trPr>
          <w:trHeight w:val="230"/>
        </w:trPr>
        <w:tc>
          <w:tcPr>
            <w:tcW w:w="3740" w:type="dxa"/>
            <w:vAlign w:val="bottom"/>
            <w:tcBorders>
              <w:left w:val="single" w:sz="8" w:color="auto"/>
              <w:bottom w:val="single" w:sz="8" w:color="EDF2F8"/>
              <w:right w:val="single" w:sz="8" w:color="auto"/>
            </w:tcBorders>
            <w:shd w:val="clear" w:color="auto" w:fill="EDF2F8"/>
          </w:tcPr>
          <w:p>
            <w:pPr>
              <w:spacing w:after="0"/>
              <w:rPr>
                <w:sz w:val="19"/>
                <w:szCs w:val="19"/>
                <w:color w:val="auto"/>
              </w:rPr>
            </w:pPr>
          </w:p>
        </w:tc>
        <w:tc>
          <w:tcPr>
            <w:tcW w:w="4960" w:type="dxa"/>
            <w:vAlign w:val="bottom"/>
            <w:tcBorders>
              <w:bottom w:val="single" w:sz="8" w:color="EDF2F8"/>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reinforce employee engagement and future recruitment strategies.</w:t>
            </w:r>
          </w:p>
        </w:tc>
        <w:tc>
          <w:tcPr>
            <w:tcW w:w="0" w:type="dxa"/>
            <w:vAlign w:val="bottom"/>
          </w:tcPr>
          <w:p>
            <w:pPr>
              <w:spacing w:after="0"/>
              <w:rPr>
                <w:sz w:val="1"/>
                <w:szCs w:val="1"/>
                <w:color w:val="auto"/>
              </w:rPr>
            </w:pPr>
          </w:p>
        </w:tc>
      </w:tr>
      <w:tr>
        <w:trPr>
          <w:trHeight w:val="211"/>
        </w:trPr>
        <w:tc>
          <w:tcPr>
            <w:tcW w:w="374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Provide leadership to Executive Team and Company to</w:t>
            </w:r>
          </w:p>
        </w:tc>
        <w:tc>
          <w:tcPr>
            <w:tcW w:w="496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Took direct, hands-on leadership to address underperformance in relevant</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ensure focus on delivery on our targets as a Company and</w:t>
            </w: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business segments, implementing organizational changes, margin</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as individuals</w:t>
            </w: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improvement actions, and strengthened accountability.</w:t>
            </w:r>
          </w:p>
        </w:tc>
        <w:tc>
          <w:tcPr>
            <w:tcW w:w="0" w:type="dxa"/>
            <w:vAlign w:val="bottom"/>
          </w:tcPr>
          <w:p>
            <w:pPr>
              <w:spacing w:after="0"/>
              <w:rPr>
                <w:sz w:val="1"/>
                <w:szCs w:val="1"/>
                <w:color w:val="auto"/>
              </w:rPr>
            </w:pPr>
          </w:p>
        </w:tc>
      </w:tr>
      <w:tr>
        <w:trPr>
          <w:trHeight w:val="234"/>
        </w:trPr>
        <w:tc>
          <w:tcPr>
            <w:tcW w:w="3740" w:type="dxa"/>
            <w:vAlign w:val="bottom"/>
            <w:tcBorders>
              <w:left w:val="single" w:sz="8" w:color="auto"/>
              <w:right w:val="single" w:sz="8" w:color="auto"/>
            </w:tcBorders>
            <w:shd w:val="clear" w:color="auto" w:fill="EDF2F8"/>
          </w:tcPr>
          <w:p>
            <w:pPr>
              <w:spacing w:after="0"/>
              <w:rPr>
                <w:sz w:val="20"/>
                <w:szCs w:val="20"/>
                <w:color w:val="auto"/>
              </w:rPr>
            </w:pPr>
          </w:p>
        </w:tc>
        <w:tc>
          <w:tcPr>
            <w:tcW w:w="496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Guided the company through significant operational challenges while</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maintaining focus on safety, compliance, and disciplined execution across all</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business units.</w:t>
            </w:r>
          </w:p>
        </w:tc>
        <w:tc>
          <w:tcPr>
            <w:tcW w:w="0" w:type="dxa"/>
            <w:vAlign w:val="bottom"/>
          </w:tcPr>
          <w:p>
            <w:pPr>
              <w:spacing w:after="0"/>
              <w:rPr>
                <w:sz w:val="1"/>
                <w:szCs w:val="1"/>
                <w:color w:val="auto"/>
              </w:rPr>
            </w:pPr>
          </w:p>
        </w:tc>
      </w:tr>
      <w:tr>
        <w:trPr>
          <w:trHeight w:val="245"/>
        </w:trPr>
        <w:tc>
          <w:tcPr>
            <w:tcW w:w="3740" w:type="dxa"/>
            <w:vAlign w:val="bottom"/>
            <w:tcBorders>
              <w:left w:val="single" w:sz="8" w:color="auto"/>
              <w:right w:val="single" w:sz="8" w:color="auto"/>
            </w:tcBorders>
            <w:shd w:val="clear" w:color="auto" w:fill="EDF2F8"/>
          </w:tcPr>
          <w:p>
            <w:pPr>
              <w:spacing w:after="0"/>
              <w:rPr>
                <w:sz w:val="21"/>
                <w:szCs w:val="21"/>
                <w:color w:val="auto"/>
              </w:rPr>
            </w:pPr>
          </w:p>
        </w:tc>
        <w:tc>
          <w:tcPr>
            <w:tcW w:w="496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Reinforced a culture of operational rigor and strategic alignment by setting</w:t>
            </w:r>
          </w:p>
        </w:tc>
        <w:tc>
          <w:tcPr>
            <w:tcW w:w="0" w:type="dxa"/>
            <w:vAlign w:val="bottom"/>
          </w:tcPr>
          <w:p>
            <w:pPr>
              <w:spacing w:after="0"/>
              <w:rPr>
                <w:sz w:val="1"/>
                <w:szCs w:val="1"/>
                <w:color w:val="auto"/>
              </w:rPr>
            </w:pP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clear expectations, increasing involvement in business details, and driving</w:t>
            </w:r>
          </w:p>
        </w:tc>
        <w:tc>
          <w:tcPr>
            <w:tcW w:w="0" w:type="dxa"/>
            <w:vAlign w:val="bottom"/>
          </w:tcPr>
          <w:p>
            <w:pPr>
              <w:spacing w:after="0"/>
              <w:rPr>
                <w:sz w:val="1"/>
                <w:szCs w:val="1"/>
                <w:color w:val="auto"/>
              </w:rPr>
            </w:pPr>
          </w:p>
        </w:tc>
      </w:tr>
      <w:tr>
        <w:trPr>
          <w:trHeight w:val="205"/>
        </w:trPr>
        <w:tc>
          <w:tcPr>
            <w:tcW w:w="3740" w:type="dxa"/>
            <w:vAlign w:val="bottom"/>
            <w:tcBorders>
              <w:left w:val="single" w:sz="8" w:color="auto"/>
              <w:bottom w:val="single" w:sz="8" w:color="EDF2F8"/>
              <w:right w:val="single" w:sz="8" w:color="auto"/>
            </w:tcBorders>
            <w:shd w:val="clear" w:color="auto" w:fill="EDF2F8"/>
          </w:tcPr>
          <w:p>
            <w:pPr>
              <w:spacing w:after="0"/>
              <w:rPr>
                <w:sz w:val="17"/>
                <w:szCs w:val="17"/>
                <w:color w:val="auto"/>
              </w:rPr>
            </w:pPr>
          </w:p>
        </w:tc>
        <w:tc>
          <w:tcPr>
            <w:tcW w:w="4960" w:type="dxa"/>
            <w:vAlign w:val="bottom"/>
            <w:tcBorders>
              <w:bottom w:val="single" w:sz="8" w:color="EDF2F8"/>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commitment to margin recovery and 2026 performance goals.</w:t>
            </w:r>
          </w:p>
        </w:tc>
        <w:tc>
          <w:tcPr>
            <w:tcW w:w="0" w:type="dxa"/>
            <w:vAlign w:val="bottom"/>
          </w:tcPr>
          <w:p>
            <w:pPr>
              <w:spacing w:after="0"/>
              <w:rPr>
                <w:sz w:val="1"/>
                <w:szCs w:val="1"/>
                <w:color w:val="auto"/>
              </w:rPr>
            </w:pPr>
          </w:p>
        </w:tc>
      </w:tr>
      <w:tr>
        <w:trPr>
          <w:trHeight w:val="20"/>
        </w:trPr>
        <w:tc>
          <w:tcPr>
            <w:tcW w:w="3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9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Given Mr. Williams’s performance measured against the goals set, the Compensation Committee recommended Mr. Williams be awarded a score of 46 out of 50 for his personal objectives.</w:t>
      </w:r>
    </w:p>
    <w:p>
      <w:pPr>
        <w:spacing w:after="0" w:line="42"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relevant selected key personal performance goals and objectives for each of our other NEO’s are summarized below, together with the actual performance achieved.</w:t>
      </w:r>
    </w:p>
    <w:p>
      <w:pPr>
        <w:spacing w:after="0" w:line="70" w:lineRule="exact"/>
        <w:rPr>
          <w:sz w:val="20"/>
          <w:szCs w:val="20"/>
          <w:color w:val="auto"/>
        </w:rPr>
      </w:pPr>
    </w:p>
    <w:tbl>
      <w:tblPr>
        <w:tblLayout w:type="fixed"/>
        <w:tblInd w:w="210" w:type="dxa"/>
        <w:tblCellMar>
          <w:top w:w="0" w:type="dxa"/>
          <w:left w:w="0" w:type="dxa"/>
          <w:bottom w:w="0" w:type="dxa"/>
          <w:right w:w="0" w:type="dxa"/>
        </w:tblCellMar>
      </w:tblPr>
      <w:tr>
        <w:trPr>
          <w:trHeight w:val="219"/>
        </w:trPr>
        <w:tc>
          <w:tcPr>
            <w:tcW w:w="3740" w:type="dxa"/>
            <w:vAlign w:val="bottom"/>
            <w:tcBorders>
              <w:top w:val="single" w:sz="8" w:color="auto"/>
              <w:left w:val="single" w:sz="8" w:color="auto"/>
              <w:right w:val="single" w:sz="8" w:color="auto"/>
            </w:tcBorders>
            <w:shd w:val="clear" w:color="auto" w:fill="4F81BD"/>
          </w:tcPr>
          <w:p>
            <w:pPr>
              <w:ind w:left="100"/>
              <w:spacing w:after="0"/>
              <w:rPr>
                <w:sz w:val="20"/>
                <w:szCs w:val="20"/>
                <w:color w:val="auto"/>
              </w:rPr>
            </w:pPr>
            <w:r>
              <w:rPr>
                <w:rFonts w:ascii="Arial" w:cs="Arial" w:eastAsia="Arial" w:hAnsi="Arial"/>
                <w:sz w:val="15"/>
                <w:szCs w:val="15"/>
                <w:b w:val="1"/>
                <w:bCs w:val="1"/>
                <w:color w:val="FFFFFF"/>
              </w:rPr>
              <w:t>Mr. Ian P. Cleminson</w:t>
            </w:r>
          </w:p>
        </w:tc>
        <w:tc>
          <w:tcPr>
            <w:tcW w:w="4960" w:type="dxa"/>
            <w:vAlign w:val="bottom"/>
            <w:tcBorders>
              <w:top w:val="single" w:sz="8" w:color="auto"/>
              <w:right w:val="single" w:sz="8" w:color="auto"/>
            </w:tcBorders>
            <w:shd w:val="clear" w:color="auto" w:fill="4F81BD"/>
          </w:tcPr>
          <w:p>
            <w:pPr>
              <w:ind w:left="80"/>
              <w:spacing w:after="0"/>
              <w:rPr>
                <w:sz w:val="20"/>
                <w:szCs w:val="20"/>
                <w:color w:val="auto"/>
              </w:rPr>
            </w:pPr>
            <w:r>
              <w:rPr>
                <w:rFonts w:ascii="Arial" w:cs="Arial" w:eastAsia="Arial" w:hAnsi="Arial"/>
                <w:sz w:val="15"/>
                <w:szCs w:val="15"/>
                <w:b w:val="1"/>
                <w:bCs w:val="1"/>
                <w:color w:val="FFFFFF"/>
              </w:rPr>
              <w:t>Actual Performance vs Personal Goals and Objectives Awarded</w:t>
            </w:r>
          </w:p>
        </w:tc>
      </w:tr>
      <w:tr>
        <w:trPr>
          <w:trHeight w:val="242"/>
        </w:trPr>
        <w:tc>
          <w:tcPr>
            <w:tcW w:w="3740" w:type="dxa"/>
            <w:vAlign w:val="bottom"/>
            <w:tcBorders>
              <w:left w:val="single" w:sz="8" w:color="auto"/>
              <w:bottom w:val="single" w:sz="8" w:color="4F81BD"/>
              <w:right w:val="single" w:sz="8" w:color="auto"/>
            </w:tcBorders>
            <w:shd w:val="clear" w:color="auto" w:fill="4F81BD"/>
          </w:tcPr>
          <w:p>
            <w:pPr>
              <w:ind w:left="100"/>
              <w:spacing w:after="0"/>
              <w:rPr>
                <w:sz w:val="20"/>
                <w:szCs w:val="20"/>
                <w:color w:val="auto"/>
              </w:rPr>
            </w:pPr>
            <w:r>
              <w:rPr>
                <w:rFonts w:ascii="Arial" w:cs="Arial" w:eastAsia="Arial" w:hAnsi="Arial"/>
                <w:sz w:val="15"/>
                <w:szCs w:val="15"/>
                <w:b w:val="1"/>
                <w:bCs w:val="1"/>
                <w:color w:val="FFFFFF"/>
              </w:rPr>
              <w:t>Personal Performance Goals and Objectives</w:t>
            </w:r>
          </w:p>
        </w:tc>
        <w:tc>
          <w:tcPr>
            <w:tcW w:w="4960" w:type="dxa"/>
            <w:vAlign w:val="bottom"/>
            <w:tcBorders>
              <w:bottom w:val="single" w:sz="8" w:color="4F81BD"/>
              <w:right w:val="single" w:sz="8" w:color="auto"/>
            </w:tcBorders>
            <w:shd w:val="clear" w:color="auto" w:fill="4F81BD"/>
          </w:tcPr>
          <w:p>
            <w:pPr>
              <w:ind w:left="80"/>
              <w:spacing w:after="0"/>
              <w:rPr>
                <w:sz w:val="20"/>
                <w:szCs w:val="20"/>
                <w:color w:val="auto"/>
              </w:rPr>
            </w:pPr>
            <w:r>
              <w:rPr>
                <w:rFonts w:ascii="Arial" w:cs="Arial" w:eastAsia="Arial" w:hAnsi="Arial"/>
                <w:sz w:val="15"/>
                <w:szCs w:val="15"/>
                <w:b w:val="1"/>
                <w:bCs w:val="1"/>
                <w:color w:val="FFFFFF"/>
              </w:rPr>
              <w:t>Score of 46 out of 50</w:t>
            </w:r>
          </w:p>
        </w:tc>
      </w:tr>
      <w:tr>
        <w:trPr>
          <w:trHeight w:val="211"/>
        </w:trPr>
        <w:tc>
          <w:tcPr>
            <w:tcW w:w="374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Provide lead financial support for the diligence, funding,</w:t>
            </w:r>
          </w:p>
        </w:tc>
        <w:tc>
          <w:tcPr>
            <w:tcW w:w="4960" w:type="dxa"/>
            <w:vAlign w:val="bottom"/>
            <w:tcBorders>
              <w:top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Evaluated a steady pipeline of M&amp;A opportunities across all businesses,</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structuring, and integration of acquisitions</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providing technical, strategic, and financial challenge and support to ensure</w:t>
            </w:r>
          </w:p>
        </w:tc>
      </w:tr>
      <w:tr>
        <w:trPr>
          <w:trHeight w:val="178"/>
        </w:trPr>
        <w:tc>
          <w:tcPr>
            <w:tcW w:w="3740" w:type="dxa"/>
            <w:vAlign w:val="bottom"/>
            <w:tcBorders>
              <w:left w:val="single" w:sz="8" w:color="auto"/>
              <w:right w:val="single" w:sz="8" w:color="auto"/>
            </w:tcBorders>
            <w:shd w:val="clear" w:color="auto" w:fill="DBE5F1"/>
          </w:tcPr>
          <w:p>
            <w:pPr>
              <w:spacing w:after="0"/>
              <w:rPr>
                <w:sz w:val="15"/>
                <w:szCs w:val="15"/>
                <w:color w:val="auto"/>
              </w:rPr>
            </w:pP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disciplined bid ranges and sound decision-making.</w:t>
            </w:r>
          </w:p>
        </w:tc>
      </w:tr>
      <w:tr>
        <w:trPr>
          <w:trHeight w:val="234"/>
        </w:trPr>
        <w:tc>
          <w:tcPr>
            <w:tcW w:w="3740" w:type="dxa"/>
            <w:vAlign w:val="bottom"/>
            <w:tcBorders>
              <w:left w:val="single" w:sz="8" w:color="auto"/>
              <w:right w:val="single" w:sz="8" w:color="auto"/>
            </w:tcBorders>
            <w:shd w:val="clear" w:color="auto" w:fill="DBE5F1"/>
          </w:tcPr>
          <w:p>
            <w:pPr>
              <w:spacing w:after="0"/>
              <w:rPr>
                <w:sz w:val="20"/>
                <w:szCs w:val="20"/>
                <w:color w:val="auto"/>
              </w:rPr>
            </w:pPr>
          </w:p>
        </w:tc>
        <w:tc>
          <w:tcPr>
            <w:tcW w:w="4960" w:type="dxa"/>
            <w:vAlign w:val="bottom"/>
            <w:tcBorders>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Successfully closed and integrated the Biotechnics acquisition and led major</w:t>
            </w:r>
          </w:p>
        </w:tc>
      </w:tr>
      <w:tr>
        <w:trPr>
          <w:trHeight w:val="178"/>
        </w:trPr>
        <w:tc>
          <w:tcPr>
            <w:tcW w:w="3740" w:type="dxa"/>
            <w:vAlign w:val="bottom"/>
            <w:tcBorders>
              <w:left w:val="single" w:sz="8" w:color="auto"/>
              <w:right w:val="single" w:sz="8" w:color="auto"/>
            </w:tcBorders>
            <w:shd w:val="clear" w:color="auto" w:fill="DBE5F1"/>
          </w:tcPr>
          <w:p>
            <w:pPr>
              <w:spacing w:after="0"/>
              <w:rPr>
                <w:sz w:val="15"/>
                <w:szCs w:val="15"/>
                <w:color w:val="auto"/>
              </w:rPr>
            </w:pP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corrective actions at QGP, including a $7M intangible write-down and FX</w:t>
            </w:r>
          </w:p>
        </w:tc>
      </w:tr>
      <w:tr>
        <w:trPr>
          <w:trHeight w:val="205"/>
        </w:trPr>
        <w:tc>
          <w:tcPr>
            <w:tcW w:w="3740" w:type="dxa"/>
            <w:vAlign w:val="bottom"/>
            <w:tcBorders>
              <w:left w:val="single" w:sz="8" w:color="auto"/>
              <w:bottom w:val="single" w:sz="8" w:color="DBE5F1"/>
              <w:right w:val="single" w:sz="8" w:color="auto"/>
            </w:tcBorders>
            <w:shd w:val="clear" w:color="auto" w:fill="DBE5F1"/>
          </w:tcPr>
          <w:p>
            <w:pPr>
              <w:spacing w:after="0"/>
              <w:rPr>
                <w:sz w:val="17"/>
                <w:szCs w:val="17"/>
                <w:color w:val="auto"/>
              </w:rPr>
            </w:pPr>
          </w:p>
        </w:tc>
        <w:tc>
          <w:tcPr>
            <w:tcW w:w="4960" w:type="dxa"/>
            <w:vAlign w:val="bottom"/>
            <w:tcBorders>
              <w:bottom w:val="single" w:sz="8" w:color="DBE5F1"/>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hedge reset that generated nearly $2M in gains.</w:t>
            </w:r>
          </w:p>
        </w:tc>
      </w:tr>
      <w:tr>
        <w:trPr>
          <w:trHeight w:val="20"/>
        </w:trPr>
        <w:tc>
          <w:tcPr>
            <w:tcW w:w="3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9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2114550</wp:posOffset>
            </wp:positionV>
            <wp:extent cx="297180" cy="290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9" w:name="page70"/>
    <w:bookmarkEnd w:id="69"/>
    <w:p>
      <w:pPr>
        <w:spacing w:after="0" w:line="94" w:lineRule="exact"/>
        <w:rPr>
          <w:sz w:val="20"/>
          <w:szCs w:val="20"/>
          <w:color w:val="auto"/>
        </w:rPr>
      </w:pPr>
    </w:p>
    <w:tbl>
      <w:tblPr>
        <w:tblLayout w:type="fixed"/>
        <w:tblInd w:w="210" w:type="dxa"/>
        <w:tblCellMar>
          <w:top w:w="0" w:type="dxa"/>
          <w:left w:w="0" w:type="dxa"/>
          <w:bottom w:w="0" w:type="dxa"/>
          <w:right w:w="0" w:type="dxa"/>
        </w:tblCellMar>
      </w:tblPr>
      <w:tr>
        <w:trPr>
          <w:trHeight w:val="219"/>
        </w:trPr>
        <w:tc>
          <w:tcPr>
            <w:tcW w:w="3740" w:type="dxa"/>
            <w:vAlign w:val="bottom"/>
            <w:tcBorders>
              <w:top w:val="single" w:sz="8" w:color="auto"/>
              <w:left w:val="single" w:sz="8" w:color="auto"/>
              <w:right w:val="single" w:sz="8" w:color="auto"/>
            </w:tcBorders>
            <w:shd w:val="clear" w:color="auto" w:fill="4F81BD"/>
          </w:tcPr>
          <w:p>
            <w:pPr>
              <w:ind w:left="100"/>
              <w:spacing w:after="0"/>
              <w:rPr>
                <w:sz w:val="20"/>
                <w:szCs w:val="20"/>
                <w:color w:val="auto"/>
              </w:rPr>
            </w:pPr>
            <w:r>
              <w:rPr>
                <w:rFonts w:ascii="Arial" w:cs="Arial" w:eastAsia="Arial" w:hAnsi="Arial"/>
                <w:sz w:val="15"/>
                <w:szCs w:val="15"/>
                <w:b w:val="1"/>
                <w:bCs w:val="1"/>
                <w:color w:val="FFFFFF"/>
              </w:rPr>
              <w:t>Mr. Ian P. Cleminson</w:t>
            </w:r>
          </w:p>
        </w:tc>
        <w:tc>
          <w:tcPr>
            <w:tcW w:w="4960" w:type="dxa"/>
            <w:vAlign w:val="bottom"/>
            <w:tcBorders>
              <w:top w:val="single" w:sz="8" w:color="auto"/>
              <w:right w:val="single" w:sz="8" w:color="auto"/>
            </w:tcBorders>
            <w:shd w:val="clear" w:color="auto" w:fill="4F81BD"/>
          </w:tcPr>
          <w:p>
            <w:pPr>
              <w:ind w:left="80"/>
              <w:spacing w:after="0"/>
              <w:rPr>
                <w:sz w:val="20"/>
                <w:szCs w:val="20"/>
                <w:color w:val="auto"/>
              </w:rPr>
            </w:pPr>
            <w:r>
              <w:rPr>
                <w:rFonts w:ascii="Arial" w:cs="Arial" w:eastAsia="Arial" w:hAnsi="Arial"/>
                <w:sz w:val="15"/>
                <w:szCs w:val="15"/>
                <w:b w:val="1"/>
                <w:bCs w:val="1"/>
                <w:color w:val="FFFFFF"/>
              </w:rPr>
              <w:t>Actual Performance vs Personal Goals and Objectives Awarded</w:t>
            </w:r>
          </w:p>
        </w:tc>
      </w:tr>
      <w:tr>
        <w:trPr>
          <w:trHeight w:val="242"/>
        </w:trPr>
        <w:tc>
          <w:tcPr>
            <w:tcW w:w="3740" w:type="dxa"/>
            <w:vAlign w:val="bottom"/>
            <w:tcBorders>
              <w:left w:val="single" w:sz="8" w:color="auto"/>
              <w:bottom w:val="single" w:sz="8" w:color="4F81BD"/>
              <w:right w:val="single" w:sz="8" w:color="auto"/>
            </w:tcBorders>
            <w:shd w:val="clear" w:color="auto" w:fill="4F81BD"/>
          </w:tcPr>
          <w:p>
            <w:pPr>
              <w:ind w:left="100"/>
              <w:spacing w:after="0"/>
              <w:rPr>
                <w:sz w:val="20"/>
                <w:szCs w:val="20"/>
                <w:color w:val="auto"/>
              </w:rPr>
            </w:pPr>
            <w:r>
              <w:rPr>
                <w:rFonts w:ascii="Arial" w:cs="Arial" w:eastAsia="Arial" w:hAnsi="Arial"/>
                <w:sz w:val="15"/>
                <w:szCs w:val="15"/>
                <w:b w:val="1"/>
                <w:bCs w:val="1"/>
                <w:color w:val="FFFFFF"/>
              </w:rPr>
              <w:t>Personal Performance Goals and Objectives</w:t>
            </w:r>
          </w:p>
        </w:tc>
        <w:tc>
          <w:tcPr>
            <w:tcW w:w="4960" w:type="dxa"/>
            <w:vAlign w:val="bottom"/>
            <w:tcBorders>
              <w:bottom w:val="single" w:sz="8" w:color="4F81BD"/>
              <w:right w:val="single" w:sz="8" w:color="auto"/>
            </w:tcBorders>
            <w:shd w:val="clear" w:color="auto" w:fill="4F81BD"/>
          </w:tcPr>
          <w:p>
            <w:pPr>
              <w:ind w:left="80"/>
              <w:spacing w:after="0"/>
              <w:rPr>
                <w:sz w:val="20"/>
                <w:szCs w:val="20"/>
                <w:color w:val="auto"/>
              </w:rPr>
            </w:pPr>
            <w:r>
              <w:rPr>
                <w:rFonts w:ascii="Arial" w:cs="Arial" w:eastAsia="Arial" w:hAnsi="Arial"/>
                <w:sz w:val="15"/>
                <w:szCs w:val="15"/>
                <w:b w:val="1"/>
                <w:bCs w:val="1"/>
                <w:color w:val="FFFFFF"/>
              </w:rPr>
              <w:t>Score of 46 out of 50</w:t>
            </w:r>
          </w:p>
        </w:tc>
      </w:tr>
      <w:tr>
        <w:trPr>
          <w:trHeight w:val="211"/>
        </w:trPr>
        <w:tc>
          <w:tcPr>
            <w:tcW w:w="374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Oversight of SAP deployments and management of</w:t>
            </w:r>
          </w:p>
        </w:tc>
        <w:tc>
          <w:tcPr>
            <w:tcW w:w="496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Assumed Executive Sponsorship of the SAP program, conducted a full cost-</w:t>
            </w:r>
          </w:p>
        </w:tc>
      </w:tr>
      <w:tr>
        <w:trPr>
          <w:trHeight w:val="178"/>
        </w:trPr>
        <w:tc>
          <w:tcPr>
            <w:tcW w:w="374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associated personnel</w:t>
            </w: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effectiveness review, and prepared a Board report clarifying delays, cost</w:t>
            </w: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visibility issues, and consultant underperformance.</w:t>
            </w:r>
          </w:p>
        </w:tc>
      </w:tr>
      <w:tr>
        <w:trPr>
          <w:trHeight w:val="234"/>
        </w:trPr>
        <w:tc>
          <w:tcPr>
            <w:tcW w:w="3740" w:type="dxa"/>
            <w:vAlign w:val="bottom"/>
            <w:tcBorders>
              <w:left w:val="single" w:sz="8" w:color="auto"/>
              <w:right w:val="single" w:sz="8" w:color="auto"/>
            </w:tcBorders>
            <w:shd w:val="clear" w:color="auto" w:fill="EDF2F8"/>
          </w:tcPr>
          <w:p>
            <w:pPr>
              <w:spacing w:after="0"/>
              <w:rPr>
                <w:sz w:val="20"/>
                <w:szCs w:val="20"/>
                <w:color w:val="auto"/>
              </w:rPr>
            </w:pPr>
          </w:p>
        </w:tc>
        <w:tc>
          <w:tcPr>
            <w:tcW w:w="496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Delivered successful go-lives across multiple global sites and established a</w:t>
            </w: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new EMEA support model, while adjusting the U.S. timeline and canceling</w:t>
            </w:r>
          </w:p>
        </w:tc>
      </w:tr>
      <w:tr>
        <w:trPr>
          <w:trHeight w:val="230"/>
        </w:trPr>
        <w:tc>
          <w:tcPr>
            <w:tcW w:w="3740" w:type="dxa"/>
            <w:vAlign w:val="bottom"/>
            <w:tcBorders>
              <w:left w:val="single" w:sz="8" w:color="auto"/>
              <w:bottom w:val="single" w:sz="8" w:color="EDF2F8"/>
              <w:right w:val="single" w:sz="8" w:color="auto"/>
            </w:tcBorders>
            <w:shd w:val="clear" w:color="auto" w:fill="EDF2F8"/>
          </w:tcPr>
          <w:p>
            <w:pPr>
              <w:spacing w:after="0"/>
              <w:rPr>
                <w:sz w:val="19"/>
                <w:szCs w:val="19"/>
                <w:color w:val="auto"/>
              </w:rPr>
            </w:pPr>
          </w:p>
        </w:tc>
        <w:tc>
          <w:tcPr>
            <w:tcW w:w="4960" w:type="dxa"/>
            <w:vAlign w:val="bottom"/>
            <w:tcBorders>
              <w:bottom w:val="single" w:sz="8" w:color="EDF2F8"/>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certain deployments to protect cost and business priorities.</w:t>
            </w:r>
          </w:p>
        </w:tc>
      </w:tr>
      <w:tr>
        <w:trPr>
          <w:trHeight w:val="211"/>
        </w:trPr>
        <w:tc>
          <w:tcPr>
            <w:tcW w:w="374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Ensure Finance/IT has an adequate development plan to</w:t>
            </w:r>
          </w:p>
        </w:tc>
        <w:tc>
          <w:tcPr>
            <w:tcW w:w="4960" w:type="dxa"/>
            <w:vAlign w:val="bottom"/>
            <w:tcBorders>
              <w:top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Ensured all key Finance/IT staff have development and succession plans,</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deliver high quality next generation personnel and future</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with direct-report succession reviewed and endorsed by the Audit</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leaders</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Committee.</w:t>
            </w:r>
          </w:p>
        </w:tc>
      </w:tr>
      <w:tr>
        <w:trPr>
          <w:trHeight w:val="234"/>
        </w:trPr>
        <w:tc>
          <w:tcPr>
            <w:tcW w:w="3740" w:type="dxa"/>
            <w:vAlign w:val="bottom"/>
            <w:tcBorders>
              <w:left w:val="single" w:sz="8" w:color="auto"/>
              <w:right w:val="single" w:sz="8" w:color="auto"/>
            </w:tcBorders>
            <w:shd w:val="clear" w:color="auto" w:fill="DBE5F1"/>
          </w:tcPr>
          <w:p>
            <w:pPr>
              <w:spacing w:after="0"/>
              <w:rPr>
                <w:sz w:val="20"/>
                <w:szCs w:val="20"/>
                <w:color w:val="auto"/>
              </w:rPr>
            </w:pPr>
          </w:p>
        </w:tc>
        <w:tc>
          <w:tcPr>
            <w:tcW w:w="4960" w:type="dxa"/>
            <w:vAlign w:val="bottom"/>
            <w:tcBorders>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Advanced leadership capability by placing six of eight direct reports through</w:t>
            </w:r>
          </w:p>
        </w:tc>
      </w:tr>
      <w:tr>
        <w:trPr>
          <w:trHeight w:val="178"/>
        </w:trPr>
        <w:tc>
          <w:tcPr>
            <w:tcW w:w="3740" w:type="dxa"/>
            <w:vAlign w:val="bottom"/>
            <w:tcBorders>
              <w:left w:val="single" w:sz="8" w:color="auto"/>
              <w:right w:val="single" w:sz="8" w:color="auto"/>
            </w:tcBorders>
            <w:shd w:val="clear" w:color="auto" w:fill="DBE5F1"/>
          </w:tcPr>
          <w:p>
            <w:pPr>
              <w:spacing w:after="0"/>
              <w:rPr>
                <w:sz w:val="15"/>
                <w:szCs w:val="15"/>
                <w:color w:val="auto"/>
              </w:rPr>
            </w:pP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the Senior Leadership Program and expanding development opportunities</w:t>
            </w:r>
          </w:p>
        </w:tc>
      </w:tr>
      <w:tr>
        <w:trPr>
          <w:trHeight w:val="230"/>
        </w:trPr>
        <w:tc>
          <w:tcPr>
            <w:tcW w:w="3740" w:type="dxa"/>
            <w:vAlign w:val="bottom"/>
            <w:tcBorders>
              <w:left w:val="single" w:sz="8" w:color="auto"/>
              <w:bottom w:val="single" w:sz="8" w:color="DBE5F1"/>
              <w:right w:val="single" w:sz="8" w:color="auto"/>
            </w:tcBorders>
            <w:shd w:val="clear" w:color="auto" w:fill="DBE5F1"/>
          </w:tcPr>
          <w:p>
            <w:pPr>
              <w:spacing w:after="0"/>
              <w:rPr>
                <w:sz w:val="19"/>
                <w:szCs w:val="19"/>
                <w:color w:val="auto"/>
              </w:rPr>
            </w:pPr>
          </w:p>
        </w:tc>
        <w:tc>
          <w:tcPr>
            <w:tcW w:w="4960" w:type="dxa"/>
            <w:vAlign w:val="bottom"/>
            <w:tcBorders>
              <w:bottom w:val="single" w:sz="8" w:color="DBE5F1"/>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across Investor Relations, M&amp;A, Board engagement, and functional teams.</w:t>
            </w:r>
          </w:p>
        </w:tc>
      </w:tr>
      <w:tr>
        <w:trPr>
          <w:trHeight w:val="114"/>
        </w:trPr>
        <w:tc>
          <w:tcPr>
            <w:tcW w:w="3740" w:type="dxa"/>
            <w:vAlign w:val="bottom"/>
            <w:tcBorders>
              <w:top w:val="single" w:sz="8" w:color="auto"/>
              <w:bottom w:val="single" w:sz="8" w:color="auto"/>
            </w:tcBorders>
          </w:tcPr>
          <w:p>
            <w:pPr>
              <w:spacing w:after="0"/>
              <w:rPr>
                <w:sz w:val="9"/>
                <w:szCs w:val="9"/>
                <w:color w:val="auto"/>
              </w:rPr>
            </w:pPr>
          </w:p>
        </w:tc>
        <w:tc>
          <w:tcPr>
            <w:tcW w:w="4960" w:type="dxa"/>
            <w:vAlign w:val="bottom"/>
            <w:tcBorders>
              <w:top w:val="single" w:sz="8" w:color="auto"/>
              <w:bottom w:val="single" w:sz="8" w:color="auto"/>
            </w:tcBorders>
          </w:tcPr>
          <w:p>
            <w:pPr>
              <w:spacing w:after="0"/>
              <w:rPr>
                <w:sz w:val="9"/>
                <w:szCs w:val="9"/>
                <w:color w:val="auto"/>
              </w:rPr>
            </w:pPr>
          </w:p>
        </w:tc>
      </w:tr>
      <w:tr>
        <w:trPr>
          <w:trHeight w:val="213"/>
        </w:trPr>
        <w:tc>
          <w:tcPr>
            <w:tcW w:w="3740" w:type="dxa"/>
            <w:vAlign w:val="bottom"/>
            <w:tcBorders>
              <w:left w:val="single" w:sz="8" w:color="auto"/>
              <w:right w:val="single" w:sz="8" w:color="auto"/>
            </w:tcBorders>
            <w:shd w:val="clear" w:color="auto" w:fill="4F81BD"/>
          </w:tcPr>
          <w:p>
            <w:pPr>
              <w:ind w:left="100"/>
              <w:spacing w:after="0"/>
              <w:rPr>
                <w:sz w:val="20"/>
                <w:szCs w:val="20"/>
                <w:color w:val="auto"/>
              </w:rPr>
            </w:pPr>
            <w:r>
              <w:rPr>
                <w:rFonts w:ascii="Arial" w:cs="Arial" w:eastAsia="Arial" w:hAnsi="Arial"/>
                <w:sz w:val="13"/>
                <w:szCs w:val="13"/>
                <w:b w:val="1"/>
                <w:bCs w:val="1"/>
                <w:color w:val="FFFFFF"/>
              </w:rPr>
              <w:t>Dr. Ian M. McRobbie</w:t>
            </w:r>
          </w:p>
        </w:tc>
        <w:tc>
          <w:tcPr>
            <w:tcW w:w="4960" w:type="dxa"/>
            <w:vAlign w:val="bottom"/>
            <w:tcBorders>
              <w:right w:val="single" w:sz="8" w:color="auto"/>
            </w:tcBorders>
            <w:shd w:val="clear" w:color="auto" w:fill="4F81BD"/>
          </w:tcPr>
          <w:p>
            <w:pPr>
              <w:ind w:left="80"/>
              <w:spacing w:after="0"/>
              <w:rPr>
                <w:sz w:val="20"/>
                <w:szCs w:val="20"/>
                <w:color w:val="auto"/>
              </w:rPr>
            </w:pPr>
            <w:r>
              <w:rPr>
                <w:rFonts w:ascii="Arial" w:cs="Arial" w:eastAsia="Arial" w:hAnsi="Arial"/>
                <w:sz w:val="13"/>
                <w:szCs w:val="13"/>
                <w:b w:val="1"/>
                <w:bCs w:val="1"/>
                <w:color w:val="FFFFFF"/>
              </w:rPr>
              <w:t>Actual Performance vs Personal Goals and Objectives</w:t>
            </w:r>
          </w:p>
        </w:tc>
      </w:tr>
      <w:tr>
        <w:trPr>
          <w:trHeight w:val="229"/>
        </w:trPr>
        <w:tc>
          <w:tcPr>
            <w:tcW w:w="3740" w:type="dxa"/>
            <w:vAlign w:val="bottom"/>
            <w:tcBorders>
              <w:left w:val="single" w:sz="8" w:color="auto"/>
              <w:bottom w:val="single" w:sz="8" w:color="4F81BD"/>
              <w:right w:val="single" w:sz="8" w:color="auto"/>
            </w:tcBorders>
            <w:shd w:val="clear" w:color="auto" w:fill="4F81BD"/>
          </w:tcPr>
          <w:p>
            <w:pPr>
              <w:ind w:left="100"/>
              <w:spacing w:after="0"/>
              <w:rPr>
                <w:sz w:val="20"/>
                <w:szCs w:val="20"/>
                <w:color w:val="auto"/>
              </w:rPr>
            </w:pPr>
            <w:r>
              <w:rPr>
                <w:rFonts w:ascii="Arial" w:cs="Arial" w:eastAsia="Arial" w:hAnsi="Arial"/>
                <w:sz w:val="13"/>
                <w:szCs w:val="13"/>
                <w:b w:val="1"/>
                <w:bCs w:val="1"/>
                <w:color w:val="FFFFFF"/>
              </w:rPr>
              <w:t>Personal Performance Goals and Objectives</w:t>
            </w:r>
          </w:p>
        </w:tc>
        <w:tc>
          <w:tcPr>
            <w:tcW w:w="4960" w:type="dxa"/>
            <w:vAlign w:val="bottom"/>
            <w:tcBorders>
              <w:bottom w:val="single" w:sz="8" w:color="4F81BD"/>
              <w:right w:val="single" w:sz="8" w:color="auto"/>
            </w:tcBorders>
            <w:shd w:val="clear" w:color="auto" w:fill="4F81BD"/>
          </w:tcPr>
          <w:p>
            <w:pPr>
              <w:ind w:left="80"/>
              <w:spacing w:after="0"/>
              <w:rPr>
                <w:sz w:val="20"/>
                <w:szCs w:val="20"/>
                <w:color w:val="auto"/>
              </w:rPr>
            </w:pPr>
            <w:r>
              <w:rPr>
                <w:rFonts w:ascii="Arial" w:cs="Arial" w:eastAsia="Arial" w:hAnsi="Arial"/>
                <w:sz w:val="13"/>
                <w:szCs w:val="13"/>
                <w:b w:val="1"/>
                <w:bCs w:val="1"/>
                <w:color w:val="FFFFFF"/>
              </w:rPr>
              <w:t>Awarded score of 46 out of 50</w:t>
            </w:r>
          </w:p>
        </w:tc>
      </w:tr>
      <w:tr>
        <w:trPr>
          <w:trHeight w:val="211"/>
        </w:trPr>
        <w:tc>
          <w:tcPr>
            <w:tcW w:w="374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Develop Biotechnology processes for commercial viability</w:t>
            </w:r>
          </w:p>
        </w:tc>
        <w:tc>
          <w:tcPr>
            <w:tcW w:w="496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Developed simplified, lower-cost biocatalyst activation and recovery</w:t>
            </w: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methods.</w:t>
            </w:r>
          </w:p>
        </w:tc>
      </w:tr>
      <w:tr>
        <w:trPr>
          <w:trHeight w:val="206"/>
        </w:trPr>
        <w:tc>
          <w:tcPr>
            <w:tcW w:w="3740" w:type="dxa"/>
            <w:vAlign w:val="bottom"/>
            <w:tcBorders>
              <w:left w:val="single" w:sz="8" w:color="auto"/>
              <w:right w:val="single" w:sz="8" w:color="auto"/>
            </w:tcBorders>
            <w:shd w:val="clear" w:color="auto" w:fill="EDF2F8"/>
          </w:tcPr>
          <w:p>
            <w:pPr>
              <w:spacing w:after="0"/>
              <w:rPr>
                <w:sz w:val="17"/>
                <w:szCs w:val="17"/>
                <w:color w:val="auto"/>
              </w:rPr>
            </w:pPr>
          </w:p>
        </w:tc>
        <w:tc>
          <w:tcPr>
            <w:tcW w:w="496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Secured necessary approvals to initiate pilot-scale production, completing all</w:t>
            </w:r>
          </w:p>
        </w:tc>
      </w:tr>
      <w:tr>
        <w:trPr>
          <w:trHeight w:val="209"/>
        </w:trPr>
        <w:tc>
          <w:tcPr>
            <w:tcW w:w="3740" w:type="dxa"/>
            <w:vAlign w:val="bottom"/>
            <w:tcBorders>
              <w:left w:val="single" w:sz="8" w:color="auto"/>
              <w:right w:val="single" w:sz="8" w:color="auto"/>
            </w:tcBorders>
            <w:shd w:val="clear" w:color="auto" w:fill="EDF2F8"/>
          </w:tcPr>
          <w:p>
            <w:pPr>
              <w:spacing w:after="0"/>
              <w:rPr>
                <w:sz w:val="18"/>
                <w:szCs w:val="18"/>
                <w:color w:val="auto"/>
              </w:rPr>
            </w:pPr>
          </w:p>
        </w:tc>
        <w:tc>
          <w:tcPr>
            <w:tcW w:w="4960" w:type="dxa"/>
            <w:vAlign w:val="bottom"/>
            <w:tcBorders>
              <w:right w:val="single" w:sz="8" w:color="auto"/>
            </w:tcBorders>
            <w:shd w:val="clear" w:color="auto" w:fill="EDF2F8"/>
          </w:tcPr>
          <w:p>
            <w:pPr>
              <w:ind w:left="300"/>
              <w:spacing w:after="0" w:line="150" w:lineRule="exact"/>
              <w:rPr>
                <w:sz w:val="20"/>
                <w:szCs w:val="20"/>
                <w:color w:val="auto"/>
              </w:rPr>
            </w:pPr>
            <w:r>
              <w:rPr>
                <w:rFonts w:ascii="Arial" w:cs="Arial" w:eastAsia="Arial" w:hAnsi="Arial"/>
                <w:sz w:val="13"/>
                <w:szCs w:val="13"/>
                <w:color w:val="auto"/>
              </w:rPr>
              <w:t>required documentation and preparing full</w:t>
            </w:r>
            <w:r>
              <w:rPr>
                <w:rFonts w:ascii="MS PGothic" w:cs="MS PGothic" w:eastAsia="MS PGothic" w:hAnsi="MS PGothic"/>
                <w:sz w:val="13"/>
                <w:szCs w:val="13"/>
                <w:color w:val="auto"/>
              </w:rPr>
              <w:t>‐</w:t>
            </w:r>
            <w:r>
              <w:rPr>
                <w:rFonts w:ascii="Arial" w:cs="Arial" w:eastAsia="Arial" w:hAnsi="Arial"/>
                <w:sz w:val="13"/>
                <w:szCs w:val="13"/>
                <w:color w:val="auto"/>
              </w:rPr>
              <w:t>scale manufacturing pending</w:t>
            </w:r>
          </w:p>
        </w:tc>
      </w:tr>
      <w:tr>
        <w:trPr>
          <w:trHeight w:val="227"/>
        </w:trPr>
        <w:tc>
          <w:tcPr>
            <w:tcW w:w="3740" w:type="dxa"/>
            <w:vAlign w:val="bottom"/>
            <w:tcBorders>
              <w:left w:val="single" w:sz="8" w:color="auto"/>
              <w:bottom w:val="single" w:sz="8" w:color="EDF2F8"/>
              <w:right w:val="single" w:sz="8" w:color="auto"/>
            </w:tcBorders>
            <w:shd w:val="clear" w:color="auto" w:fill="EDF2F8"/>
          </w:tcPr>
          <w:p>
            <w:pPr>
              <w:spacing w:after="0"/>
              <w:rPr>
                <w:sz w:val="19"/>
                <w:szCs w:val="19"/>
                <w:color w:val="auto"/>
              </w:rPr>
            </w:pPr>
          </w:p>
        </w:tc>
        <w:tc>
          <w:tcPr>
            <w:tcW w:w="4960" w:type="dxa"/>
            <w:vAlign w:val="bottom"/>
            <w:tcBorders>
              <w:bottom w:val="single" w:sz="8" w:color="EDF2F8"/>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commercial decisions.</w:t>
            </w:r>
          </w:p>
        </w:tc>
      </w:tr>
      <w:tr>
        <w:trPr>
          <w:trHeight w:val="211"/>
        </w:trPr>
        <w:tc>
          <w:tcPr>
            <w:tcW w:w="374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Develop Computational Research Toolkit</w:t>
            </w:r>
          </w:p>
        </w:tc>
        <w:tc>
          <w:tcPr>
            <w:tcW w:w="496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Completed the addition of several million synthetic molecule descriptors and</w:t>
            </w: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integrated multiple external and internal datasets, creating a uniquely</w:t>
            </w: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comprehensive and industry-leading data factory.</w:t>
            </w:r>
          </w:p>
        </w:tc>
      </w:tr>
      <w:tr>
        <w:trPr>
          <w:trHeight w:val="234"/>
        </w:trPr>
        <w:tc>
          <w:tcPr>
            <w:tcW w:w="3740" w:type="dxa"/>
            <w:vAlign w:val="bottom"/>
            <w:tcBorders>
              <w:left w:val="single" w:sz="8" w:color="auto"/>
              <w:right w:val="single" w:sz="8" w:color="auto"/>
            </w:tcBorders>
            <w:shd w:val="clear" w:color="auto" w:fill="EDF2F8"/>
          </w:tcPr>
          <w:p>
            <w:pPr>
              <w:spacing w:after="0"/>
              <w:rPr>
                <w:sz w:val="20"/>
                <w:szCs w:val="20"/>
                <w:color w:val="auto"/>
              </w:rPr>
            </w:pPr>
          </w:p>
        </w:tc>
        <w:tc>
          <w:tcPr>
            <w:tcW w:w="496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Expanded predictive modelling across fuels, oilfield, polymers, and surface</w:t>
            </w: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science, while advancing AI tools for molecule generation, retrosynthesis,</w:t>
            </w:r>
          </w:p>
        </w:tc>
      </w:tr>
      <w:tr>
        <w:trPr>
          <w:trHeight w:val="230"/>
        </w:trPr>
        <w:tc>
          <w:tcPr>
            <w:tcW w:w="3740" w:type="dxa"/>
            <w:vAlign w:val="bottom"/>
            <w:tcBorders>
              <w:left w:val="single" w:sz="8" w:color="auto"/>
              <w:bottom w:val="single" w:sz="8" w:color="EDF2F8"/>
              <w:right w:val="single" w:sz="8" w:color="auto"/>
            </w:tcBorders>
            <w:shd w:val="clear" w:color="auto" w:fill="EDF2F8"/>
          </w:tcPr>
          <w:p>
            <w:pPr>
              <w:spacing w:after="0"/>
              <w:rPr>
                <w:sz w:val="19"/>
                <w:szCs w:val="19"/>
                <w:color w:val="auto"/>
              </w:rPr>
            </w:pPr>
          </w:p>
        </w:tc>
        <w:tc>
          <w:tcPr>
            <w:tcW w:w="4960" w:type="dxa"/>
            <w:vAlign w:val="bottom"/>
            <w:tcBorders>
              <w:bottom w:val="single" w:sz="8" w:color="EDF2F8"/>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and automated data extraction to accelerate R&amp;T workflows.</w:t>
            </w:r>
          </w:p>
        </w:tc>
      </w:tr>
      <w:tr>
        <w:trPr>
          <w:trHeight w:val="211"/>
        </w:trPr>
        <w:tc>
          <w:tcPr>
            <w:tcW w:w="3740" w:type="dxa"/>
            <w:vAlign w:val="bottom"/>
            <w:tcBorders>
              <w:top w:val="single" w:sz="8" w:color="auto"/>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Continue to develop next generation personnel and future</w:t>
            </w:r>
          </w:p>
        </w:tc>
        <w:tc>
          <w:tcPr>
            <w:tcW w:w="4960" w:type="dxa"/>
            <w:vAlign w:val="bottom"/>
            <w:tcBorders>
              <w:top w:val="single" w:sz="8" w:color="auto"/>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Provided extensive coaching and mentoring to a broad group of emerging</w:t>
            </w:r>
          </w:p>
        </w:tc>
      </w:tr>
      <w:tr>
        <w:trPr>
          <w:trHeight w:val="178"/>
        </w:trPr>
        <w:tc>
          <w:tcPr>
            <w:tcW w:w="3740" w:type="dxa"/>
            <w:vAlign w:val="bottom"/>
            <w:tcBorders>
              <w:left w:val="single" w:sz="8" w:color="auto"/>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leaders in R&amp;T</w:t>
            </w: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leaders, covering technical leadership, ethics, process safety, and strategic</w:t>
            </w: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program development.</w:t>
            </w:r>
          </w:p>
        </w:tc>
      </w:tr>
      <w:tr>
        <w:trPr>
          <w:trHeight w:val="234"/>
        </w:trPr>
        <w:tc>
          <w:tcPr>
            <w:tcW w:w="3740" w:type="dxa"/>
            <w:vAlign w:val="bottom"/>
            <w:tcBorders>
              <w:left w:val="single" w:sz="8" w:color="auto"/>
              <w:right w:val="single" w:sz="8" w:color="auto"/>
            </w:tcBorders>
            <w:shd w:val="clear" w:color="auto" w:fill="EDF2F8"/>
          </w:tcPr>
          <w:p>
            <w:pPr>
              <w:spacing w:after="0"/>
              <w:rPr>
                <w:sz w:val="20"/>
                <w:szCs w:val="20"/>
                <w:color w:val="auto"/>
              </w:rPr>
            </w:pPr>
          </w:p>
        </w:tc>
        <w:tc>
          <w:tcPr>
            <w:tcW w:w="4960" w:type="dxa"/>
            <w:vAlign w:val="bottom"/>
            <w:tcBorders>
              <w:right w:val="single" w:sz="8" w:color="auto"/>
            </w:tcBorders>
            <w:shd w:val="clear" w:color="auto" w:fill="EDF2F8"/>
          </w:tcPr>
          <w:p>
            <w:pPr>
              <w:ind w:left="80"/>
              <w:spacing w:after="0"/>
              <w:rPr>
                <w:sz w:val="20"/>
                <w:szCs w:val="20"/>
                <w:color w:val="auto"/>
              </w:rPr>
            </w:pPr>
            <w:r>
              <w:rPr>
                <w:rFonts w:ascii="Arial" w:cs="Arial" w:eastAsia="Arial" w:hAnsi="Arial"/>
                <w:sz w:val="13"/>
                <w:szCs w:val="13"/>
                <w:color w:val="auto"/>
              </w:rPr>
              <w:t>•   Established individualized development plans and broadened exposure to</w:t>
            </w:r>
          </w:p>
        </w:tc>
      </w:tr>
      <w:tr>
        <w:trPr>
          <w:trHeight w:val="178"/>
        </w:trPr>
        <w:tc>
          <w:tcPr>
            <w:tcW w:w="3740" w:type="dxa"/>
            <w:vAlign w:val="bottom"/>
            <w:tcBorders>
              <w:left w:val="single" w:sz="8" w:color="auto"/>
              <w:right w:val="single" w:sz="8" w:color="auto"/>
            </w:tcBorders>
            <w:shd w:val="clear" w:color="auto" w:fill="EDF2F8"/>
          </w:tcPr>
          <w:p>
            <w:pPr>
              <w:spacing w:after="0"/>
              <w:rPr>
                <w:sz w:val="15"/>
                <w:szCs w:val="15"/>
                <w:color w:val="auto"/>
              </w:rPr>
            </w:pPr>
          </w:p>
        </w:tc>
        <w:tc>
          <w:tcPr>
            <w:tcW w:w="4960" w:type="dxa"/>
            <w:vAlign w:val="bottom"/>
            <w:tcBorders>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senior-level responsibilities, resulting in noticeable improvements in</w:t>
            </w:r>
          </w:p>
        </w:tc>
      </w:tr>
      <w:tr>
        <w:trPr>
          <w:trHeight w:val="205"/>
        </w:trPr>
        <w:tc>
          <w:tcPr>
            <w:tcW w:w="3740" w:type="dxa"/>
            <w:vAlign w:val="bottom"/>
            <w:tcBorders>
              <w:left w:val="single" w:sz="8" w:color="auto"/>
              <w:bottom w:val="single" w:sz="8" w:color="EDF2F8"/>
              <w:right w:val="single" w:sz="8" w:color="auto"/>
            </w:tcBorders>
            <w:shd w:val="clear" w:color="auto" w:fill="EDF2F8"/>
          </w:tcPr>
          <w:p>
            <w:pPr>
              <w:spacing w:after="0"/>
              <w:rPr>
                <w:sz w:val="17"/>
                <w:szCs w:val="17"/>
                <w:color w:val="auto"/>
              </w:rPr>
            </w:pPr>
          </w:p>
        </w:tc>
        <w:tc>
          <w:tcPr>
            <w:tcW w:w="4960" w:type="dxa"/>
            <w:vAlign w:val="bottom"/>
            <w:tcBorders>
              <w:bottom w:val="single" w:sz="8" w:color="EDF2F8"/>
              <w:right w:val="single" w:sz="8" w:color="auto"/>
            </w:tcBorders>
            <w:shd w:val="clear" w:color="auto" w:fill="EDF2F8"/>
          </w:tcPr>
          <w:p>
            <w:pPr>
              <w:ind w:left="300"/>
              <w:spacing w:after="0"/>
              <w:rPr>
                <w:sz w:val="20"/>
                <w:szCs w:val="20"/>
                <w:color w:val="auto"/>
              </w:rPr>
            </w:pPr>
            <w:r>
              <w:rPr>
                <w:rFonts w:ascii="Arial" w:cs="Arial" w:eastAsia="Arial" w:hAnsi="Arial"/>
                <w:sz w:val="13"/>
                <w:szCs w:val="13"/>
                <w:color w:val="auto"/>
              </w:rPr>
              <w:t>confidence, challenge, and strategic contribution from key talent.</w:t>
            </w:r>
          </w:p>
        </w:tc>
      </w:tr>
      <w:tr>
        <w:trPr>
          <w:trHeight w:val="20"/>
        </w:trPr>
        <w:tc>
          <w:tcPr>
            <w:tcW w:w="3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9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2934335</wp:posOffset>
            </wp:positionV>
            <wp:extent cx="297180" cy="290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0" w:name="page71"/>
    <w:bookmarkEnd w:id="70"/>
    <w:p>
      <w:pPr>
        <w:spacing w:after="0" w:line="94" w:lineRule="exact"/>
        <w:rPr>
          <w:sz w:val="20"/>
          <w:szCs w:val="20"/>
          <w:color w:val="auto"/>
        </w:rPr>
      </w:pPr>
    </w:p>
    <w:tbl>
      <w:tblPr>
        <w:tblLayout w:type="fixed"/>
        <w:tblInd w:w="210" w:type="dxa"/>
        <w:tblCellMar>
          <w:top w:w="0" w:type="dxa"/>
          <w:left w:w="0" w:type="dxa"/>
          <w:bottom w:w="0" w:type="dxa"/>
          <w:right w:w="0" w:type="dxa"/>
        </w:tblCellMar>
      </w:tblPr>
      <w:tr>
        <w:trPr>
          <w:trHeight w:val="219"/>
        </w:trPr>
        <w:tc>
          <w:tcPr>
            <w:tcW w:w="3740" w:type="dxa"/>
            <w:vAlign w:val="bottom"/>
            <w:tcBorders>
              <w:top w:val="single" w:sz="8" w:color="auto"/>
              <w:left w:val="single" w:sz="8" w:color="auto"/>
              <w:right w:val="single" w:sz="8" w:color="auto"/>
            </w:tcBorders>
            <w:shd w:val="clear" w:color="auto" w:fill="4F81BD"/>
          </w:tcPr>
          <w:p>
            <w:pPr>
              <w:ind w:left="100"/>
              <w:spacing w:after="0"/>
              <w:rPr>
                <w:sz w:val="20"/>
                <w:szCs w:val="20"/>
                <w:color w:val="auto"/>
              </w:rPr>
            </w:pPr>
            <w:r>
              <w:rPr>
                <w:rFonts w:ascii="Arial" w:cs="Arial" w:eastAsia="Arial" w:hAnsi="Arial"/>
                <w:sz w:val="15"/>
                <w:szCs w:val="15"/>
                <w:b w:val="1"/>
                <w:bCs w:val="1"/>
                <w:color w:val="FFFFFF"/>
              </w:rPr>
              <w:t>Mr. Corbin Barnes</w:t>
            </w:r>
          </w:p>
        </w:tc>
        <w:tc>
          <w:tcPr>
            <w:tcW w:w="4960" w:type="dxa"/>
            <w:vAlign w:val="bottom"/>
            <w:tcBorders>
              <w:top w:val="single" w:sz="8" w:color="auto"/>
              <w:right w:val="single" w:sz="8" w:color="auto"/>
            </w:tcBorders>
            <w:shd w:val="clear" w:color="auto" w:fill="4F81BD"/>
          </w:tcPr>
          <w:p>
            <w:pPr>
              <w:ind w:left="80"/>
              <w:spacing w:after="0"/>
              <w:rPr>
                <w:sz w:val="20"/>
                <w:szCs w:val="20"/>
                <w:color w:val="auto"/>
              </w:rPr>
            </w:pPr>
            <w:r>
              <w:rPr>
                <w:rFonts w:ascii="Arial" w:cs="Arial" w:eastAsia="Arial" w:hAnsi="Arial"/>
                <w:sz w:val="15"/>
                <w:szCs w:val="15"/>
                <w:b w:val="1"/>
                <w:bCs w:val="1"/>
                <w:color w:val="FFFFFF"/>
              </w:rPr>
              <w:t>Actual Performance vs Personal Goals and Objectives Awarded</w:t>
            </w:r>
          </w:p>
        </w:tc>
      </w:tr>
      <w:tr>
        <w:trPr>
          <w:trHeight w:val="242"/>
        </w:trPr>
        <w:tc>
          <w:tcPr>
            <w:tcW w:w="3740" w:type="dxa"/>
            <w:vAlign w:val="bottom"/>
            <w:tcBorders>
              <w:left w:val="single" w:sz="8" w:color="auto"/>
              <w:bottom w:val="single" w:sz="8" w:color="4F81BD"/>
              <w:right w:val="single" w:sz="8" w:color="auto"/>
            </w:tcBorders>
            <w:shd w:val="clear" w:color="auto" w:fill="4F81BD"/>
          </w:tcPr>
          <w:p>
            <w:pPr>
              <w:ind w:left="100"/>
              <w:spacing w:after="0"/>
              <w:rPr>
                <w:sz w:val="20"/>
                <w:szCs w:val="20"/>
                <w:color w:val="auto"/>
              </w:rPr>
            </w:pPr>
            <w:r>
              <w:rPr>
                <w:rFonts w:ascii="Arial" w:cs="Arial" w:eastAsia="Arial" w:hAnsi="Arial"/>
                <w:sz w:val="15"/>
                <w:szCs w:val="15"/>
                <w:b w:val="1"/>
                <w:bCs w:val="1"/>
                <w:color w:val="FFFFFF"/>
              </w:rPr>
              <w:t>Personal Performance Goals and Objectives</w:t>
            </w:r>
          </w:p>
        </w:tc>
        <w:tc>
          <w:tcPr>
            <w:tcW w:w="4960" w:type="dxa"/>
            <w:vAlign w:val="bottom"/>
            <w:tcBorders>
              <w:bottom w:val="single" w:sz="8" w:color="4F81BD"/>
              <w:right w:val="single" w:sz="8" w:color="auto"/>
            </w:tcBorders>
            <w:shd w:val="clear" w:color="auto" w:fill="4F81BD"/>
          </w:tcPr>
          <w:p>
            <w:pPr>
              <w:ind w:left="80"/>
              <w:spacing w:after="0"/>
              <w:rPr>
                <w:sz w:val="20"/>
                <w:szCs w:val="20"/>
                <w:color w:val="auto"/>
              </w:rPr>
            </w:pPr>
            <w:r>
              <w:rPr>
                <w:rFonts w:ascii="Arial" w:cs="Arial" w:eastAsia="Arial" w:hAnsi="Arial"/>
                <w:sz w:val="15"/>
                <w:szCs w:val="15"/>
                <w:b w:val="1"/>
                <w:bCs w:val="1"/>
                <w:color w:val="FFFFFF"/>
              </w:rPr>
              <w:t>score of 46 out of 50</w:t>
            </w:r>
          </w:p>
        </w:tc>
      </w:tr>
      <w:tr>
        <w:trPr>
          <w:trHeight w:val="211"/>
        </w:trPr>
        <w:tc>
          <w:tcPr>
            <w:tcW w:w="374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Develop and deliver a comprehensive plan to gain</w:t>
            </w:r>
          </w:p>
        </w:tc>
        <w:tc>
          <w:tcPr>
            <w:tcW w:w="4960" w:type="dxa"/>
            <w:vAlign w:val="bottom"/>
            <w:tcBorders>
              <w:top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Completed eight investor conferences and Non-Deal Roadshows (NDRs) —</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exposure to most of the accessible top 20 investors</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including three in-person events—and held meetings with the majority of</w:t>
            </w:r>
          </w:p>
        </w:tc>
      </w:tr>
      <w:tr>
        <w:trPr>
          <w:trHeight w:val="178"/>
        </w:trPr>
        <w:tc>
          <w:tcPr>
            <w:tcW w:w="3740" w:type="dxa"/>
            <w:vAlign w:val="bottom"/>
            <w:tcBorders>
              <w:left w:val="single" w:sz="8" w:color="auto"/>
              <w:right w:val="single" w:sz="8" w:color="auto"/>
            </w:tcBorders>
            <w:shd w:val="clear" w:color="auto" w:fill="DBE5F1"/>
          </w:tcPr>
          <w:p>
            <w:pPr>
              <w:spacing w:after="0"/>
              <w:rPr>
                <w:sz w:val="15"/>
                <w:szCs w:val="15"/>
                <w:color w:val="auto"/>
              </w:rPr>
            </w:pP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active shareholders.</w:t>
            </w:r>
          </w:p>
        </w:tc>
      </w:tr>
      <w:tr>
        <w:trPr>
          <w:trHeight w:val="234"/>
        </w:trPr>
        <w:tc>
          <w:tcPr>
            <w:tcW w:w="3740" w:type="dxa"/>
            <w:vAlign w:val="bottom"/>
            <w:tcBorders>
              <w:left w:val="single" w:sz="8" w:color="auto"/>
              <w:right w:val="single" w:sz="8" w:color="auto"/>
            </w:tcBorders>
            <w:shd w:val="clear" w:color="auto" w:fill="DBE5F1"/>
          </w:tcPr>
          <w:p>
            <w:pPr>
              <w:spacing w:after="0"/>
              <w:rPr>
                <w:sz w:val="20"/>
                <w:szCs w:val="20"/>
                <w:color w:val="auto"/>
              </w:rPr>
            </w:pPr>
          </w:p>
        </w:tc>
        <w:tc>
          <w:tcPr>
            <w:tcW w:w="4960" w:type="dxa"/>
            <w:vAlign w:val="bottom"/>
            <w:tcBorders>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Enhanced quarterly IR reporting with new analytics on peer-relative</w:t>
            </w:r>
          </w:p>
        </w:tc>
      </w:tr>
      <w:tr>
        <w:trPr>
          <w:trHeight w:val="230"/>
        </w:trPr>
        <w:tc>
          <w:tcPr>
            <w:tcW w:w="3740" w:type="dxa"/>
            <w:vAlign w:val="bottom"/>
            <w:tcBorders>
              <w:left w:val="single" w:sz="8" w:color="auto"/>
              <w:bottom w:val="single" w:sz="8" w:color="DBE5F1"/>
              <w:right w:val="single" w:sz="8" w:color="auto"/>
            </w:tcBorders>
            <w:shd w:val="clear" w:color="auto" w:fill="DBE5F1"/>
          </w:tcPr>
          <w:p>
            <w:pPr>
              <w:spacing w:after="0"/>
              <w:rPr>
                <w:sz w:val="19"/>
                <w:szCs w:val="19"/>
                <w:color w:val="auto"/>
              </w:rPr>
            </w:pPr>
          </w:p>
        </w:tc>
        <w:tc>
          <w:tcPr>
            <w:tcW w:w="4960" w:type="dxa"/>
            <w:vAlign w:val="bottom"/>
            <w:tcBorders>
              <w:bottom w:val="single" w:sz="8" w:color="DBE5F1"/>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shareholder movements, improving investor insight without incremental cost.</w:t>
            </w:r>
          </w:p>
        </w:tc>
      </w:tr>
      <w:tr>
        <w:trPr>
          <w:trHeight w:val="211"/>
        </w:trPr>
        <w:tc>
          <w:tcPr>
            <w:tcW w:w="374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Manage all M&amp;A prospects, enquiries and projects as they</w:t>
            </w:r>
          </w:p>
        </w:tc>
        <w:tc>
          <w:tcPr>
            <w:tcW w:w="4960" w:type="dxa"/>
            <w:vAlign w:val="bottom"/>
            <w:tcBorders>
              <w:top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Closed the Biotechnics acquisition and maintained strong visibility across the</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arise</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full deal pipeline, prioritizing opportunities that are strategically meaningful</w:t>
            </w:r>
          </w:p>
        </w:tc>
      </w:tr>
      <w:tr>
        <w:trPr>
          <w:trHeight w:val="178"/>
        </w:trPr>
        <w:tc>
          <w:tcPr>
            <w:tcW w:w="3740" w:type="dxa"/>
            <w:vAlign w:val="bottom"/>
            <w:tcBorders>
              <w:left w:val="single" w:sz="8" w:color="auto"/>
              <w:right w:val="single" w:sz="8" w:color="auto"/>
            </w:tcBorders>
            <w:shd w:val="clear" w:color="auto" w:fill="DBE5F1"/>
          </w:tcPr>
          <w:p>
            <w:pPr>
              <w:spacing w:after="0"/>
              <w:rPr>
                <w:sz w:val="15"/>
                <w:szCs w:val="15"/>
                <w:color w:val="auto"/>
              </w:rPr>
            </w:pP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and appropriately sized.</w:t>
            </w:r>
          </w:p>
        </w:tc>
      </w:tr>
      <w:tr>
        <w:trPr>
          <w:trHeight w:val="234"/>
        </w:trPr>
        <w:tc>
          <w:tcPr>
            <w:tcW w:w="3740" w:type="dxa"/>
            <w:vAlign w:val="bottom"/>
            <w:tcBorders>
              <w:left w:val="single" w:sz="8" w:color="auto"/>
              <w:right w:val="single" w:sz="8" w:color="auto"/>
            </w:tcBorders>
            <w:shd w:val="clear" w:color="auto" w:fill="DBE5F1"/>
          </w:tcPr>
          <w:p>
            <w:pPr>
              <w:spacing w:after="0"/>
              <w:rPr>
                <w:sz w:val="20"/>
                <w:szCs w:val="20"/>
                <w:color w:val="auto"/>
              </w:rPr>
            </w:pPr>
          </w:p>
        </w:tc>
        <w:tc>
          <w:tcPr>
            <w:tcW w:w="4960" w:type="dxa"/>
            <w:vAlign w:val="bottom"/>
            <w:tcBorders>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Strengthened deal discipline by reassessing several targets, while improving</w:t>
            </w:r>
          </w:p>
        </w:tc>
      </w:tr>
      <w:tr>
        <w:trPr>
          <w:trHeight w:val="178"/>
        </w:trPr>
        <w:tc>
          <w:tcPr>
            <w:tcW w:w="3740" w:type="dxa"/>
            <w:vAlign w:val="bottom"/>
            <w:tcBorders>
              <w:left w:val="single" w:sz="8" w:color="auto"/>
              <w:right w:val="single" w:sz="8" w:color="auto"/>
            </w:tcBorders>
            <w:shd w:val="clear" w:color="auto" w:fill="DBE5F1"/>
          </w:tcPr>
          <w:p>
            <w:pPr>
              <w:spacing w:after="0"/>
              <w:rPr>
                <w:sz w:val="15"/>
                <w:szCs w:val="15"/>
                <w:color w:val="auto"/>
              </w:rPr>
            </w:pP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due-diligence processes based on lessons learned from the QGP</w:t>
            </w:r>
          </w:p>
        </w:tc>
      </w:tr>
      <w:tr>
        <w:trPr>
          <w:trHeight w:val="230"/>
        </w:trPr>
        <w:tc>
          <w:tcPr>
            <w:tcW w:w="3740" w:type="dxa"/>
            <w:vAlign w:val="bottom"/>
            <w:tcBorders>
              <w:left w:val="single" w:sz="8" w:color="auto"/>
              <w:bottom w:val="single" w:sz="8" w:color="DBE5F1"/>
              <w:right w:val="single" w:sz="8" w:color="auto"/>
            </w:tcBorders>
            <w:shd w:val="clear" w:color="auto" w:fill="DBE5F1"/>
          </w:tcPr>
          <w:p>
            <w:pPr>
              <w:spacing w:after="0"/>
              <w:rPr>
                <w:sz w:val="19"/>
                <w:szCs w:val="19"/>
                <w:color w:val="auto"/>
              </w:rPr>
            </w:pPr>
          </w:p>
        </w:tc>
        <w:tc>
          <w:tcPr>
            <w:tcW w:w="4960" w:type="dxa"/>
            <w:vAlign w:val="bottom"/>
            <w:tcBorders>
              <w:bottom w:val="single" w:sz="8" w:color="DBE5F1"/>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acquisition.</w:t>
            </w:r>
          </w:p>
        </w:tc>
      </w:tr>
      <w:tr>
        <w:trPr>
          <w:trHeight w:val="211"/>
        </w:trPr>
        <w:tc>
          <w:tcPr>
            <w:tcW w:w="374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Support the CEO and CFO in all required aspects of</w:t>
            </w:r>
          </w:p>
        </w:tc>
        <w:tc>
          <w:tcPr>
            <w:tcW w:w="4960" w:type="dxa"/>
            <w:vAlign w:val="bottom"/>
            <w:tcBorders>
              <w:top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Worked closely with the CEO/CFO to diagnose root causes of</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corporate development, information gathering, and other</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underperformance in relevant business segments, quantify corrective</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projects and activities as determined by the CEO</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actions, and challenge business narratives to drive accountability.</w:t>
            </w:r>
          </w:p>
        </w:tc>
      </w:tr>
      <w:tr>
        <w:trPr>
          <w:trHeight w:val="234"/>
        </w:trPr>
        <w:tc>
          <w:tcPr>
            <w:tcW w:w="3740" w:type="dxa"/>
            <w:vAlign w:val="bottom"/>
            <w:tcBorders>
              <w:left w:val="single" w:sz="8" w:color="auto"/>
              <w:right w:val="single" w:sz="8" w:color="auto"/>
            </w:tcBorders>
            <w:shd w:val="clear" w:color="auto" w:fill="DBE5F1"/>
          </w:tcPr>
          <w:p>
            <w:pPr>
              <w:spacing w:after="0"/>
              <w:rPr>
                <w:sz w:val="20"/>
                <w:szCs w:val="20"/>
                <w:color w:val="auto"/>
              </w:rPr>
            </w:pPr>
          </w:p>
        </w:tc>
        <w:tc>
          <w:tcPr>
            <w:tcW w:w="4960" w:type="dxa"/>
            <w:vAlign w:val="bottom"/>
            <w:tcBorders>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Provided strategic support across Capital Equipment Request (CER)</w:t>
            </w:r>
          </w:p>
        </w:tc>
      </w:tr>
      <w:tr>
        <w:trPr>
          <w:trHeight w:val="178"/>
        </w:trPr>
        <w:tc>
          <w:tcPr>
            <w:tcW w:w="3740" w:type="dxa"/>
            <w:vAlign w:val="bottom"/>
            <w:tcBorders>
              <w:left w:val="single" w:sz="8" w:color="auto"/>
              <w:right w:val="single" w:sz="8" w:color="auto"/>
            </w:tcBorders>
            <w:shd w:val="clear" w:color="auto" w:fill="DBE5F1"/>
          </w:tcPr>
          <w:p>
            <w:pPr>
              <w:spacing w:after="0"/>
              <w:rPr>
                <w:sz w:val="15"/>
                <w:szCs w:val="15"/>
                <w:color w:val="auto"/>
              </w:rPr>
            </w:pP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budgeting, SHE transition, and Oilfield Services ERP planning, ensuring</w:t>
            </w:r>
          </w:p>
        </w:tc>
      </w:tr>
      <w:tr>
        <w:trPr>
          <w:trHeight w:val="178"/>
        </w:trPr>
        <w:tc>
          <w:tcPr>
            <w:tcW w:w="3740" w:type="dxa"/>
            <w:vAlign w:val="bottom"/>
            <w:tcBorders>
              <w:left w:val="single" w:sz="8" w:color="auto"/>
              <w:right w:val="single" w:sz="8" w:color="auto"/>
            </w:tcBorders>
            <w:shd w:val="clear" w:color="auto" w:fill="DBE5F1"/>
          </w:tcPr>
          <w:p>
            <w:pPr>
              <w:spacing w:after="0"/>
              <w:rPr>
                <w:sz w:val="15"/>
                <w:szCs w:val="15"/>
                <w:color w:val="auto"/>
              </w:rPr>
            </w:pP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decisions aligned with turnaround priorities and avoided unnecessary cost or</w:t>
            </w:r>
          </w:p>
        </w:tc>
      </w:tr>
      <w:tr>
        <w:trPr>
          <w:trHeight w:val="230"/>
        </w:trPr>
        <w:tc>
          <w:tcPr>
            <w:tcW w:w="3740" w:type="dxa"/>
            <w:vAlign w:val="bottom"/>
            <w:tcBorders>
              <w:left w:val="single" w:sz="8" w:color="auto"/>
              <w:bottom w:val="single" w:sz="8" w:color="DBE5F1"/>
              <w:right w:val="single" w:sz="8" w:color="auto"/>
            </w:tcBorders>
            <w:shd w:val="clear" w:color="auto" w:fill="DBE5F1"/>
          </w:tcPr>
          <w:p>
            <w:pPr>
              <w:spacing w:after="0"/>
              <w:rPr>
                <w:sz w:val="19"/>
                <w:szCs w:val="19"/>
                <w:color w:val="auto"/>
              </w:rPr>
            </w:pPr>
          </w:p>
        </w:tc>
        <w:tc>
          <w:tcPr>
            <w:tcW w:w="4960" w:type="dxa"/>
            <w:vAlign w:val="bottom"/>
            <w:tcBorders>
              <w:bottom w:val="single" w:sz="8" w:color="DBE5F1"/>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distraction.</w:t>
            </w:r>
          </w:p>
        </w:tc>
      </w:tr>
      <w:tr>
        <w:trPr>
          <w:trHeight w:val="114"/>
        </w:trPr>
        <w:tc>
          <w:tcPr>
            <w:tcW w:w="3740" w:type="dxa"/>
            <w:vAlign w:val="bottom"/>
            <w:tcBorders>
              <w:top w:val="single" w:sz="8" w:color="auto"/>
              <w:bottom w:val="single" w:sz="8" w:color="auto"/>
            </w:tcBorders>
          </w:tcPr>
          <w:p>
            <w:pPr>
              <w:spacing w:after="0"/>
              <w:rPr>
                <w:sz w:val="9"/>
                <w:szCs w:val="9"/>
                <w:color w:val="auto"/>
              </w:rPr>
            </w:pPr>
          </w:p>
        </w:tc>
        <w:tc>
          <w:tcPr>
            <w:tcW w:w="4960" w:type="dxa"/>
            <w:vAlign w:val="bottom"/>
            <w:tcBorders>
              <w:top w:val="single" w:sz="8" w:color="auto"/>
              <w:bottom w:val="single" w:sz="8" w:color="auto"/>
            </w:tcBorders>
          </w:tcPr>
          <w:p>
            <w:pPr>
              <w:spacing w:after="0"/>
              <w:rPr>
                <w:sz w:val="9"/>
                <w:szCs w:val="9"/>
                <w:color w:val="auto"/>
              </w:rPr>
            </w:pPr>
          </w:p>
        </w:tc>
      </w:tr>
      <w:tr>
        <w:trPr>
          <w:trHeight w:val="213"/>
        </w:trPr>
        <w:tc>
          <w:tcPr>
            <w:tcW w:w="3740" w:type="dxa"/>
            <w:vAlign w:val="bottom"/>
            <w:tcBorders>
              <w:left w:val="single" w:sz="8" w:color="auto"/>
              <w:right w:val="single" w:sz="8" w:color="auto"/>
            </w:tcBorders>
            <w:shd w:val="clear" w:color="auto" w:fill="4F81BD"/>
          </w:tcPr>
          <w:p>
            <w:pPr>
              <w:ind w:left="100"/>
              <w:spacing w:after="0"/>
              <w:rPr>
                <w:sz w:val="20"/>
                <w:szCs w:val="20"/>
                <w:color w:val="auto"/>
              </w:rPr>
            </w:pPr>
            <w:r>
              <w:rPr>
                <w:rFonts w:ascii="Arial" w:cs="Arial" w:eastAsia="Arial" w:hAnsi="Arial"/>
                <w:sz w:val="13"/>
                <w:szCs w:val="13"/>
                <w:b w:val="1"/>
                <w:bCs w:val="1"/>
                <w:color w:val="FFFFFF"/>
              </w:rPr>
              <w:t>Mr. David B. Jones</w:t>
            </w:r>
          </w:p>
        </w:tc>
        <w:tc>
          <w:tcPr>
            <w:tcW w:w="4960" w:type="dxa"/>
            <w:vAlign w:val="bottom"/>
            <w:tcBorders>
              <w:right w:val="single" w:sz="8" w:color="auto"/>
            </w:tcBorders>
            <w:shd w:val="clear" w:color="auto" w:fill="4F81BD"/>
          </w:tcPr>
          <w:p>
            <w:pPr>
              <w:ind w:left="80"/>
              <w:spacing w:after="0"/>
              <w:rPr>
                <w:sz w:val="20"/>
                <w:szCs w:val="20"/>
                <w:color w:val="auto"/>
              </w:rPr>
            </w:pPr>
            <w:r>
              <w:rPr>
                <w:rFonts w:ascii="Arial" w:cs="Arial" w:eastAsia="Arial" w:hAnsi="Arial"/>
                <w:sz w:val="13"/>
                <w:szCs w:val="13"/>
                <w:b w:val="1"/>
                <w:bCs w:val="1"/>
                <w:color w:val="FFFFFF"/>
              </w:rPr>
              <w:t>Actual Performance vs Personal Goals and Objectives</w:t>
            </w:r>
          </w:p>
        </w:tc>
      </w:tr>
      <w:tr>
        <w:trPr>
          <w:trHeight w:val="229"/>
        </w:trPr>
        <w:tc>
          <w:tcPr>
            <w:tcW w:w="3740" w:type="dxa"/>
            <w:vAlign w:val="bottom"/>
            <w:tcBorders>
              <w:left w:val="single" w:sz="8" w:color="auto"/>
              <w:bottom w:val="single" w:sz="8" w:color="4F81BD"/>
              <w:right w:val="single" w:sz="8" w:color="auto"/>
            </w:tcBorders>
            <w:shd w:val="clear" w:color="auto" w:fill="4F81BD"/>
          </w:tcPr>
          <w:p>
            <w:pPr>
              <w:ind w:left="100"/>
              <w:spacing w:after="0"/>
              <w:rPr>
                <w:sz w:val="20"/>
                <w:szCs w:val="20"/>
                <w:color w:val="auto"/>
              </w:rPr>
            </w:pPr>
            <w:r>
              <w:rPr>
                <w:rFonts w:ascii="Arial" w:cs="Arial" w:eastAsia="Arial" w:hAnsi="Arial"/>
                <w:sz w:val="13"/>
                <w:szCs w:val="13"/>
                <w:b w:val="1"/>
                <w:bCs w:val="1"/>
                <w:color w:val="FFFFFF"/>
              </w:rPr>
              <w:t>Personal Performance Goals and Objectives</w:t>
            </w:r>
          </w:p>
        </w:tc>
        <w:tc>
          <w:tcPr>
            <w:tcW w:w="4960" w:type="dxa"/>
            <w:vAlign w:val="bottom"/>
            <w:tcBorders>
              <w:bottom w:val="single" w:sz="8" w:color="4F81BD"/>
              <w:right w:val="single" w:sz="8" w:color="auto"/>
            </w:tcBorders>
            <w:shd w:val="clear" w:color="auto" w:fill="4F81BD"/>
          </w:tcPr>
          <w:p>
            <w:pPr>
              <w:ind w:left="80"/>
              <w:spacing w:after="0"/>
              <w:rPr>
                <w:sz w:val="20"/>
                <w:szCs w:val="20"/>
                <w:color w:val="auto"/>
              </w:rPr>
            </w:pPr>
            <w:r>
              <w:rPr>
                <w:rFonts w:ascii="Arial" w:cs="Arial" w:eastAsia="Arial" w:hAnsi="Arial"/>
                <w:sz w:val="13"/>
                <w:szCs w:val="13"/>
                <w:b w:val="1"/>
                <w:bCs w:val="1"/>
                <w:color w:val="FFFFFF"/>
              </w:rPr>
              <w:t>Awarded score of 46 out of 50</w:t>
            </w:r>
          </w:p>
        </w:tc>
      </w:tr>
      <w:tr>
        <w:trPr>
          <w:trHeight w:val="211"/>
        </w:trPr>
        <w:tc>
          <w:tcPr>
            <w:tcW w:w="374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Continue to identify opportunities to improve the</w:t>
            </w:r>
          </w:p>
        </w:tc>
        <w:tc>
          <w:tcPr>
            <w:tcW w:w="4960" w:type="dxa"/>
            <w:vAlign w:val="bottom"/>
            <w:tcBorders>
              <w:top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Streamlined the Compliance Program by reducing policy-review and</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Compliance Program by using resources efficiently and</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diligence-renewal frequency, simplifying procedures, and reallocating</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effectively to revise processes, policies, and procedures to</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resources toward higher-risk areas such as the marine business, while</w:t>
            </w:r>
          </w:p>
        </w:tc>
      </w:tr>
      <w:tr>
        <w:trPr>
          <w:trHeight w:val="230"/>
        </w:trPr>
        <w:tc>
          <w:tcPr>
            <w:tcW w:w="3740" w:type="dxa"/>
            <w:vAlign w:val="bottom"/>
            <w:tcBorders>
              <w:left w:val="single" w:sz="8" w:color="auto"/>
              <w:bottom w:val="single" w:sz="8" w:color="DBE5F1"/>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mitigate risks</w:t>
            </w:r>
          </w:p>
        </w:tc>
        <w:tc>
          <w:tcPr>
            <w:tcW w:w="4960" w:type="dxa"/>
            <w:vAlign w:val="bottom"/>
            <w:tcBorders>
              <w:bottom w:val="single" w:sz="8" w:color="DBE5F1"/>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increasing targeted and in-person training across the organization.</w:t>
            </w:r>
          </w:p>
        </w:tc>
      </w:tr>
      <w:tr>
        <w:trPr>
          <w:trHeight w:val="211"/>
        </w:trPr>
        <w:tc>
          <w:tcPr>
            <w:tcW w:w="3740" w:type="dxa"/>
            <w:vAlign w:val="bottom"/>
            <w:tcBorders>
              <w:top w:val="single" w:sz="8" w:color="auto"/>
              <w:left w:val="single" w:sz="8" w:color="auto"/>
              <w:right w:val="single" w:sz="8" w:color="auto"/>
            </w:tcBorders>
            <w:shd w:val="clear" w:color="auto" w:fill="DAE4F0"/>
          </w:tcPr>
          <w:p>
            <w:pPr>
              <w:ind w:left="100"/>
              <w:spacing w:after="0"/>
              <w:rPr>
                <w:sz w:val="20"/>
                <w:szCs w:val="20"/>
                <w:color w:val="auto"/>
              </w:rPr>
            </w:pPr>
            <w:r>
              <w:rPr>
                <w:rFonts w:ascii="Arial" w:cs="Arial" w:eastAsia="Arial" w:hAnsi="Arial"/>
                <w:sz w:val="13"/>
                <w:szCs w:val="13"/>
                <w:color w:val="auto"/>
              </w:rPr>
              <w:t>Manage cost of advisors and leverage experience of</w:t>
            </w:r>
          </w:p>
        </w:tc>
        <w:tc>
          <w:tcPr>
            <w:tcW w:w="4960" w:type="dxa"/>
            <w:vAlign w:val="bottom"/>
            <w:tcBorders>
              <w:top w:val="single" w:sz="8" w:color="auto"/>
              <w:right w:val="single" w:sz="8" w:color="auto"/>
            </w:tcBorders>
            <w:shd w:val="clear" w:color="auto" w:fill="DAE4F0"/>
          </w:tcPr>
          <w:p>
            <w:pPr>
              <w:ind w:left="80"/>
              <w:spacing w:after="0"/>
              <w:rPr>
                <w:sz w:val="20"/>
                <w:szCs w:val="20"/>
                <w:color w:val="auto"/>
              </w:rPr>
            </w:pPr>
            <w:r>
              <w:rPr>
                <w:rFonts w:ascii="Arial" w:cs="Arial" w:eastAsia="Arial" w:hAnsi="Arial"/>
                <w:sz w:val="13"/>
                <w:szCs w:val="13"/>
                <w:color w:val="auto"/>
              </w:rPr>
              <w:t>•   Strengthened collaboration between Legal/Compliance and business teams</w:t>
            </w:r>
          </w:p>
        </w:tc>
      </w:tr>
      <w:tr>
        <w:trPr>
          <w:trHeight w:val="178"/>
        </w:trPr>
        <w:tc>
          <w:tcPr>
            <w:tcW w:w="3740" w:type="dxa"/>
            <w:vAlign w:val="bottom"/>
            <w:tcBorders>
              <w:left w:val="single" w:sz="8" w:color="auto"/>
              <w:right w:val="single" w:sz="8" w:color="auto"/>
            </w:tcBorders>
            <w:shd w:val="clear" w:color="auto" w:fill="DAE4F0"/>
          </w:tcPr>
          <w:p>
            <w:pPr>
              <w:ind w:left="100"/>
              <w:spacing w:after="0"/>
              <w:rPr>
                <w:sz w:val="20"/>
                <w:szCs w:val="20"/>
                <w:color w:val="auto"/>
              </w:rPr>
            </w:pPr>
            <w:r>
              <w:rPr>
                <w:rFonts w:ascii="Arial" w:cs="Arial" w:eastAsia="Arial" w:hAnsi="Arial"/>
                <w:sz w:val="13"/>
                <w:szCs w:val="13"/>
                <w:color w:val="auto"/>
              </w:rPr>
              <w:t>internal resources productively in compliance and</w:t>
            </w:r>
          </w:p>
        </w:tc>
        <w:tc>
          <w:tcPr>
            <w:tcW w:w="4960" w:type="dxa"/>
            <w:vAlign w:val="bottom"/>
            <w:tcBorders>
              <w:right w:val="single" w:sz="8" w:color="auto"/>
            </w:tcBorders>
            <w:shd w:val="clear" w:color="auto" w:fill="DAE4F0"/>
          </w:tcPr>
          <w:p>
            <w:pPr>
              <w:ind w:left="300"/>
              <w:spacing w:after="0"/>
              <w:rPr>
                <w:sz w:val="20"/>
                <w:szCs w:val="20"/>
                <w:color w:val="auto"/>
              </w:rPr>
            </w:pPr>
            <w:r>
              <w:rPr>
                <w:rFonts w:ascii="Arial" w:cs="Arial" w:eastAsia="Arial" w:hAnsi="Arial"/>
                <w:sz w:val="13"/>
                <w:szCs w:val="13"/>
                <w:color w:val="auto"/>
              </w:rPr>
              <w:t>to shift more work in-house, reducing reliance on external advisors and</w:t>
            </w:r>
          </w:p>
        </w:tc>
      </w:tr>
      <w:tr>
        <w:trPr>
          <w:trHeight w:val="230"/>
        </w:trPr>
        <w:tc>
          <w:tcPr>
            <w:tcW w:w="3740" w:type="dxa"/>
            <w:vAlign w:val="bottom"/>
            <w:tcBorders>
              <w:left w:val="single" w:sz="8" w:color="auto"/>
              <w:bottom w:val="single" w:sz="8" w:color="DAE4F0"/>
              <w:right w:val="single" w:sz="8" w:color="auto"/>
            </w:tcBorders>
            <w:shd w:val="clear" w:color="auto" w:fill="DAE4F0"/>
          </w:tcPr>
          <w:p>
            <w:pPr>
              <w:ind w:left="100"/>
              <w:spacing w:after="0"/>
              <w:rPr>
                <w:sz w:val="20"/>
                <w:szCs w:val="20"/>
                <w:color w:val="auto"/>
              </w:rPr>
            </w:pPr>
            <w:r>
              <w:rPr>
                <w:rFonts w:ascii="Arial" w:cs="Arial" w:eastAsia="Arial" w:hAnsi="Arial"/>
                <w:sz w:val="13"/>
                <w:szCs w:val="13"/>
                <w:color w:val="auto"/>
              </w:rPr>
              <w:t>commercial projects</w:t>
            </w:r>
          </w:p>
        </w:tc>
        <w:tc>
          <w:tcPr>
            <w:tcW w:w="4960" w:type="dxa"/>
            <w:vAlign w:val="bottom"/>
            <w:tcBorders>
              <w:bottom w:val="single" w:sz="8" w:color="DAE4F0"/>
              <w:right w:val="single" w:sz="8" w:color="auto"/>
            </w:tcBorders>
            <w:shd w:val="clear" w:color="auto" w:fill="DAE4F0"/>
          </w:tcPr>
          <w:p>
            <w:pPr>
              <w:ind w:left="300"/>
              <w:spacing w:after="0"/>
              <w:rPr>
                <w:sz w:val="20"/>
                <w:szCs w:val="20"/>
                <w:color w:val="auto"/>
              </w:rPr>
            </w:pPr>
            <w:r>
              <w:rPr>
                <w:rFonts w:ascii="Arial" w:cs="Arial" w:eastAsia="Arial" w:hAnsi="Arial"/>
                <w:sz w:val="13"/>
                <w:szCs w:val="13"/>
                <w:color w:val="auto"/>
              </w:rPr>
              <w:t>improving efficiency in both commercial and compliance matters.</w:t>
            </w:r>
          </w:p>
        </w:tc>
      </w:tr>
      <w:tr>
        <w:trPr>
          <w:trHeight w:val="211"/>
        </w:trPr>
        <w:tc>
          <w:tcPr>
            <w:tcW w:w="3740" w:type="dxa"/>
            <w:vAlign w:val="bottom"/>
            <w:tcBorders>
              <w:top w:val="single" w:sz="8" w:color="auto"/>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Control cost of insurance renewals, while maintaining</w:t>
            </w:r>
          </w:p>
        </w:tc>
        <w:tc>
          <w:tcPr>
            <w:tcW w:w="4960" w:type="dxa"/>
            <w:vAlign w:val="bottom"/>
            <w:tcBorders>
              <w:top w:val="single" w:sz="8" w:color="auto"/>
              <w:right w:val="single" w:sz="8" w:color="auto"/>
            </w:tcBorders>
            <w:shd w:val="clear" w:color="auto" w:fill="DBE5F1"/>
          </w:tcPr>
          <w:p>
            <w:pPr>
              <w:ind w:left="80"/>
              <w:spacing w:after="0"/>
              <w:rPr>
                <w:sz w:val="20"/>
                <w:szCs w:val="20"/>
                <w:color w:val="auto"/>
              </w:rPr>
            </w:pPr>
            <w:r>
              <w:rPr>
                <w:rFonts w:ascii="Arial" w:cs="Arial" w:eastAsia="Arial" w:hAnsi="Arial"/>
                <w:sz w:val="13"/>
                <w:szCs w:val="13"/>
                <w:color w:val="auto"/>
              </w:rPr>
              <w:t>•   Successfully completed Property, Casualty, Cyber, and Directors and</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adequate coverage; consider trends and industry standards</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Officers (D&amp;O) renewals that maintained appropriate coverage levels while</w:t>
            </w:r>
          </w:p>
        </w:tc>
      </w:tr>
      <w:tr>
        <w:trPr>
          <w:trHeight w:val="178"/>
        </w:trPr>
        <w:tc>
          <w:tcPr>
            <w:tcW w:w="3740" w:type="dxa"/>
            <w:vAlign w:val="bottom"/>
            <w:tcBorders>
              <w:left w:val="single" w:sz="8" w:color="auto"/>
              <w:right w:val="single" w:sz="8" w:color="auto"/>
            </w:tcBorders>
            <w:shd w:val="clear" w:color="auto" w:fill="DBE5F1"/>
          </w:tcPr>
          <w:p>
            <w:pPr>
              <w:ind w:left="100"/>
              <w:spacing w:after="0"/>
              <w:rPr>
                <w:sz w:val="20"/>
                <w:szCs w:val="20"/>
                <w:color w:val="auto"/>
              </w:rPr>
            </w:pPr>
            <w:r>
              <w:rPr>
                <w:rFonts w:ascii="Arial" w:cs="Arial" w:eastAsia="Arial" w:hAnsi="Arial"/>
                <w:sz w:val="13"/>
                <w:szCs w:val="13"/>
                <w:color w:val="auto"/>
              </w:rPr>
              <w:t>when setting coverage and rates</w:t>
            </w:r>
          </w:p>
        </w:tc>
        <w:tc>
          <w:tcPr>
            <w:tcW w:w="4960" w:type="dxa"/>
            <w:vAlign w:val="bottom"/>
            <w:tcBorders>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controlling premium costs and aligning decisions with market trends and</w:t>
            </w:r>
          </w:p>
        </w:tc>
      </w:tr>
      <w:tr>
        <w:trPr>
          <w:trHeight w:val="205"/>
        </w:trPr>
        <w:tc>
          <w:tcPr>
            <w:tcW w:w="3740" w:type="dxa"/>
            <w:vAlign w:val="bottom"/>
            <w:tcBorders>
              <w:left w:val="single" w:sz="8" w:color="auto"/>
              <w:bottom w:val="single" w:sz="8" w:color="DBE5F1"/>
              <w:right w:val="single" w:sz="8" w:color="auto"/>
            </w:tcBorders>
            <w:shd w:val="clear" w:color="auto" w:fill="DBE5F1"/>
          </w:tcPr>
          <w:p>
            <w:pPr>
              <w:spacing w:after="0"/>
              <w:rPr>
                <w:sz w:val="17"/>
                <w:szCs w:val="17"/>
                <w:color w:val="auto"/>
              </w:rPr>
            </w:pPr>
          </w:p>
        </w:tc>
        <w:tc>
          <w:tcPr>
            <w:tcW w:w="4960" w:type="dxa"/>
            <w:vAlign w:val="bottom"/>
            <w:tcBorders>
              <w:bottom w:val="single" w:sz="8" w:color="DBE5F1"/>
              <w:right w:val="single" w:sz="8" w:color="auto"/>
            </w:tcBorders>
            <w:shd w:val="clear" w:color="auto" w:fill="DBE5F1"/>
          </w:tcPr>
          <w:p>
            <w:pPr>
              <w:ind w:left="300"/>
              <w:spacing w:after="0"/>
              <w:rPr>
                <w:sz w:val="20"/>
                <w:szCs w:val="20"/>
                <w:color w:val="auto"/>
              </w:rPr>
            </w:pPr>
            <w:r>
              <w:rPr>
                <w:rFonts w:ascii="Arial" w:cs="Arial" w:eastAsia="Arial" w:hAnsi="Arial"/>
                <w:sz w:val="13"/>
                <w:szCs w:val="13"/>
                <w:color w:val="auto"/>
              </w:rPr>
              <w:t>industry benchmarks</w:t>
            </w:r>
          </w:p>
        </w:tc>
      </w:tr>
      <w:tr>
        <w:trPr>
          <w:trHeight w:val="20"/>
        </w:trPr>
        <w:tc>
          <w:tcPr>
            <w:tcW w:w="3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9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2941955</wp:posOffset>
            </wp:positionV>
            <wp:extent cx="297180" cy="290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1" w:name="page72"/>
    <w:bookmarkEnd w:id="71"/>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11"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The Compensation Committee believes that equity-based long-term incentive awards are an important element of overall compensation for the Company’s NEOs. They are designed to provide a focus on achievement of performance goals that help create long-term value for stockholders, act as retention incentives for executives and, through the ownership of Common Stock of the Company, encourage strategic decision-making that is aligned with the interests of stockholders.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auto"/>
        </w:rPr>
        <w:t>Omnibus Plan</w:t>
      </w:r>
    </w:p>
    <w:p>
      <w:pPr>
        <w:spacing w:after="0" w:line="128"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The Omnibus Plan provides for the grant of non-qualified and incentive stock options, full-value awards and cash incentive awards. Full value awards consisting of stock-settled time-based Restricted Stock Unit awards (“RSUs”) and cash and stock-settled performance-based Restricted Stock Unit awards (“PSUs”) were granted under the Omnibus Plan to the NEOs in 2025.</w:t>
      </w:r>
    </w:p>
    <w:p>
      <w:pPr>
        <w:spacing w:after="0" w:line="88"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RSUs granted under the Omnibus Plan in 2025 become vested on the third anniversary of the date of grant, subject to the participant’s continued employment except as described below. Upon vesting, shares subject to these awards are transferred to the participant’s nominated brokerage account. In the event the participant’s termination date occurs for any reason other than death, disability, retirement, or an involuntary termination without cause, any unvested awards shall be forfeited, and in the event the participant’s termination date occurs by reason of death, disability, retirement or an involuntary termination without cause, unvested awards shall be forfeited unless the Compensation Committee determines otherwise in its sole discretion.</w:t>
      </w:r>
    </w:p>
    <w:p>
      <w:pPr>
        <w:spacing w:after="0" w:line="85" w:lineRule="exact"/>
        <w:rPr>
          <w:sz w:val="20"/>
          <w:szCs w:val="20"/>
          <w:color w:val="auto"/>
        </w:rPr>
      </w:pPr>
    </w:p>
    <w:p>
      <w:pPr>
        <w:jc w:val="both"/>
        <w:ind w:left="200" w:right="139"/>
        <w:spacing w:after="0" w:line="254" w:lineRule="auto"/>
        <w:rPr>
          <w:sz w:val="20"/>
          <w:szCs w:val="20"/>
          <w:color w:val="auto"/>
        </w:rPr>
      </w:pPr>
      <w:r>
        <w:rPr>
          <w:rFonts w:ascii="Arial" w:cs="Arial" w:eastAsia="Arial" w:hAnsi="Arial"/>
          <w:sz w:val="15"/>
          <w:szCs w:val="15"/>
          <w:color w:val="auto"/>
        </w:rPr>
        <w:t>PSUs granted under the Omnibus Plan in 2025 require the achievement of specified performance criteria over a three-year performance period to vest as described below. Additionally, PSUs granted in 2025 are subject to the same three-year service vesting requirements described above for RSUs under the Omnibus Plan rules, except in certain circumstances, if a participant ceases to be employed with the Company, all unvested awards are forfeited. If the participant ceases employment by reason of death, disability, retirement, or involuntary termination without cause, all unvested awards are forfeited unless the Compensation Committee determines otherwise in its sole discretion.</w:t>
      </w:r>
    </w:p>
    <w:p>
      <w:pPr>
        <w:spacing w:after="0" w:line="96"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PSUs granted in 2025 consist of both stock-settled PSUs and cash-settled PSUs. For stock-settled PSUs, upon vesting, the number of shares equal to the number of earned stock-settled PSUs are transferred to the participant’s nominated brokerage account. For cash-settled PSUs, upon vesting, the participant shall be entitled to a cash payment equal to the number of earned cash-settled PSUs multiplied by the closing stock price of the Company on the settlement date.</w:t>
      </w:r>
    </w:p>
    <w:p>
      <w:pPr>
        <w:spacing w:after="0" w:line="94" w:lineRule="exact"/>
        <w:rPr>
          <w:sz w:val="20"/>
          <w:szCs w:val="20"/>
          <w:color w:val="auto"/>
        </w:rPr>
      </w:pPr>
    </w:p>
    <w:p>
      <w:pPr>
        <w:jc w:val="both"/>
        <w:ind w:left="200" w:right="119"/>
        <w:spacing w:after="0" w:line="258" w:lineRule="auto"/>
        <w:rPr>
          <w:sz w:val="20"/>
          <w:szCs w:val="20"/>
          <w:color w:val="auto"/>
        </w:rPr>
      </w:pPr>
      <w:r>
        <w:rPr>
          <w:rFonts w:ascii="Arial" w:cs="Arial" w:eastAsia="Arial" w:hAnsi="Arial"/>
          <w:sz w:val="15"/>
          <w:szCs w:val="15"/>
          <w:color w:val="auto"/>
        </w:rPr>
        <w:t>The criteria for PSUs made in 2025 under the Omnibus Plan, where vesting is conditional on achievement of specific performance measures, are based on relative performance of TSR versus the Comparator Group, measured over a three-year period starting with the financial year of the date of grant, the growth in sales revenue for the Company and the growth in earnings per share. Total vesting for the 2025 awards is based on the following formula:</w:t>
      </w:r>
    </w:p>
    <w:p>
      <w:pPr>
        <w:spacing w:after="0" w:line="77" w:lineRule="exact"/>
        <w:rPr>
          <w:sz w:val="20"/>
          <w:szCs w:val="20"/>
          <w:color w:val="auto"/>
        </w:rPr>
      </w:pPr>
    </w:p>
    <w:tbl>
      <w:tblPr>
        <w:tblLayout w:type="fixed"/>
        <w:tblInd w:w="210" w:type="dxa"/>
        <w:tblCellMar>
          <w:top w:w="0" w:type="dxa"/>
          <w:left w:w="0" w:type="dxa"/>
          <w:bottom w:w="0" w:type="dxa"/>
          <w:right w:w="0" w:type="dxa"/>
        </w:tblCellMar>
      </w:tblPr>
      <w:tr>
        <w:trPr>
          <w:trHeight w:val="155"/>
        </w:trPr>
        <w:tc>
          <w:tcPr>
            <w:tcW w:w="1600" w:type="dxa"/>
            <w:vAlign w:val="bottom"/>
            <w:tcBorders>
              <w:top w:val="single" w:sz="8" w:color="4F81BD"/>
              <w:left w:val="single" w:sz="8" w:color="4F81BD"/>
              <w:right w:val="single" w:sz="8" w:color="4F81BD"/>
            </w:tcBorders>
            <w:shd w:val="clear" w:color="auto" w:fill="EDF3F8"/>
          </w:tcPr>
          <w:p>
            <w:pPr>
              <w:ind w:left="180"/>
              <w:spacing w:after="0"/>
              <w:rPr>
                <w:sz w:val="20"/>
                <w:szCs w:val="20"/>
                <w:color w:val="auto"/>
              </w:rPr>
            </w:pPr>
            <w:r>
              <w:rPr>
                <w:rFonts w:ascii="Arial" w:cs="Arial" w:eastAsia="Arial" w:hAnsi="Arial"/>
                <w:sz w:val="13"/>
                <w:szCs w:val="13"/>
                <w:b w:val="1"/>
                <w:bCs w:val="1"/>
                <w:color w:val="4F81BD"/>
              </w:rPr>
              <w:t>Proportion</w:t>
            </w:r>
          </w:p>
        </w:tc>
        <w:tc>
          <w:tcPr>
            <w:tcW w:w="800" w:type="dxa"/>
            <w:vAlign w:val="bottom"/>
            <w:tcBorders>
              <w:right w:val="single" w:sz="8" w:color="4F81BD"/>
            </w:tcBorders>
          </w:tcPr>
          <w:p>
            <w:pPr>
              <w:spacing w:after="0"/>
              <w:rPr>
                <w:sz w:val="13"/>
                <w:szCs w:val="13"/>
                <w:color w:val="auto"/>
              </w:rPr>
            </w:pPr>
          </w:p>
        </w:tc>
        <w:tc>
          <w:tcPr>
            <w:tcW w:w="1560" w:type="dxa"/>
            <w:vAlign w:val="bottom"/>
            <w:tcBorders>
              <w:top w:val="single" w:sz="8" w:color="4F81BD"/>
              <w:right w:val="single" w:sz="8" w:color="4F81BD"/>
            </w:tcBorders>
            <w:shd w:val="clear" w:color="auto" w:fill="EDF3F8"/>
          </w:tcPr>
          <w:p>
            <w:pPr>
              <w:ind w:left="180"/>
              <w:spacing w:after="0"/>
              <w:rPr>
                <w:sz w:val="20"/>
                <w:szCs w:val="20"/>
                <w:color w:val="auto"/>
              </w:rPr>
            </w:pPr>
            <w:r>
              <w:rPr>
                <w:rFonts w:ascii="Arial" w:cs="Arial" w:eastAsia="Arial" w:hAnsi="Arial"/>
                <w:sz w:val="13"/>
                <w:szCs w:val="13"/>
                <w:b w:val="1"/>
                <w:bCs w:val="1"/>
                <w:color w:val="4F81BD"/>
              </w:rPr>
              <w:t>Proportion of the</w:t>
            </w:r>
          </w:p>
        </w:tc>
        <w:tc>
          <w:tcPr>
            <w:tcW w:w="820" w:type="dxa"/>
            <w:vAlign w:val="bottom"/>
            <w:tcBorders>
              <w:right w:val="single" w:sz="8" w:color="4F81BD"/>
            </w:tcBorders>
          </w:tcPr>
          <w:p>
            <w:pPr>
              <w:spacing w:after="0"/>
              <w:rPr>
                <w:sz w:val="13"/>
                <w:szCs w:val="13"/>
                <w:color w:val="auto"/>
              </w:rPr>
            </w:pPr>
          </w:p>
        </w:tc>
        <w:tc>
          <w:tcPr>
            <w:tcW w:w="1560" w:type="dxa"/>
            <w:vAlign w:val="bottom"/>
            <w:tcBorders>
              <w:top w:val="single" w:sz="8" w:color="4F81BD"/>
              <w:right w:val="single" w:sz="8" w:color="4F81BD"/>
            </w:tcBorders>
            <w:shd w:val="clear" w:color="auto" w:fill="EDF3F8"/>
          </w:tcPr>
          <w:p>
            <w:pPr>
              <w:ind w:left="160"/>
              <w:spacing w:after="0"/>
              <w:rPr>
                <w:sz w:val="20"/>
                <w:szCs w:val="20"/>
                <w:color w:val="auto"/>
              </w:rPr>
            </w:pPr>
            <w:r>
              <w:rPr>
                <w:rFonts w:ascii="Arial" w:cs="Arial" w:eastAsia="Arial" w:hAnsi="Arial"/>
                <w:sz w:val="13"/>
                <w:szCs w:val="13"/>
                <w:b w:val="1"/>
                <w:bCs w:val="1"/>
                <w:color w:val="4F81BD"/>
              </w:rPr>
              <w:t>Proportion of the</w:t>
            </w:r>
          </w:p>
        </w:tc>
        <w:tc>
          <w:tcPr>
            <w:tcW w:w="820" w:type="dxa"/>
            <w:vAlign w:val="bottom"/>
            <w:tcBorders>
              <w:right w:val="single" w:sz="8" w:color="4F81BD"/>
            </w:tcBorders>
          </w:tcPr>
          <w:p>
            <w:pPr>
              <w:spacing w:after="0"/>
              <w:rPr>
                <w:sz w:val="13"/>
                <w:szCs w:val="13"/>
                <w:color w:val="auto"/>
              </w:rPr>
            </w:pPr>
          </w:p>
        </w:tc>
        <w:tc>
          <w:tcPr>
            <w:tcW w:w="1560" w:type="dxa"/>
            <w:vAlign w:val="bottom"/>
            <w:tcBorders>
              <w:top w:val="single" w:sz="8" w:color="4F81BD"/>
              <w:right w:val="single" w:sz="8" w:color="4F81BD"/>
            </w:tcBorders>
            <w:vMerge w:val="restart"/>
            <w:shd w:val="clear" w:color="auto" w:fill="EDF3F8"/>
          </w:tcPr>
          <w:p>
            <w:pPr>
              <w:ind w:left="160"/>
              <w:spacing w:after="0"/>
              <w:rPr>
                <w:sz w:val="20"/>
                <w:szCs w:val="20"/>
                <w:color w:val="auto"/>
              </w:rPr>
            </w:pPr>
            <w:r>
              <w:rPr>
                <w:rFonts w:ascii="Arial" w:cs="Arial" w:eastAsia="Arial" w:hAnsi="Arial"/>
                <w:sz w:val="13"/>
                <w:szCs w:val="13"/>
                <w:b w:val="1"/>
                <w:bCs w:val="1"/>
                <w:color w:val="4F81BD"/>
              </w:rPr>
              <w:t>Total Vesting</w:t>
            </w:r>
          </w:p>
        </w:tc>
        <w:tc>
          <w:tcPr>
            <w:tcW w:w="0" w:type="dxa"/>
            <w:vAlign w:val="bottom"/>
          </w:tcPr>
          <w:p>
            <w:pPr>
              <w:spacing w:after="0"/>
              <w:rPr>
                <w:sz w:val="1"/>
                <w:szCs w:val="1"/>
                <w:color w:val="auto"/>
              </w:rPr>
            </w:pPr>
          </w:p>
        </w:tc>
      </w:tr>
      <w:tr>
        <w:trPr>
          <w:trHeight w:val="145"/>
        </w:trPr>
        <w:tc>
          <w:tcPr>
            <w:tcW w:w="1600" w:type="dxa"/>
            <w:vAlign w:val="bottom"/>
            <w:tcBorders>
              <w:left w:val="single" w:sz="8" w:color="4F81BD"/>
              <w:right w:val="single" w:sz="8" w:color="4F81BD"/>
            </w:tcBorders>
            <w:shd w:val="clear" w:color="auto" w:fill="EDF3F8"/>
          </w:tcPr>
          <w:p>
            <w:pPr>
              <w:ind w:left="180"/>
              <w:spacing w:after="0" w:line="145" w:lineRule="exact"/>
              <w:rPr>
                <w:sz w:val="20"/>
                <w:szCs w:val="20"/>
                <w:color w:val="auto"/>
              </w:rPr>
            </w:pPr>
            <w:r>
              <w:rPr>
                <w:rFonts w:ascii="Arial" w:cs="Arial" w:eastAsia="Arial" w:hAnsi="Arial"/>
                <w:sz w:val="13"/>
                <w:szCs w:val="13"/>
                <w:b w:val="1"/>
                <w:bCs w:val="1"/>
                <w:color w:val="4F81BD"/>
              </w:rPr>
              <w:t>of the 40%</w:t>
            </w:r>
          </w:p>
        </w:tc>
        <w:tc>
          <w:tcPr>
            <w:tcW w:w="800" w:type="dxa"/>
            <w:vAlign w:val="bottom"/>
            <w:tcBorders>
              <w:right w:val="single" w:sz="8" w:color="4F81BD"/>
            </w:tcBorders>
          </w:tcPr>
          <w:p>
            <w:pPr>
              <w:spacing w:after="0"/>
              <w:rPr>
                <w:sz w:val="12"/>
                <w:szCs w:val="12"/>
                <w:color w:val="auto"/>
              </w:rPr>
            </w:pPr>
          </w:p>
        </w:tc>
        <w:tc>
          <w:tcPr>
            <w:tcW w:w="1560" w:type="dxa"/>
            <w:vAlign w:val="bottom"/>
            <w:tcBorders>
              <w:right w:val="single" w:sz="8" w:color="4F81BD"/>
            </w:tcBorders>
            <w:shd w:val="clear" w:color="auto" w:fill="EDF3F8"/>
          </w:tcPr>
          <w:p>
            <w:pPr>
              <w:ind w:left="180"/>
              <w:spacing w:after="0" w:line="145" w:lineRule="exact"/>
              <w:rPr>
                <w:sz w:val="20"/>
                <w:szCs w:val="20"/>
                <w:color w:val="auto"/>
              </w:rPr>
            </w:pPr>
            <w:r>
              <w:rPr>
                <w:rFonts w:ascii="Arial" w:cs="Arial" w:eastAsia="Arial" w:hAnsi="Arial"/>
                <w:sz w:val="13"/>
                <w:szCs w:val="13"/>
                <w:b w:val="1"/>
                <w:bCs w:val="1"/>
                <w:color w:val="4F81BD"/>
              </w:rPr>
              <w:t>20% allocated</w:t>
            </w:r>
          </w:p>
        </w:tc>
        <w:tc>
          <w:tcPr>
            <w:tcW w:w="820" w:type="dxa"/>
            <w:vAlign w:val="bottom"/>
            <w:tcBorders>
              <w:right w:val="single" w:sz="8" w:color="4F81BD"/>
            </w:tcBorders>
          </w:tcPr>
          <w:p>
            <w:pPr>
              <w:spacing w:after="0"/>
              <w:rPr>
                <w:sz w:val="12"/>
                <w:szCs w:val="12"/>
                <w:color w:val="auto"/>
              </w:rPr>
            </w:pPr>
          </w:p>
        </w:tc>
        <w:tc>
          <w:tcPr>
            <w:tcW w:w="1560" w:type="dxa"/>
            <w:vAlign w:val="bottom"/>
            <w:tcBorders>
              <w:right w:val="single" w:sz="8" w:color="4F81BD"/>
            </w:tcBorders>
            <w:shd w:val="clear" w:color="auto" w:fill="EDF3F8"/>
          </w:tcPr>
          <w:p>
            <w:pPr>
              <w:ind w:left="160"/>
              <w:spacing w:after="0" w:line="145" w:lineRule="exact"/>
              <w:rPr>
                <w:sz w:val="20"/>
                <w:szCs w:val="20"/>
                <w:color w:val="auto"/>
              </w:rPr>
            </w:pPr>
            <w:r>
              <w:rPr>
                <w:rFonts w:ascii="Arial" w:cs="Arial" w:eastAsia="Arial" w:hAnsi="Arial"/>
                <w:sz w:val="13"/>
                <w:szCs w:val="13"/>
                <w:b w:val="1"/>
                <w:bCs w:val="1"/>
                <w:color w:val="4F81BD"/>
              </w:rPr>
              <w:t>40% allocated</w:t>
            </w:r>
          </w:p>
        </w:tc>
        <w:tc>
          <w:tcPr>
            <w:tcW w:w="820" w:type="dxa"/>
            <w:vAlign w:val="bottom"/>
            <w:tcBorders>
              <w:right w:val="single" w:sz="8" w:color="4F81BD"/>
            </w:tcBorders>
          </w:tcPr>
          <w:p>
            <w:pPr>
              <w:spacing w:after="0"/>
              <w:rPr>
                <w:sz w:val="12"/>
                <w:szCs w:val="12"/>
                <w:color w:val="auto"/>
              </w:rPr>
            </w:pPr>
          </w:p>
        </w:tc>
        <w:tc>
          <w:tcPr>
            <w:tcW w:w="1560" w:type="dxa"/>
            <w:vAlign w:val="bottom"/>
            <w:tcBorders>
              <w:right w:val="single" w:sz="8" w:color="4F81BD"/>
            </w:tcBorders>
            <w:vMerge w:val="continue"/>
            <w:shd w:val="clear" w:color="auto" w:fill="EDF3F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tcBorders>
              <w:left w:val="single" w:sz="8" w:color="4F81BD"/>
              <w:right w:val="single" w:sz="8" w:color="4F81BD"/>
            </w:tcBorders>
            <w:shd w:val="clear" w:color="auto" w:fill="EDF3F8"/>
          </w:tcPr>
          <w:p>
            <w:pPr>
              <w:ind w:left="180"/>
              <w:spacing w:after="0" w:line="135" w:lineRule="exact"/>
              <w:rPr>
                <w:sz w:val="20"/>
                <w:szCs w:val="20"/>
                <w:color w:val="auto"/>
              </w:rPr>
            </w:pPr>
            <w:r>
              <w:rPr>
                <w:rFonts w:ascii="Arial" w:cs="Arial" w:eastAsia="Arial" w:hAnsi="Arial"/>
                <w:sz w:val="13"/>
                <w:szCs w:val="13"/>
                <w:b w:val="1"/>
                <w:bCs w:val="1"/>
                <w:color w:val="4F81BD"/>
              </w:rPr>
              <w:t>allocated to</w:t>
            </w:r>
          </w:p>
        </w:tc>
        <w:tc>
          <w:tcPr>
            <w:tcW w:w="800" w:type="dxa"/>
            <w:vAlign w:val="bottom"/>
            <w:tcBorders>
              <w:right w:val="single" w:sz="8" w:color="4F81BD"/>
            </w:tcBorders>
          </w:tcPr>
          <w:p>
            <w:pPr>
              <w:spacing w:after="0"/>
              <w:rPr>
                <w:sz w:val="11"/>
                <w:szCs w:val="11"/>
                <w:color w:val="auto"/>
              </w:rPr>
            </w:pPr>
          </w:p>
        </w:tc>
        <w:tc>
          <w:tcPr>
            <w:tcW w:w="1560" w:type="dxa"/>
            <w:vAlign w:val="bottom"/>
            <w:tcBorders>
              <w:right w:val="single" w:sz="8" w:color="4F81BD"/>
            </w:tcBorders>
            <w:shd w:val="clear" w:color="auto" w:fill="EDF3F8"/>
          </w:tcPr>
          <w:p>
            <w:pPr>
              <w:ind w:left="180"/>
              <w:spacing w:after="0" w:line="135" w:lineRule="exact"/>
              <w:rPr>
                <w:sz w:val="20"/>
                <w:szCs w:val="20"/>
                <w:color w:val="auto"/>
              </w:rPr>
            </w:pPr>
            <w:r>
              <w:rPr>
                <w:rFonts w:ascii="Arial" w:cs="Arial" w:eastAsia="Arial" w:hAnsi="Arial"/>
                <w:sz w:val="13"/>
                <w:szCs w:val="13"/>
                <w:b w:val="1"/>
                <w:bCs w:val="1"/>
                <w:color w:val="4F81BD"/>
              </w:rPr>
              <w:t>to growth in</w:t>
            </w:r>
          </w:p>
        </w:tc>
        <w:tc>
          <w:tcPr>
            <w:tcW w:w="820" w:type="dxa"/>
            <w:vAlign w:val="bottom"/>
            <w:tcBorders>
              <w:right w:val="single" w:sz="8" w:color="4F81BD"/>
            </w:tcBorders>
          </w:tcPr>
          <w:p>
            <w:pPr>
              <w:spacing w:after="0"/>
              <w:rPr>
                <w:sz w:val="11"/>
                <w:szCs w:val="11"/>
                <w:color w:val="auto"/>
              </w:rPr>
            </w:pPr>
          </w:p>
        </w:tc>
        <w:tc>
          <w:tcPr>
            <w:tcW w:w="1560" w:type="dxa"/>
            <w:vAlign w:val="bottom"/>
            <w:tcBorders>
              <w:right w:val="single" w:sz="8" w:color="4F81BD"/>
            </w:tcBorders>
            <w:shd w:val="clear" w:color="auto" w:fill="EDF3F8"/>
          </w:tcPr>
          <w:p>
            <w:pPr>
              <w:ind w:left="160"/>
              <w:spacing w:after="0" w:line="135" w:lineRule="exact"/>
              <w:rPr>
                <w:sz w:val="20"/>
                <w:szCs w:val="20"/>
                <w:color w:val="auto"/>
              </w:rPr>
            </w:pPr>
            <w:r>
              <w:rPr>
                <w:rFonts w:ascii="Arial" w:cs="Arial" w:eastAsia="Arial" w:hAnsi="Arial"/>
                <w:sz w:val="13"/>
                <w:szCs w:val="13"/>
                <w:b w:val="1"/>
                <w:bCs w:val="1"/>
                <w:color w:val="4F81BD"/>
              </w:rPr>
              <w:t>to growth in</w:t>
            </w:r>
          </w:p>
        </w:tc>
        <w:tc>
          <w:tcPr>
            <w:tcW w:w="820" w:type="dxa"/>
            <w:vAlign w:val="bottom"/>
            <w:tcBorders>
              <w:right w:val="single" w:sz="8" w:color="4F81BD"/>
            </w:tcBorders>
          </w:tcPr>
          <w:p>
            <w:pPr>
              <w:spacing w:after="0"/>
              <w:rPr>
                <w:sz w:val="11"/>
                <w:szCs w:val="11"/>
                <w:color w:val="auto"/>
              </w:rPr>
            </w:pPr>
          </w:p>
        </w:tc>
        <w:tc>
          <w:tcPr>
            <w:tcW w:w="1560" w:type="dxa"/>
            <w:vAlign w:val="bottom"/>
            <w:tcBorders>
              <w:right w:val="single" w:sz="8" w:color="4F81BD"/>
            </w:tcBorders>
            <w:shd w:val="clear" w:color="auto" w:fill="EDF3F8"/>
          </w:tcPr>
          <w:p>
            <w:pPr>
              <w:ind w:left="160"/>
              <w:spacing w:after="0" w:line="135" w:lineRule="exact"/>
              <w:rPr>
                <w:sz w:val="20"/>
                <w:szCs w:val="20"/>
                <w:color w:val="auto"/>
              </w:rPr>
            </w:pPr>
            <w:r>
              <w:rPr>
                <w:rFonts w:ascii="Arial" w:cs="Arial" w:eastAsia="Arial" w:hAnsi="Arial"/>
                <w:sz w:val="13"/>
                <w:szCs w:val="13"/>
                <w:b w:val="1"/>
                <w:bCs w:val="1"/>
                <w:color w:val="4F81BD"/>
              </w:rPr>
              <w:t>Percentage</w:t>
            </w:r>
          </w:p>
        </w:tc>
        <w:tc>
          <w:tcPr>
            <w:tcW w:w="0" w:type="dxa"/>
            <w:vAlign w:val="bottom"/>
          </w:tcPr>
          <w:p>
            <w:pPr>
              <w:spacing w:after="0"/>
              <w:rPr>
                <w:sz w:val="1"/>
                <w:szCs w:val="1"/>
                <w:color w:val="auto"/>
              </w:rPr>
            </w:pPr>
          </w:p>
        </w:tc>
      </w:tr>
      <w:tr>
        <w:trPr>
          <w:trHeight w:val="187"/>
        </w:trPr>
        <w:tc>
          <w:tcPr>
            <w:tcW w:w="1600" w:type="dxa"/>
            <w:vAlign w:val="bottom"/>
            <w:tcBorders>
              <w:left w:val="single" w:sz="8" w:color="4F81BD"/>
              <w:bottom w:val="single" w:sz="8" w:color="4F81BD"/>
              <w:right w:val="single" w:sz="8" w:color="4F81BD"/>
            </w:tcBorders>
            <w:shd w:val="clear" w:color="auto" w:fill="EDF3F8"/>
          </w:tcPr>
          <w:p>
            <w:pPr>
              <w:ind w:left="180"/>
              <w:spacing w:after="0"/>
              <w:rPr>
                <w:sz w:val="20"/>
                <w:szCs w:val="20"/>
                <w:color w:val="auto"/>
              </w:rPr>
            </w:pPr>
            <w:r>
              <w:rPr>
                <w:rFonts w:ascii="Arial" w:cs="Arial" w:eastAsia="Arial" w:hAnsi="Arial"/>
                <w:sz w:val="13"/>
                <w:szCs w:val="13"/>
                <w:b w:val="1"/>
                <w:bCs w:val="1"/>
                <w:color w:val="4F81BD"/>
              </w:rPr>
              <w:t>TSR Vesting</w:t>
            </w:r>
          </w:p>
        </w:tc>
        <w:tc>
          <w:tcPr>
            <w:tcW w:w="800" w:type="dxa"/>
            <w:vAlign w:val="bottom"/>
            <w:tcBorders>
              <w:right w:val="single" w:sz="8" w:color="4F81BD"/>
            </w:tcBorders>
          </w:tcPr>
          <w:p>
            <w:pPr>
              <w:spacing w:after="0"/>
              <w:rPr>
                <w:sz w:val="16"/>
                <w:szCs w:val="16"/>
                <w:color w:val="auto"/>
              </w:rPr>
            </w:pPr>
          </w:p>
        </w:tc>
        <w:tc>
          <w:tcPr>
            <w:tcW w:w="1560" w:type="dxa"/>
            <w:vAlign w:val="bottom"/>
            <w:tcBorders>
              <w:bottom w:val="single" w:sz="8" w:color="4F81BD"/>
              <w:right w:val="single" w:sz="8" w:color="4F81BD"/>
            </w:tcBorders>
            <w:shd w:val="clear" w:color="auto" w:fill="EDF3F8"/>
          </w:tcPr>
          <w:p>
            <w:pPr>
              <w:ind w:left="180"/>
              <w:spacing w:after="0"/>
              <w:rPr>
                <w:sz w:val="20"/>
                <w:szCs w:val="20"/>
                <w:color w:val="auto"/>
              </w:rPr>
            </w:pPr>
            <w:r>
              <w:rPr>
                <w:rFonts w:ascii="Arial" w:cs="Arial" w:eastAsia="Arial" w:hAnsi="Arial"/>
                <w:sz w:val="13"/>
                <w:szCs w:val="13"/>
                <w:b w:val="1"/>
                <w:bCs w:val="1"/>
                <w:color w:val="4F81BD"/>
              </w:rPr>
              <w:t>Revenue Vesting</w:t>
            </w:r>
          </w:p>
        </w:tc>
        <w:tc>
          <w:tcPr>
            <w:tcW w:w="820" w:type="dxa"/>
            <w:vAlign w:val="bottom"/>
            <w:tcBorders>
              <w:right w:val="single" w:sz="8" w:color="4F81BD"/>
            </w:tcBorders>
          </w:tcPr>
          <w:p>
            <w:pPr>
              <w:spacing w:after="0"/>
              <w:rPr>
                <w:sz w:val="16"/>
                <w:szCs w:val="16"/>
                <w:color w:val="auto"/>
              </w:rPr>
            </w:pPr>
          </w:p>
        </w:tc>
        <w:tc>
          <w:tcPr>
            <w:tcW w:w="1560" w:type="dxa"/>
            <w:vAlign w:val="bottom"/>
            <w:tcBorders>
              <w:bottom w:val="single" w:sz="8" w:color="4F81BD"/>
              <w:right w:val="single" w:sz="8" w:color="4F81BD"/>
            </w:tcBorders>
            <w:shd w:val="clear" w:color="auto" w:fill="EDF3F8"/>
          </w:tcPr>
          <w:p>
            <w:pPr>
              <w:ind w:left="160"/>
              <w:spacing w:after="0"/>
              <w:rPr>
                <w:sz w:val="20"/>
                <w:szCs w:val="20"/>
                <w:color w:val="auto"/>
              </w:rPr>
            </w:pPr>
            <w:r>
              <w:rPr>
                <w:rFonts w:ascii="Arial" w:cs="Arial" w:eastAsia="Arial" w:hAnsi="Arial"/>
                <w:sz w:val="13"/>
                <w:szCs w:val="13"/>
                <w:b w:val="1"/>
                <w:bCs w:val="1"/>
                <w:color w:val="4F81BD"/>
              </w:rPr>
              <w:t>EPS Vesting</w:t>
            </w:r>
          </w:p>
        </w:tc>
        <w:tc>
          <w:tcPr>
            <w:tcW w:w="820" w:type="dxa"/>
            <w:vAlign w:val="bottom"/>
            <w:tcBorders>
              <w:right w:val="single" w:sz="8" w:color="4F81BD"/>
            </w:tcBorders>
          </w:tcPr>
          <w:p>
            <w:pPr>
              <w:spacing w:after="0"/>
              <w:rPr>
                <w:sz w:val="16"/>
                <w:szCs w:val="16"/>
                <w:color w:val="auto"/>
              </w:rPr>
            </w:pPr>
          </w:p>
        </w:tc>
        <w:tc>
          <w:tcPr>
            <w:tcW w:w="1560" w:type="dxa"/>
            <w:vAlign w:val="bottom"/>
            <w:tcBorders>
              <w:bottom w:val="single" w:sz="8" w:color="4F81BD"/>
              <w:right w:val="single" w:sz="8" w:color="4F81BD"/>
            </w:tcBorders>
            <w:shd w:val="clear" w:color="auto" w:fill="EDF3F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3097530</wp:posOffset>
            </wp:positionV>
            <wp:extent cx="297180" cy="290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7180" cy="290195"/>
                    </a:xfrm>
                    <a:prstGeom prst="rect">
                      <a:avLst/>
                    </a:prstGeom>
                    <a:noFill/>
                  </pic:spPr>
                </pic:pic>
              </a:graphicData>
            </a:graphic>
          </wp:anchor>
        </w:drawing>
        <w:drawing>
          <wp:anchor simplePos="0" relativeHeight="251657728" behindDoc="1" locked="0" layoutInCell="0" allowOverlap="1">
            <wp:simplePos x="0" y="0"/>
            <wp:positionH relativeFrom="column">
              <wp:posOffset>1233805</wp:posOffset>
            </wp:positionH>
            <wp:positionV relativeFrom="paragraph">
              <wp:posOffset>-353060</wp:posOffset>
            </wp:positionV>
            <wp:extent cx="297180" cy="290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7180" cy="29019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-353060</wp:posOffset>
            </wp:positionV>
            <wp:extent cx="297180" cy="290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7180" cy="29019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-324485</wp:posOffset>
            </wp:positionV>
            <wp:extent cx="297180" cy="2330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7180" cy="2330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2" w:name="page73"/>
    <w:bookmarkEnd w:id="72"/>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performance components are determined by the following levels of growth, which must be achieved before awards vest:</w:t>
      </w:r>
    </w:p>
    <w:p>
      <w:pPr>
        <w:spacing w:after="0" w:line="123" w:lineRule="exact"/>
        <w:rPr>
          <w:sz w:val="20"/>
          <w:szCs w:val="20"/>
          <w:color w:val="auto"/>
        </w:rPr>
      </w:pPr>
    </w:p>
    <w:tbl>
      <w:tblPr>
        <w:tblLayout w:type="fixed"/>
        <w:tblInd w:w="1270" w:type="dxa"/>
        <w:tblCellMar>
          <w:top w:w="0" w:type="dxa"/>
          <w:left w:w="0" w:type="dxa"/>
          <w:bottom w:w="0" w:type="dxa"/>
          <w:right w:w="0" w:type="dxa"/>
        </w:tblCellMar>
      </w:tblPr>
      <w:tr>
        <w:trPr>
          <w:trHeight w:val="219"/>
        </w:trPr>
        <w:tc>
          <w:tcPr>
            <w:tcW w:w="3320" w:type="dxa"/>
            <w:vAlign w:val="bottom"/>
            <w:tcBorders>
              <w:top w:val="single" w:sz="8" w:color="auto"/>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9"/>
              </w:rPr>
              <w:t>Performance Percentile Ranking of TSR vs.</w:t>
            </w:r>
          </w:p>
        </w:tc>
        <w:tc>
          <w:tcPr>
            <w:tcW w:w="328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9"/>
              </w:rPr>
              <w:t>Proportion of the 40% allocated to</w:t>
            </w:r>
          </w:p>
        </w:tc>
      </w:tr>
      <w:tr>
        <w:trPr>
          <w:trHeight w:val="242"/>
        </w:trPr>
        <w:tc>
          <w:tcPr>
            <w:tcW w:w="3320" w:type="dxa"/>
            <w:vAlign w:val="bottom"/>
            <w:tcBorders>
              <w:left w:val="single" w:sz="8" w:color="auto"/>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9"/>
              </w:rPr>
              <w:t>Comparator Group from 2025-2027</w:t>
            </w:r>
          </w:p>
        </w:tc>
        <w:tc>
          <w:tcPr>
            <w:tcW w:w="328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9"/>
              </w:rPr>
              <w:t>TSR vesting</w:t>
            </w:r>
          </w:p>
        </w:tc>
      </w:tr>
      <w:tr>
        <w:trPr>
          <w:trHeight w:val="263"/>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9"/>
              </w:rPr>
              <w:t>75%</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200%</w:t>
            </w:r>
          </w:p>
        </w:tc>
      </w:tr>
      <w:tr>
        <w:trPr>
          <w:trHeight w:val="263"/>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9"/>
              </w:rPr>
              <w:t>50%</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100%</w:t>
            </w:r>
          </w:p>
        </w:tc>
      </w:tr>
      <w:tr>
        <w:trPr>
          <w:trHeight w:val="263"/>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9"/>
              </w:rPr>
              <w:t>25%</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9"/>
              </w:rPr>
              <w:t>50%</w:t>
            </w:r>
          </w:p>
        </w:tc>
      </w:tr>
      <w:tr>
        <w:trPr>
          <w:trHeight w:val="238"/>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Less than 25%</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0%(nil)</w:t>
            </w:r>
          </w:p>
        </w:tc>
      </w:tr>
      <w:tr>
        <w:trPr>
          <w:trHeight w:val="20"/>
        </w:trPr>
        <w:tc>
          <w:tcPr>
            <w:tcW w:w="3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80" w:type="dxa"/>
            <w:vAlign w:val="bottom"/>
            <w:tcBorders>
              <w:right w:val="single" w:sz="8" w:color="auto"/>
            </w:tcBorders>
            <w:shd w:val="clear" w:color="auto" w:fill="000000"/>
          </w:tcPr>
          <w:p>
            <w:pPr>
              <w:spacing w:after="0" w:line="20" w:lineRule="exact"/>
              <w:rPr>
                <w:sz w:val="1"/>
                <w:szCs w:val="1"/>
                <w:color w:val="auto"/>
              </w:rPr>
            </w:pPr>
          </w:p>
        </w:tc>
      </w:tr>
    </w:tbl>
    <w:p>
      <w:pPr>
        <w:spacing w:after="0" w:line="114" w:lineRule="exact"/>
        <w:rPr>
          <w:sz w:val="20"/>
          <w:szCs w:val="20"/>
          <w:color w:val="auto"/>
        </w:rPr>
      </w:pPr>
    </w:p>
    <w:tbl>
      <w:tblPr>
        <w:tblLayout w:type="fixed"/>
        <w:tblInd w:w="1270" w:type="dxa"/>
        <w:tblCellMar>
          <w:top w:w="0" w:type="dxa"/>
          <w:left w:w="0" w:type="dxa"/>
          <w:bottom w:w="0" w:type="dxa"/>
          <w:right w:w="0" w:type="dxa"/>
        </w:tblCellMar>
      </w:tblPr>
      <w:tr>
        <w:trPr>
          <w:trHeight w:val="219"/>
        </w:trPr>
        <w:tc>
          <w:tcPr>
            <w:tcW w:w="3320" w:type="dxa"/>
            <w:vAlign w:val="bottom"/>
            <w:tcBorders>
              <w:top w:val="single" w:sz="8" w:color="auto"/>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8"/>
              </w:rPr>
              <w:t>Growth in Revenue in 2027 vs.</w:t>
            </w:r>
          </w:p>
        </w:tc>
        <w:tc>
          <w:tcPr>
            <w:tcW w:w="328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8"/>
              </w:rPr>
              <w:t>Proportion of the 20% allocated to growth</w:t>
            </w:r>
          </w:p>
        </w:tc>
      </w:tr>
      <w:tr>
        <w:trPr>
          <w:trHeight w:val="242"/>
        </w:trPr>
        <w:tc>
          <w:tcPr>
            <w:tcW w:w="3320" w:type="dxa"/>
            <w:vAlign w:val="bottom"/>
            <w:tcBorders>
              <w:left w:val="single" w:sz="8" w:color="auto"/>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8"/>
              </w:rPr>
              <w:t>2024 actual</w:t>
            </w:r>
          </w:p>
        </w:tc>
        <w:tc>
          <w:tcPr>
            <w:tcW w:w="328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5"/>
                <w:szCs w:val="15"/>
                <w:b w:val="1"/>
                <w:bCs w:val="1"/>
                <w:color w:val="FFFFFF"/>
                <w:w w:val="97"/>
              </w:rPr>
              <w:t>in Revenue vesting</w:t>
            </w:r>
          </w:p>
        </w:tc>
      </w:tr>
      <w:tr>
        <w:trPr>
          <w:trHeight w:val="263"/>
        </w:trPr>
        <w:tc>
          <w:tcPr>
            <w:tcW w:w="3320" w:type="dxa"/>
            <w:vAlign w:val="bottom"/>
            <w:tcBorders>
              <w:top w:val="single" w:sz="8" w:color="auto"/>
              <w:left w:val="single" w:sz="8" w:color="auto"/>
              <w:bottom w:val="single" w:sz="8" w:color="DBE5F1"/>
              <w:right w:val="single" w:sz="8" w:color="auto"/>
            </w:tcBorders>
            <w:shd w:val="clear" w:color="auto" w:fill="DBE5F1"/>
          </w:tcPr>
          <w:p>
            <w:pPr>
              <w:jc w:val="center"/>
              <w:spacing w:after="0"/>
              <w:rPr>
                <w:sz w:val="20"/>
                <w:szCs w:val="20"/>
                <w:color w:val="auto"/>
              </w:rPr>
            </w:pPr>
            <w:r>
              <w:rPr>
                <w:rFonts w:ascii="Arial" w:cs="Arial" w:eastAsia="Arial" w:hAnsi="Arial"/>
                <w:sz w:val="15"/>
                <w:szCs w:val="15"/>
                <w:color w:val="auto"/>
                <w:w w:val="98"/>
              </w:rPr>
              <w:t>Total growth vs. 2024 actual 30%</w:t>
            </w:r>
          </w:p>
        </w:tc>
        <w:tc>
          <w:tcPr>
            <w:tcW w:w="3280" w:type="dxa"/>
            <w:vAlign w:val="bottom"/>
            <w:tcBorders>
              <w:top w:val="single" w:sz="8" w:color="auto"/>
              <w:bottom w:val="single" w:sz="8" w:color="DBE5F1"/>
              <w:right w:val="single" w:sz="8" w:color="auto"/>
            </w:tcBorders>
            <w:shd w:val="clear" w:color="auto" w:fill="DBE5F1"/>
          </w:tcPr>
          <w:p>
            <w:pPr>
              <w:jc w:val="center"/>
              <w:spacing w:after="0"/>
              <w:rPr>
                <w:sz w:val="20"/>
                <w:szCs w:val="20"/>
                <w:color w:val="auto"/>
              </w:rPr>
            </w:pPr>
            <w:r>
              <w:rPr>
                <w:rFonts w:ascii="Arial" w:cs="Arial" w:eastAsia="Arial" w:hAnsi="Arial"/>
                <w:sz w:val="15"/>
                <w:szCs w:val="15"/>
                <w:color w:val="auto"/>
                <w:w w:val="98"/>
              </w:rPr>
              <w:t>200%</w:t>
            </w:r>
          </w:p>
        </w:tc>
      </w:tr>
      <w:tr>
        <w:trPr>
          <w:trHeight w:val="263"/>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Total growth vs. 2024 actual 10%</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100%</w:t>
            </w:r>
          </w:p>
        </w:tc>
      </w:tr>
      <w:tr>
        <w:trPr>
          <w:trHeight w:val="263"/>
        </w:trPr>
        <w:tc>
          <w:tcPr>
            <w:tcW w:w="3320" w:type="dxa"/>
            <w:vAlign w:val="bottom"/>
            <w:tcBorders>
              <w:top w:val="single" w:sz="8" w:color="auto"/>
              <w:left w:val="single" w:sz="8" w:color="auto"/>
              <w:bottom w:val="single" w:sz="8" w:color="DBE5F1"/>
              <w:right w:val="single" w:sz="8" w:color="auto"/>
            </w:tcBorders>
            <w:shd w:val="clear" w:color="auto" w:fill="DBE5F1"/>
          </w:tcPr>
          <w:p>
            <w:pPr>
              <w:jc w:val="center"/>
              <w:spacing w:after="0"/>
              <w:rPr>
                <w:sz w:val="20"/>
                <w:szCs w:val="20"/>
                <w:color w:val="auto"/>
              </w:rPr>
            </w:pPr>
            <w:r>
              <w:rPr>
                <w:rFonts w:ascii="Arial" w:cs="Arial" w:eastAsia="Arial" w:hAnsi="Arial"/>
                <w:sz w:val="15"/>
                <w:szCs w:val="15"/>
                <w:color w:val="auto"/>
                <w:w w:val="97"/>
              </w:rPr>
              <w:t>Total growth vs. 2024 actual -10%</w:t>
            </w:r>
          </w:p>
        </w:tc>
        <w:tc>
          <w:tcPr>
            <w:tcW w:w="3280" w:type="dxa"/>
            <w:vAlign w:val="bottom"/>
            <w:tcBorders>
              <w:top w:val="single" w:sz="8" w:color="auto"/>
              <w:bottom w:val="single" w:sz="8" w:color="DBE5F1"/>
              <w:right w:val="single" w:sz="8" w:color="auto"/>
            </w:tcBorders>
            <w:shd w:val="clear" w:color="auto" w:fill="DBE5F1"/>
          </w:tcPr>
          <w:p>
            <w:pPr>
              <w:jc w:val="center"/>
              <w:spacing w:after="0"/>
              <w:rPr>
                <w:sz w:val="20"/>
                <w:szCs w:val="20"/>
                <w:color w:val="auto"/>
              </w:rPr>
            </w:pPr>
            <w:r>
              <w:rPr>
                <w:rFonts w:ascii="Arial" w:cs="Arial" w:eastAsia="Arial" w:hAnsi="Arial"/>
                <w:sz w:val="15"/>
                <w:szCs w:val="15"/>
                <w:color w:val="auto"/>
                <w:w w:val="99"/>
              </w:rPr>
              <w:t>50%</w:t>
            </w:r>
          </w:p>
        </w:tc>
      </w:tr>
      <w:tr>
        <w:trPr>
          <w:trHeight w:val="263"/>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7"/>
              </w:rPr>
              <w:t>Less than -10%</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0%(nil)</w:t>
            </w:r>
          </w:p>
        </w:tc>
      </w:tr>
      <w:tr>
        <w:trPr>
          <w:trHeight w:val="58"/>
        </w:trPr>
        <w:tc>
          <w:tcPr>
            <w:tcW w:w="3320" w:type="dxa"/>
            <w:vAlign w:val="bottom"/>
            <w:tcBorders>
              <w:top w:val="single" w:sz="8" w:color="auto"/>
              <w:bottom w:val="single" w:sz="8" w:color="auto"/>
            </w:tcBorders>
          </w:tcPr>
          <w:p>
            <w:pPr>
              <w:spacing w:after="0"/>
              <w:rPr>
                <w:sz w:val="5"/>
                <w:szCs w:val="5"/>
                <w:color w:val="auto"/>
              </w:rPr>
            </w:pPr>
          </w:p>
        </w:tc>
        <w:tc>
          <w:tcPr>
            <w:tcW w:w="3280" w:type="dxa"/>
            <w:vAlign w:val="bottom"/>
            <w:tcBorders>
              <w:top w:val="single" w:sz="8" w:color="auto"/>
              <w:bottom w:val="single" w:sz="8" w:color="auto"/>
            </w:tcBorders>
          </w:tcPr>
          <w:p>
            <w:pPr>
              <w:spacing w:after="0"/>
              <w:rPr>
                <w:sz w:val="5"/>
                <w:szCs w:val="5"/>
                <w:color w:val="auto"/>
              </w:rPr>
            </w:pPr>
          </w:p>
        </w:tc>
      </w:tr>
      <w:tr>
        <w:trPr>
          <w:trHeight w:val="199"/>
        </w:trPr>
        <w:tc>
          <w:tcPr>
            <w:tcW w:w="3320" w:type="dxa"/>
            <w:vAlign w:val="bottom"/>
            <w:tcBorders>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Growth in Earnings per Share (EPS) in 2027 vs.</w:t>
            </w:r>
          </w:p>
        </w:tc>
        <w:tc>
          <w:tcPr>
            <w:tcW w:w="3280" w:type="dxa"/>
            <w:vAlign w:val="bottom"/>
            <w:tcBorders>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w w:val="98"/>
              </w:rPr>
              <w:t>Proportion of the 40% allocated to growth in</w:t>
            </w:r>
          </w:p>
        </w:tc>
      </w:tr>
      <w:tr>
        <w:trPr>
          <w:trHeight w:val="242"/>
        </w:trPr>
        <w:tc>
          <w:tcPr>
            <w:tcW w:w="3320" w:type="dxa"/>
            <w:vAlign w:val="bottom"/>
            <w:tcBorders>
              <w:left w:val="single" w:sz="8" w:color="auto"/>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2024 actual</w:t>
            </w:r>
          </w:p>
        </w:tc>
        <w:tc>
          <w:tcPr>
            <w:tcW w:w="328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5"/>
                <w:szCs w:val="15"/>
                <w:color w:val="FFFFFF"/>
              </w:rPr>
              <w:t>EPS vesting</w:t>
            </w:r>
          </w:p>
        </w:tc>
      </w:tr>
      <w:tr>
        <w:trPr>
          <w:trHeight w:val="263"/>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Total growth vs. 2024 actual 55%</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200%</w:t>
            </w:r>
          </w:p>
        </w:tc>
      </w:tr>
      <w:tr>
        <w:trPr>
          <w:trHeight w:val="263"/>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Total growth vs. 2024 actual 15%</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100%</w:t>
            </w:r>
          </w:p>
        </w:tc>
      </w:tr>
      <w:tr>
        <w:trPr>
          <w:trHeight w:val="263"/>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7"/>
              </w:rPr>
              <w:t>Total growth vs. 2024 actual -10%</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9"/>
              </w:rPr>
              <w:t>25%</w:t>
            </w:r>
          </w:p>
        </w:tc>
      </w:tr>
      <w:tr>
        <w:trPr>
          <w:trHeight w:val="238"/>
        </w:trPr>
        <w:tc>
          <w:tcPr>
            <w:tcW w:w="332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7"/>
              </w:rPr>
              <w:t>Less than -10%</w:t>
            </w:r>
          </w:p>
        </w:tc>
        <w:tc>
          <w:tcPr>
            <w:tcW w:w="328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5"/>
                <w:szCs w:val="15"/>
                <w:color w:val="auto"/>
                <w:w w:val="98"/>
              </w:rPr>
              <w:t>0%(nil)</w:t>
            </w:r>
          </w:p>
        </w:tc>
      </w:tr>
      <w:tr>
        <w:trPr>
          <w:trHeight w:val="20"/>
        </w:trPr>
        <w:tc>
          <w:tcPr>
            <w:tcW w:w="33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280" w:type="dxa"/>
            <w:vAlign w:val="bottom"/>
            <w:tcBorders>
              <w:right w:val="single" w:sz="8" w:color="auto"/>
            </w:tcBorders>
            <w:shd w:val="clear" w:color="auto" w:fill="000000"/>
          </w:tcPr>
          <w:p>
            <w:pPr>
              <w:spacing w:after="0" w:line="20" w:lineRule="exact"/>
              <w:rPr>
                <w:sz w:val="1"/>
                <w:szCs w:val="1"/>
                <w:color w:val="auto"/>
              </w:rPr>
            </w:pPr>
          </w:p>
        </w:tc>
      </w:tr>
    </w:tbl>
    <w:p>
      <w:pPr>
        <w:spacing w:after="0" w:line="108" w:lineRule="exact"/>
        <w:rPr>
          <w:sz w:val="20"/>
          <w:szCs w:val="20"/>
          <w:color w:val="auto"/>
        </w:rPr>
      </w:pPr>
    </w:p>
    <w:p>
      <w:pPr>
        <w:jc w:val="both"/>
        <w:ind w:left="200" w:right="119"/>
        <w:spacing w:after="0" w:line="283" w:lineRule="auto"/>
        <w:rPr>
          <w:sz w:val="20"/>
          <w:szCs w:val="20"/>
          <w:color w:val="auto"/>
        </w:rPr>
      </w:pPr>
      <w:r>
        <w:rPr>
          <w:rFonts w:ascii="Arial" w:cs="Arial" w:eastAsia="Arial" w:hAnsi="Arial"/>
          <w:sz w:val="14"/>
          <w:szCs w:val="14"/>
          <w:color w:val="auto"/>
        </w:rPr>
        <w:t>Awards vest on a straight-line interpolated basis between each threshold listed above up to the maximum percentage listed in each table. For example, a total growth in EPS of -8% versus the 2024 actual would result in 31% of the PSUs vesting. Innospec TSR performance is compared to Comparator Group companies, and its relative percentile ranking determines the corresponding payout based on the schedule displayed above, with linear interpolation determining payouts between levels listed in the table above.</w:t>
      </w:r>
    </w:p>
    <w:p>
      <w:pPr>
        <w:spacing w:after="0" w:line="76"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The grants are issued on a date set by the Compensation Committee each year. This is usually after the public announcement of annual financial results. The Compensation Committee determines the grant date to be used in advance and determines the number of RSUs and PSUs to be granted by dividing the target value for each executive (determined as described below in the Grant Policy Section) by the price of a share of stock (the stock price used is typically the closing stock price at the end of the day prior to the agreed grant date).</w:t>
      </w:r>
    </w:p>
    <w:p>
      <w:pPr>
        <w:spacing w:after="0" w:line="82"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The Committee does not consider material non-public information when determining the timing or terms of equity awards, nor do we time disclosures of material non-public information for the purpose of affecting the value of executive compensation with such awards.</w:t>
      </w:r>
    </w:p>
    <w:p>
      <w:pPr>
        <w:spacing w:after="0" w:line="88"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The RSUs and PSUs granted under the Omnibus Plan are intended to deliver an overall long-term incentive award in line with the grant policy as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2143125</wp:posOffset>
            </wp:positionV>
            <wp:extent cx="297180" cy="290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3" w:name="page74"/>
    <w:bookmarkEnd w:id="73"/>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auto"/>
        </w:rPr>
        <w:t>Grant Policy</w:t>
      </w:r>
    </w:p>
    <w:p>
      <w:pPr>
        <w:spacing w:after="0" w:line="128"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In setting the policy for fair value of the awards granted under the Omnibus Plan, the Compensation Committee considered market median practice in both the U.S. and the U.K., given the number of executives who are based in the U.K. Unless otherwise determined by the Compensation Committee for a particular executive, the grant policy provides for the fair value of the target amounts as follows:</w:t>
      </w:r>
    </w:p>
    <w:p>
      <w:pPr>
        <w:spacing w:after="0" w:line="77" w:lineRule="exact"/>
        <w:rPr>
          <w:sz w:val="20"/>
          <w:szCs w:val="20"/>
          <w:color w:val="auto"/>
        </w:rPr>
      </w:pPr>
    </w:p>
    <w:tbl>
      <w:tblPr>
        <w:tblLayout w:type="fixed"/>
        <w:tblInd w:w="1390" w:type="dxa"/>
        <w:tblCellMar>
          <w:top w:w="0" w:type="dxa"/>
          <w:left w:w="0" w:type="dxa"/>
          <w:bottom w:w="0" w:type="dxa"/>
          <w:right w:w="0" w:type="dxa"/>
        </w:tblCellMar>
      </w:tblPr>
      <w:tr>
        <w:trPr>
          <w:trHeight w:val="233"/>
        </w:trPr>
        <w:tc>
          <w:tcPr>
            <w:tcW w:w="2800" w:type="dxa"/>
            <w:vAlign w:val="bottom"/>
            <w:tcBorders>
              <w:right w:val="single" w:sz="8" w:color="auto"/>
            </w:tcBorders>
          </w:tcPr>
          <w:p>
            <w:pPr>
              <w:spacing w:after="0"/>
              <w:rPr>
                <w:sz w:val="20"/>
                <w:szCs w:val="20"/>
                <w:color w:val="auto"/>
              </w:rPr>
            </w:pPr>
          </w:p>
        </w:tc>
        <w:tc>
          <w:tcPr>
            <w:tcW w:w="356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Fair Value of Grants of RSUs and PSUs</w:t>
            </w:r>
          </w:p>
        </w:tc>
      </w:tr>
      <w:tr>
        <w:trPr>
          <w:trHeight w:val="224"/>
        </w:trPr>
        <w:tc>
          <w:tcPr>
            <w:tcW w:w="2800" w:type="dxa"/>
            <w:vAlign w:val="bottom"/>
            <w:tcBorders>
              <w:right w:val="single" w:sz="8" w:color="auto"/>
            </w:tcBorders>
          </w:tcPr>
          <w:p>
            <w:pPr>
              <w:spacing w:after="0"/>
              <w:rPr>
                <w:sz w:val="19"/>
                <w:szCs w:val="19"/>
                <w:color w:val="auto"/>
              </w:rPr>
            </w:pPr>
          </w:p>
        </w:tc>
        <w:tc>
          <w:tcPr>
            <w:tcW w:w="356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3"/>
                <w:szCs w:val="13"/>
                <w:b w:val="1"/>
                <w:bCs w:val="1"/>
                <w:color w:val="FFFFFF"/>
              </w:rPr>
              <w:t>as % of base salary</w:t>
            </w:r>
          </w:p>
        </w:tc>
      </w:tr>
      <w:tr>
        <w:trPr>
          <w:trHeight w:val="263"/>
        </w:trPr>
        <w:tc>
          <w:tcPr>
            <w:tcW w:w="280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Chief Executive Officer</w:t>
            </w:r>
          </w:p>
        </w:tc>
        <w:tc>
          <w:tcPr>
            <w:tcW w:w="35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250%</w:t>
            </w:r>
          </w:p>
        </w:tc>
      </w:tr>
      <w:tr>
        <w:trPr>
          <w:trHeight w:val="238"/>
        </w:trPr>
        <w:tc>
          <w:tcPr>
            <w:tcW w:w="2800" w:type="dxa"/>
            <w:vAlign w:val="bottom"/>
            <w:tcBorders>
              <w:top w:val="single" w:sz="8" w:color="auto"/>
              <w:left w:val="single" w:sz="8" w:color="auto"/>
              <w:bottom w:val="single" w:sz="8" w:color="EDF2F8"/>
              <w:right w:val="single" w:sz="8" w:color="auto"/>
            </w:tcBorders>
            <w:shd w:val="clear" w:color="auto" w:fill="EDF2F8"/>
          </w:tcPr>
          <w:p>
            <w:pPr>
              <w:ind w:left="100"/>
              <w:spacing w:after="0"/>
              <w:rPr>
                <w:sz w:val="20"/>
                <w:szCs w:val="20"/>
                <w:color w:val="auto"/>
              </w:rPr>
            </w:pPr>
            <w:r>
              <w:rPr>
                <w:rFonts w:ascii="Arial" w:cs="Arial" w:eastAsia="Arial" w:hAnsi="Arial"/>
                <w:sz w:val="13"/>
                <w:szCs w:val="13"/>
                <w:color w:val="auto"/>
              </w:rPr>
              <w:t>Executive Officers</w:t>
            </w:r>
          </w:p>
        </w:tc>
        <w:tc>
          <w:tcPr>
            <w:tcW w:w="356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110%</w:t>
            </w:r>
          </w:p>
        </w:tc>
      </w:tr>
      <w:tr>
        <w:trPr>
          <w:trHeight w:val="20"/>
        </w:trPr>
        <w:tc>
          <w:tcPr>
            <w:tcW w:w="28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560" w:type="dxa"/>
            <w:vAlign w:val="bottom"/>
            <w:tcBorders>
              <w:right w:val="single" w:sz="8" w:color="auto"/>
            </w:tcBorders>
            <w:shd w:val="clear" w:color="auto" w:fill="000000"/>
          </w:tcPr>
          <w:p>
            <w:pPr>
              <w:spacing w:after="0" w:line="20" w:lineRule="exact"/>
              <w:rPr>
                <w:sz w:val="1"/>
                <w:szCs w:val="1"/>
                <w:color w:val="auto"/>
              </w:rPr>
            </w:pPr>
          </w:p>
        </w:tc>
      </w:tr>
    </w:tbl>
    <w:p>
      <w:pPr>
        <w:spacing w:after="0" w:line="108" w:lineRule="exact"/>
        <w:rPr>
          <w:sz w:val="20"/>
          <w:szCs w:val="20"/>
          <w:color w:val="auto"/>
        </w:rPr>
      </w:pPr>
    </w:p>
    <w:p>
      <w:pPr>
        <w:ind w:left="200" w:right="139"/>
        <w:spacing w:after="0" w:line="281" w:lineRule="auto"/>
        <w:rPr>
          <w:sz w:val="20"/>
          <w:szCs w:val="20"/>
          <w:color w:val="auto"/>
        </w:rPr>
      </w:pPr>
      <w:r>
        <w:rPr>
          <w:rFonts w:ascii="Arial" w:cs="Arial" w:eastAsia="Arial" w:hAnsi="Arial"/>
          <w:sz w:val="15"/>
          <w:szCs w:val="15"/>
          <w:color w:val="auto"/>
        </w:rPr>
        <w:t>The Compensation Committee determined the actual levels of grant utilizing the following matrices taking account of personal performance where:</w:t>
      </w:r>
    </w:p>
    <w:p>
      <w:pPr>
        <w:spacing w:after="0" w:line="97" w:lineRule="exact"/>
        <w:rPr>
          <w:sz w:val="20"/>
          <w:szCs w:val="20"/>
          <w:color w:val="auto"/>
        </w:rPr>
      </w:pPr>
    </w:p>
    <w:tbl>
      <w:tblPr>
        <w:tblLayout w:type="fixed"/>
        <w:tblInd w:w="1060" w:type="dxa"/>
        <w:tblCellMar>
          <w:top w:w="0" w:type="dxa"/>
          <w:left w:w="0" w:type="dxa"/>
          <w:bottom w:w="0" w:type="dxa"/>
          <w:right w:w="0" w:type="dxa"/>
        </w:tblCellMar>
      </w:tblPr>
      <w:tr>
        <w:trPr>
          <w:trHeight w:val="196"/>
        </w:trPr>
        <w:tc>
          <w:tcPr>
            <w:tcW w:w="1240" w:type="dxa"/>
            <w:vAlign w:val="bottom"/>
          </w:tcPr>
          <w:p>
            <w:pPr>
              <w:spacing w:after="0"/>
              <w:rPr>
                <w:sz w:val="20"/>
                <w:szCs w:val="20"/>
                <w:color w:val="auto"/>
              </w:rPr>
            </w:pPr>
            <w:r>
              <w:rPr>
                <w:rFonts w:ascii="Arial" w:cs="Arial" w:eastAsia="Arial" w:hAnsi="Arial"/>
                <w:sz w:val="15"/>
                <w:szCs w:val="15"/>
                <w:color w:val="auto"/>
              </w:rPr>
              <w:t>Rating 1</w:t>
            </w:r>
          </w:p>
        </w:tc>
        <w:tc>
          <w:tcPr>
            <w:tcW w:w="5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80" w:type="dxa"/>
            <w:vAlign w:val="bottom"/>
          </w:tcPr>
          <w:p>
            <w:pPr>
              <w:ind w:left="100"/>
              <w:spacing w:after="0"/>
              <w:rPr>
                <w:sz w:val="20"/>
                <w:szCs w:val="20"/>
                <w:color w:val="auto"/>
              </w:rPr>
            </w:pPr>
            <w:r>
              <w:rPr>
                <w:rFonts w:ascii="Arial" w:cs="Arial" w:eastAsia="Arial" w:hAnsi="Arial"/>
                <w:sz w:val="15"/>
                <w:szCs w:val="15"/>
                <w:color w:val="auto"/>
              </w:rPr>
              <w:t>Outstanding performance</w:t>
            </w:r>
          </w:p>
        </w:tc>
        <w:tc>
          <w:tcPr>
            <w:tcW w:w="2060" w:type="dxa"/>
            <w:vAlign w:val="bottom"/>
          </w:tcPr>
          <w:p>
            <w:pPr>
              <w:ind w:left="320"/>
              <w:spacing w:after="0"/>
              <w:rPr>
                <w:sz w:val="20"/>
                <w:szCs w:val="20"/>
                <w:color w:val="auto"/>
              </w:rPr>
            </w:pPr>
            <w:r>
              <w:rPr>
                <w:rFonts w:ascii="Arial" w:cs="Arial" w:eastAsia="Arial" w:hAnsi="Arial"/>
                <w:sz w:val="15"/>
                <w:szCs w:val="15"/>
                <w:color w:val="auto"/>
                <w:w w:val="97"/>
              </w:rPr>
              <w:t>- 150% of policy is granted</w:t>
            </w:r>
          </w:p>
        </w:tc>
      </w:tr>
      <w:tr>
        <w:trPr>
          <w:trHeight w:val="223"/>
        </w:trPr>
        <w:tc>
          <w:tcPr>
            <w:tcW w:w="1240" w:type="dxa"/>
            <w:vAlign w:val="bottom"/>
          </w:tcPr>
          <w:p>
            <w:pPr>
              <w:spacing w:after="0"/>
              <w:rPr>
                <w:sz w:val="20"/>
                <w:szCs w:val="20"/>
                <w:color w:val="auto"/>
              </w:rPr>
            </w:pPr>
            <w:r>
              <w:rPr>
                <w:rFonts w:ascii="Arial" w:cs="Arial" w:eastAsia="Arial" w:hAnsi="Arial"/>
                <w:sz w:val="15"/>
                <w:szCs w:val="15"/>
                <w:color w:val="auto"/>
              </w:rPr>
              <w:t>Rating 2</w:t>
            </w:r>
          </w:p>
        </w:tc>
        <w:tc>
          <w:tcPr>
            <w:tcW w:w="5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80" w:type="dxa"/>
            <w:vAlign w:val="bottom"/>
          </w:tcPr>
          <w:p>
            <w:pPr>
              <w:ind w:left="100"/>
              <w:spacing w:after="0"/>
              <w:rPr>
                <w:sz w:val="20"/>
                <w:szCs w:val="20"/>
                <w:color w:val="auto"/>
              </w:rPr>
            </w:pPr>
            <w:r>
              <w:rPr>
                <w:rFonts w:ascii="Arial" w:cs="Arial" w:eastAsia="Arial" w:hAnsi="Arial"/>
                <w:sz w:val="15"/>
                <w:szCs w:val="15"/>
                <w:color w:val="auto"/>
              </w:rPr>
              <w:t>Exceeding expectations</w:t>
            </w:r>
          </w:p>
        </w:tc>
        <w:tc>
          <w:tcPr>
            <w:tcW w:w="2060" w:type="dxa"/>
            <w:vAlign w:val="bottom"/>
          </w:tcPr>
          <w:p>
            <w:pPr>
              <w:ind w:left="320"/>
              <w:spacing w:after="0"/>
              <w:rPr>
                <w:sz w:val="20"/>
                <w:szCs w:val="20"/>
                <w:color w:val="auto"/>
              </w:rPr>
            </w:pPr>
            <w:r>
              <w:rPr>
                <w:rFonts w:ascii="Arial" w:cs="Arial" w:eastAsia="Arial" w:hAnsi="Arial"/>
                <w:sz w:val="15"/>
                <w:szCs w:val="15"/>
                <w:color w:val="auto"/>
                <w:w w:val="97"/>
              </w:rPr>
              <w:t>- 125% of policy is granted</w:t>
            </w:r>
          </w:p>
        </w:tc>
      </w:tr>
      <w:tr>
        <w:trPr>
          <w:trHeight w:val="223"/>
        </w:trPr>
        <w:tc>
          <w:tcPr>
            <w:tcW w:w="1240" w:type="dxa"/>
            <w:vAlign w:val="bottom"/>
          </w:tcPr>
          <w:p>
            <w:pPr>
              <w:spacing w:after="0"/>
              <w:rPr>
                <w:sz w:val="20"/>
                <w:szCs w:val="20"/>
                <w:color w:val="auto"/>
              </w:rPr>
            </w:pPr>
            <w:r>
              <w:rPr>
                <w:rFonts w:ascii="Arial" w:cs="Arial" w:eastAsia="Arial" w:hAnsi="Arial"/>
                <w:sz w:val="15"/>
                <w:szCs w:val="15"/>
                <w:color w:val="auto"/>
              </w:rPr>
              <w:t>Rating 3</w:t>
            </w:r>
          </w:p>
        </w:tc>
        <w:tc>
          <w:tcPr>
            <w:tcW w:w="5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80" w:type="dxa"/>
            <w:vAlign w:val="bottom"/>
          </w:tcPr>
          <w:p>
            <w:pPr>
              <w:ind w:left="100"/>
              <w:spacing w:after="0"/>
              <w:rPr>
                <w:sz w:val="20"/>
                <w:szCs w:val="20"/>
                <w:color w:val="auto"/>
              </w:rPr>
            </w:pPr>
            <w:r>
              <w:rPr>
                <w:rFonts w:ascii="Arial" w:cs="Arial" w:eastAsia="Arial" w:hAnsi="Arial"/>
                <w:sz w:val="15"/>
                <w:szCs w:val="15"/>
                <w:color w:val="auto"/>
              </w:rPr>
              <w:t>Good performance</w:t>
            </w:r>
          </w:p>
        </w:tc>
        <w:tc>
          <w:tcPr>
            <w:tcW w:w="2060" w:type="dxa"/>
            <w:vAlign w:val="bottom"/>
          </w:tcPr>
          <w:p>
            <w:pPr>
              <w:ind w:left="320"/>
              <w:spacing w:after="0"/>
              <w:rPr>
                <w:sz w:val="20"/>
                <w:szCs w:val="20"/>
                <w:color w:val="auto"/>
              </w:rPr>
            </w:pPr>
            <w:r>
              <w:rPr>
                <w:rFonts w:ascii="Arial" w:cs="Arial" w:eastAsia="Arial" w:hAnsi="Arial"/>
                <w:sz w:val="15"/>
                <w:szCs w:val="15"/>
                <w:color w:val="auto"/>
                <w:w w:val="97"/>
              </w:rPr>
              <w:t>- 100% of policy is granted</w:t>
            </w:r>
          </w:p>
        </w:tc>
      </w:tr>
      <w:tr>
        <w:trPr>
          <w:trHeight w:val="223"/>
        </w:trPr>
        <w:tc>
          <w:tcPr>
            <w:tcW w:w="1240" w:type="dxa"/>
            <w:vAlign w:val="bottom"/>
          </w:tcPr>
          <w:p>
            <w:pPr>
              <w:spacing w:after="0"/>
              <w:rPr>
                <w:sz w:val="20"/>
                <w:szCs w:val="20"/>
                <w:color w:val="auto"/>
              </w:rPr>
            </w:pPr>
            <w:r>
              <w:rPr>
                <w:rFonts w:ascii="Arial" w:cs="Arial" w:eastAsia="Arial" w:hAnsi="Arial"/>
                <w:sz w:val="15"/>
                <w:szCs w:val="15"/>
                <w:color w:val="auto"/>
              </w:rPr>
              <w:t>Rating 4 or 5</w:t>
            </w:r>
          </w:p>
        </w:tc>
        <w:tc>
          <w:tcPr>
            <w:tcW w:w="5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080" w:type="dxa"/>
            <w:vAlign w:val="bottom"/>
          </w:tcPr>
          <w:p>
            <w:pPr>
              <w:ind w:left="100"/>
              <w:spacing w:after="0"/>
              <w:rPr>
                <w:sz w:val="20"/>
                <w:szCs w:val="20"/>
                <w:color w:val="auto"/>
              </w:rPr>
            </w:pPr>
            <w:r>
              <w:rPr>
                <w:rFonts w:ascii="Arial" w:cs="Arial" w:eastAsia="Arial" w:hAnsi="Arial"/>
                <w:sz w:val="15"/>
                <w:szCs w:val="15"/>
                <w:color w:val="auto"/>
              </w:rPr>
              <w:t>Below Expectations</w:t>
            </w:r>
          </w:p>
        </w:tc>
        <w:tc>
          <w:tcPr>
            <w:tcW w:w="2060" w:type="dxa"/>
            <w:vAlign w:val="bottom"/>
          </w:tcPr>
          <w:p>
            <w:pPr>
              <w:ind w:left="320"/>
              <w:spacing w:after="0"/>
              <w:rPr>
                <w:sz w:val="20"/>
                <w:szCs w:val="20"/>
                <w:color w:val="auto"/>
              </w:rPr>
            </w:pPr>
            <w:r>
              <w:rPr>
                <w:rFonts w:ascii="Arial" w:cs="Arial" w:eastAsia="Arial" w:hAnsi="Arial"/>
                <w:sz w:val="15"/>
                <w:szCs w:val="15"/>
                <w:color w:val="auto"/>
              </w:rPr>
              <w:t>- No grant is made</w:t>
            </w:r>
          </w:p>
        </w:tc>
      </w:tr>
    </w:tbl>
    <w:p>
      <w:pPr>
        <w:spacing w:after="0" w:line="11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personal rating impacts on the amount of actual grant awarded as follows:</w:t>
      </w:r>
    </w:p>
    <w:p>
      <w:pPr>
        <w:sectPr>
          <w:pgSz w:w="11900" w:h="16838" w:orient="portrait"/>
          <w:cols w:equalWidth="0" w:num="1">
            <w:col w:w="9019"/>
          </w:cols>
          <w:pgMar w:left="1440" w:top="1440" w:right="1440" w:bottom="1440" w:gutter="0" w:footer="0" w:header="0"/>
        </w:sectPr>
      </w:pPr>
    </w:p>
    <w:p>
      <w:pPr>
        <w:spacing w:after="0" w:line="123" w:lineRule="exact"/>
        <w:rPr>
          <w:sz w:val="20"/>
          <w:szCs w:val="20"/>
          <w:color w:val="auto"/>
        </w:rPr>
      </w:pPr>
    </w:p>
    <w:tbl>
      <w:tblPr>
        <w:tblLayout w:type="fixed"/>
        <w:tblInd w:w="210" w:type="dxa"/>
        <w:tblCellMar>
          <w:top w:w="0" w:type="dxa"/>
          <w:left w:w="0" w:type="dxa"/>
          <w:bottom w:w="0" w:type="dxa"/>
          <w:right w:w="0" w:type="dxa"/>
        </w:tblCellMar>
      </w:tblPr>
      <w:tr>
        <w:trPr>
          <w:trHeight w:val="283"/>
        </w:trPr>
        <w:tc>
          <w:tcPr>
            <w:tcW w:w="1200" w:type="dxa"/>
            <w:vAlign w:val="bottom"/>
            <w:tcBorders>
              <w:top w:val="single" w:sz="8" w:color="auto"/>
              <w:left w:val="single" w:sz="8" w:color="auto"/>
              <w:bottom w:val="single" w:sz="8" w:color="4F81BD"/>
              <w:right w:val="single" w:sz="8" w:color="4F81BD"/>
            </w:tcBorders>
            <w:shd w:val="clear" w:color="auto" w:fill="4F81BD"/>
          </w:tcPr>
          <w:p>
            <w:pPr>
              <w:spacing w:after="0"/>
              <w:rPr>
                <w:sz w:val="24"/>
                <w:szCs w:val="24"/>
                <w:color w:val="auto"/>
              </w:rPr>
            </w:pPr>
          </w:p>
        </w:tc>
        <w:tc>
          <w:tcPr>
            <w:tcW w:w="3120" w:type="dxa"/>
            <w:vAlign w:val="bottom"/>
            <w:tcBorders>
              <w:top w:val="single" w:sz="8" w:color="auto"/>
              <w:bottom w:val="single" w:sz="8" w:color="4F81BD"/>
              <w:right w:val="single" w:sz="8" w:color="auto"/>
            </w:tcBorders>
            <w:shd w:val="clear" w:color="auto" w:fill="4F81BD"/>
          </w:tcPr>
          <w:p>
            <w:pPr>
              <w:ind w:left="220"/>
              <w:spacing w:after="0"/>
              <w:rPr>
                <w:sz w:val="20"/>
                <w:szCs w:val="20"/>
                <w:color w:val="auto"/>
              </w:rPr>
            </w:pPr>
            <w:r>
              <w:rPr>
                <w:rFonts w:ascii="Arial" w:cs="Arial" w:eastAsia="Arial" w:hAnsi="Arial"/>
                <w:sz w:val="13"/>
                <w:szCs w:val="13"/>
                <w:b w:val="1"/>
                <w:bCs w:val="1"/>
                <w:color w:val="FFFFFF"/>
              </w:rPr>
              <w:t>Chief Executive Officer</w:t>
            </w:r>
          </w:p>
        </w:tc>
      </w:tr>
      <w:tr>
        <w:trPr>
          <w:trHeight w:val="213"/>
        </w:trPr>
        <w:tc>
          <w:tcPr>
            <w:tcW w:w="1200" w:type="dxa"/>
            <w:vAlign w:val="bottom"/>
            <w:tcBorders>
              <w:top w:val="single" w:sz="8" w:color="auto"/>
              <w:left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b w:val="1"/>
                <w:bCs w:val="1"/>
                <w:color w:val="auto"/>
              </w:rPr>
              <w:t>Performance</w:t>
            </w:r>
          </w:p>
        </w:tc>
        <w:tc>
          <w:tcPr>
            <w:tcW w:w="3120" w:type="dxa"/>
            <w:vAlign w:val="bottom"/>
            <w:tcBorders>
              <w:top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b w:val="1"/>
                <w:bCs w:val="1"/>
                <w:color w:val="auto"/>
              </w:rPr>
              <w:t>Fair Value of Grants of RSUs and</w:t>
            </w:r>
          </w:p>
        </w:tc>
      </w:tr>
      <w:tr>
        <w:trPr>
          <w:trHeight w:val="229"/>
        </w:trPr>
        <w:tc>
          <w:tcPr>
            <w:tcW w:w="1200" w:type="dxa"/>
            <w:vAlign w:val="bottom"/>
            <w:tcBorders>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b w:val="1"/>
                <w:bCs w:val="1"/>
                <w:color w:val="auto"/>
                <w:w w:val="99"/>
              </w:rPr>
              <w:t>rating</w:t>
            </w:r>
          </w:p>
        </w:tc>
        <w:tc>
          <w:tcPr>
            <w:tcW w:w="3120" w:type="dxa"/>
            <w:vAlign w:val="bottom"/>
            <w:tcBorders>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b w:val="1"/>
                <w:bCs w:val="1"/>
                <w:color w:val="auto"/>
              </w:rPr>
              <w:t>PSUs as % of base salary</w:t>
            </w:r>
          </w:p>
        </w:tc>
      </w:tr>
      <w:tr>
        <w:trPr>
          <w:trHeight w:val="263"/>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1</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375</w:t>
            </w:r>
          </w:p>
        </w:tc>
      </w:tr>
      <w:tr>
        <w:trPr>
          <w:trHeight w:val="263"/>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2</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8"/>
              </w:rPr>
              <w:t>312.5</w:t>
            </w:r>
          </w:p>
        </w:tc>
      </w:tr>
      <w:tr>
        <w:trPr>
          <w:trHeight w:val="263"/>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3</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250</w:t>
            </w:r>
          </w:p>
        </w:tc>
      </w:tr>
      <w:tr>
        <w:trPr>
          <w:trHeight w:val="263"/>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4</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0</w:t>
            </w:r>
          </w:p>
        </w:tc>
      </w:tr>
      <w:tr>
        <w:trPr>
          <w:trHeight w:val="238"/>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5</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0</w:t>
            </w:r>
          </w:p>
        </w:tc>
      </w:tr>
      <w:tr>
        <w:trPr>
          <w:trHeight w:val="20"/>
        </w:trPr>
        <w:tc>
          <w:tcPr>
            <w:tcW w:w="1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1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3"/>
        </w:trPr>
        <w:tc>
          <w:tcPr>
            <w:tcW w:w="1200" w:type="dxa"/>
            <w:vAlign w:val="bottom"/>
            <w:tcBorders>
              <w:top w:val="single" w:sz="8" w:color="auto"/>
              <w:left w:val="single" w:sz="8" w:color="auto"/>
              <w:bottom w:val="single" w:sz="8" w:color="4F81BD"/>
              <w:right w:val="single" w:sz="8" w:color="4F81BD"/>
            </w:tcBorders>
            <w:shd w:val="clear" w:color="auto" w:fill="4F81BD"/>
          </w:tcPr>
          <w:p>
            <w:pPr>
              <w:spacing w:after="0"/>
              <w:rPr>
                <w:sz w:val="24"/>
                <w:szCs w:val="24"/>
                <w:color w:val="auto"/>
              </w:rPr>
            </w:pPr>
          </w:p>
        </w:tc>
        <w:tc>
          <w:tcPr>
            <w:tcW w:w="3120" w:type="dxa"/>
            <w:vAlign w:val="bottom"/>
            <w:tcBorders>
              <w:top w:val="single" w:sz="8" w:color="auto"/>
              <w:bottom w:val="single" w:sz="8" w:color="4F81BD"/>
              <w:right w:val="single" w:sz="8" w:color="auto"/>
            </w:tcBorders>
            <w:shd w:val="clear" w:color="auto" w:fill="4F81BD"/>
          </w:tcPr>
          <w:p>
            <w:pPr>
              <w:ind w:left="380"/>
              <w:spacing w:after="0"/>
              <w:rPr>
                <w:sz w:val="20"/>
                <w:szCs w:val="20"/>
                <w:color w:val="auto"/>
              </w:rPr>
            </w:pPr>
            <w:r>
              <w:rPr>
                <w:rFonts w:ascii="Arial" w:cs="Arial" w:eastAsia="Arial" w:hAnsi="Arial"/>
                <w:sz w:val="13"/>
                <w:szCs w:val="13"/>
                <w:b w:val="1"/>
                <w:bCs w:val="1"/>
                <w:color w:val="FFFFFF"/>
              </w:rPr>
              <w:t>Executive Officers</w:t>
            </w:r>
          </w:p>
        </w:tc>
      </w:tr>
      <w:tr>
        <w:trPr>
          <w:trHeight w:val="213"/>
        </w:trPr>
        <w:tc>
          <w:tcPr>
            <w:tcW w:w="1200" w:type="dxa"/>
            <w:vAlign w:val="bottom"/>
            <w:tcBorders>
              <w:top w:val="single" w:sz="8" w:color="auto"/>
              <w:left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b w:val="1"/>
                <w:bCs w:val="1"/>
                <w:color w:val="auto"/>
              </w:rPr>
              <w:t>Performance</w:t>
            </w:r>
          </w:p>
        </w:tc>
        <w:tc>
          <w:tcPr>
            <w:tcW w:w="3120" w:type="dxa"/>
            <w:vAlign w:val="bottom"/>
            <w:tcBorders>
              <w:top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3"/>
                <w:szCs w:val="13"/>
                <w:b w:val="1"/>
                <w:bCs w:val="1"/>
                <w:color w:val="auto"/>
              </w:rPr>
              <w:t>Fair Value of Grants of RSUs and</w:t>
            </w:r>
          </w:p>
        </w:tc>
      </w:tr>
      <w:tr>
        <w:trPr>
          <w:trHeight w:val="229"/>
        </w:trPr>
        <w:tc>
          <w:tcPr>
            <w:tcW w:w="1200" w:type="dxa"/>
            <w:vAlign w:val="bottom"/>
            <w:tcBorders>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b w:val="1"/>
                <w:bCs w:val="1"/>
                <w:color w:val="auto"/>
              </w:rPr>
              <w:t>rating</w:t>
            </w:r>
          </w:p>
        </w:tc>
        <w:tc>
          <w:tcPr>
            <w:tcW w:w="3120" w:type="dxa"/>
            <w:vAlign w:val="bottom"/>
            <w:tcBorders>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b w:val="1"/>
                <w:bCs w:val="1"/>
                <w:color w:val="auto"/>
              </w:rPr>
              <w:t>PSUs as % of base salary</w:t>
            </w:r>
          </w:p>
        </w:tc>
      </w:tr>
      <w:tr>
        <w:trPr>
          <w:trHeight w:val="263"/>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1</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165</w:t>
            </w:r>
          </w:p>
        </w:tc>
      </w:tr>
      <w:tr>
        <w:trPr>
          <w:trHeight w:val="263"/>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2</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8"/>
              </w:rPr>
              <w:t>137.5</w:t>
            </w:r>
          </w:p>
        </w:tc>
      </w:tr>
      <w:tr>
        <w:trPr>
          <w:trHeight w:val="263"/>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3</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w w:val="92"/>
              </w:rPr>
              <w:t>110</w:t>
            </w:r>
          </w:p>
        </w:tc>
      </w:tr>
      <w:tr>
        <w:trPr>
          <w:trHeight w:val="263"/>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4</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0</w:t>
            </w:r>
          </w:p>
        </w:tc>
      </w:tr>
      <w:tr>
        <w:trPr>
          <w:trHeight w:val="238"/>
        </w:trPr>
        <w:tc>
          <w:tcPr>
            <w:tcW w:w="1200" w:type="dxa"/>
            <w:vAlign w:val="bottom"/>
            <w:tcBorders>
              <w:top w:val="single" w:sz="8" w:color="auto"/>
              <w:left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5</w:t>
            </w:r>
          </w:p>
        </w:tc>
        <w:tc>
          <w:tcPr>
            <w:tcW w:w="3120" w:type="dxa"/>
            <w:vAlign w:val="bottom"/>
            <w:tcBorders>
              <w:top w:val="single" w:sz="8" w:color="auto"/>
              <w:bottom w:val="single" w:sz="8" w:color="EDF2F8"/>
              <w:right w:val="single" w:sz="8" w:color="auto"/>
            </w:tcBorders>
            <w:shd w:val="clear" w:color="auto" w:fill="EDF2F8"/>
          </w:tcPr>
          <w:p>
            <w:pPr>
              <w:jc w:val="center"/>
              <w:spacing w:after="0"/>
              <w:rPr>
                <w:sz w:val="20"/>
                <w:szCs w:val="20"/>
                <w:color w:val="auto"/>
              </w:rPr>
            </w:pPr>
            <w:r>
              <w:rPr>
                <w:rFonts w:ascii="Arial" w:cs="Arial" w:eastAsia="Arial" w:hAnsi="Arial"/>
                <w:sz w:val="13"/>
                <w:szCs w:val="13"/>
                <w:color w:val="auto"/>
              </w:rPr>
              <w:t>0</w:t>
            </w:r>
          </w:p>
        </w:tc>
      </w:tr>
      <w:tr>
        <w:trPr>
          <w:trHeight w:val="20"/>
        </w:trPr>
        <w:tc>
          <w:tcPr>
            <w:tcW w:w="1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120" w:type="dxa"/>
            <w:vAlign w:val="bottom"/>
            <w:tcBorders>
              <w:right w:val="single" w:sz="8" w:color="auto"/>
            </w:tcBorders>
            <w:shd w:val="clear" w:color="auto" w:fill="000000"/>
          </w:tcPr>
          <w:p>
            <w:pPr>
              <w:spacing w:after="0" w:line="20" w:lineRule="exact"/>
              <w:rPr>
                <w:sz w:val="1"/>
                <w:szCs w:val="1"/>
                <w:color w:val="auto"/>
              </w:rPr>
            </w:pPr>
          </w:p>
        </w:tc>
      </w:tr>
    </w:tbl>
    <w:p>
      <w:pPr>
        <w:spacing w:after="0" w:line="108" w:lineRule="exact"/>
        <w:rPr>
          <w:sz w:val="20"/>
          <w:szCs w:val="20"/>
          <w:color w:val="auto"/>
        </w:rPr>
      </w:pPr>
    </w:p>
    <w:p>
      <w:pPr>
        <w:sectPr>
          <w:pgSz w:w="11900" w:h="16838" w:orient="portrait"/>
          <w:cols w:equalWidth="0" w:num="2">
            <w:col w:w="4500" w:space="100"/>
            <w:col w:w="4419"/>
          </w:cols>
          <w:pgMar w:left="1440" w:top="1440" w:right="1440" w:bottom="1440" w:gutter="0" w:footer="0" w:header="0"/>
          <w:type w:val="continuous"/>
        </w:sectPr>
      </w:pPr>
    </w:p>
    <w:p>
      <w:pPr>
        <w:jc w:val="both"/>
        <w:ind w:left="200" w:right="139"/>
        <w:spacing w:after="0" w:line="256" w:lineRule="auto"/>
        <w:rPr>
          <w:sz w:val="20"/>
          <w:szCs w:val="20"/>
          <w:color w:val="auto"/>
        </w:rPr>
      </w:pPr>
      <w:r>
        <w:rPr>
          <w:rFonts w:ascii="Arial" w:cs="Arial" w:eastAsia="Arial" w:hAnsi="Arial"/>
          <w:sz w:val="15"/>
          <w:szCs w:val="15"/>
          <w:color w:val="auto"/>
        </w:rPr>
        <w:t>The performance of the NEOs, other than the CEO, is assessed by the CEO and the Compensation Committee. The CEO recommends a rating to the Compensation Committee. The Compensation Committee reviews these and separately assesses the performance of the CEO and makes a final recommendation on performance ratings for all Executive Officers to the full Board for approval. This provides a rigorous performance-related grant policy, in addition to the performance elements of the grants themselves.</w:t>
      </w:r>
    </w:p>
    <w:p>
      <w:pPr>
        <w:spacing w:after="0" w:line="82" w:lineRule="exact"/>
        <w:rPr>
          <w:sz w:val="20"/>
          <w:szCs w:val="20"/>
          <w:color w:val="auto"/>
        </w:rPr>
      </w:pPr>
    </w:p>
    <w:p>
      <w:pPr>
        <w:jc w:val="both"/>
        <w:ind w:left="200" w:right="139"/>
        <w:spacing w:after="0" w:line="253" w:lineRule="auto"/>
        <w:rPr>
          <w:sz w:val="20"/>
          <w:szCs w:val="20"/>
          <w:color w:val="auto"/>
        </w:rPr>
      </w:pPr>
      <w:r>
        <w:rPr>
          <w:rFonts w:ascii="Arial" w:cs="Arial" w:eastAsia="Arial" w:hAnsi="Arial"/>
          <w:sz w:val="15"/>
          <w:szCs w:val="15"/>
          <w:color w:val="auto"/>
        </w:rPr>
        <w:t>In 2025, Mr. Williams was granted long-term incentive awards at 150% of the policy levels for this role (which means that the fair value of his RSU and PSU grant amount was equal to 375% of his base salary). In the case of the other NEOs, based on the assessment of their individual performance as approved by the Committee, all except Mr. Cleminson were eligible for awards at 150% of the policy level (which means that the fair value of their RSU and PSU grant amounts was equal to 165% of their respective base salaries). To recognize Mr. Cleminson’s increased value to the CEO in his role as CFO, in 2025 the Compensation Committee increased the base policy level from 110% to 125% for his role. Therefore, the fair value of RSU and PSU grant amounts for Mr. Cleminson was equal to 187.5% of his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1938020</wp:posOffset>
            </wp:positionV>
            <wp:extent cx="297180" cy="290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4" w:name="page75"/>
    <w:bookmarkEnd w:id="74"/>
    <w:p>
      <w:pPr>
        <w:spacing w:after="0" w:line="100" w:lineRule="exact"/>
        <w:rPr>
          <w:sz w:val="20"/>
          <w:szCs w:val="20"/>
          <w:color w:val="auto"/>
        </w:rPr>
      </w:pPr>
    </w:p>
    <w:p>
      <w:pPr>
        <w:jc w:val="both"/>
        <w:ind w:left="200" w:right="139"/>
        <w:spacing w:after="0" w:line="281" w:lineRule="auto"/>
        <w:rPr>
          <w:sz w:val="20"/>
          <w:szCs w:val="20"/>
          <w:color w:val="auto"/>
        </w:rPr>
      </w:pPr>
      <w:r>
        <w:rPr>
          <w:rFonts w:ascii="Arial" w:cs="Arial" w:eastAsia="Arial" w:hAnsi="Arial"/>
          <w:sz w:val="15"/>
          <w:szCs w:val="15"/>
          <w:color w:val="auto"/>
        </w:rPr>
        <w:t>In line with the Compensation Committee’s policy, 70% of the fair value of the awards due under the policy will be made in the form of cash-settled and stock-settled PSUs under the Omnibus Plan, with the remaining 30% made in the form of RSUs.</w:t>
      </w:r>
    </w:p>
    <w:p>
      <w:pPr>
        <w:spacing w:after="0" w:line="75"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The Compensation Committee has determined that to help manage burn rates, the level of full-value stock-settled awards in any one year should be restricted to a burn rate of no more than 1% of the Company’s stock outstanding with the balance of long-term incentives granted as cash-settled PSUs that do not impact the burn rate. In 2025, the level of RSUs and stock-settled PSUs under the policy was less than 1% of the Company’s stock outstanding.</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5"/>
          <w:szCs w:val="15"/>
          <w:b w:val="1"/>
          <w:bCs w:val="1"/>
          <w:u w:val="single" w:color="auto"/>
          <w:color w:val="auto"/>
        </w:rPr>
        <w:t>Exceptional Stock and Option Awards</w:t>
      </w:r>
    </w:p>
    <w:p>
      <w:pPr>
        <w:spacing w:after="0" w:line="128"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The Compensation Committee also has the discretion to grant full value awards, options and cash incentive awards under the Omnibus Plan outside of the stated policy to reflect extraordinary corporate performance. In addition, the Compensation Committee has the discretion to grant full value awards, options and cash incentive awards under the Omnibus Plan outside of the standard policy levels and annual grant process for retention or recruitment purposes. In 2025, no such awards were made to any of the NEOs.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Other Pay Programs and Policies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00" w:lineRule="exact"/>
        <w:rPr>
          <w:sz w:val="20"/>
          <w:szCs w:val="20"/>
          <w:color w:val="auto"/>
        </w:rPr>
      </w:pPr>
    </w:p>
    <w:p>
      <w:pPr>
        <w:jc w:val="both"/>
        <w:ind w:left="200" w:right="119"/>
        <w:spacing w:after="0" w:line="252" w:lineRule="auto"/>
        <w:rPr>
          <w:sz w:val="20"/>
          <w:szCs w:val="20"/>
          <w:color w:val="auto"/>
        </w:rPr>
      </w:pPr>
      <w:r>
        <w:rPr>
          <w:rFonts w:ascii="Arial" w:cs="Arial" w:eastAsia="Arial" w:hAnsi="Arial"/>
          <w:sz w:val="15"/>
          <w:szCs w:val="15"/>
          <w:color w:val="auto"/>
        </w:rPr>
        <w:t>To further align stockholder and Executive Officer interests, the Company has continued to require minimum stockholding levels for the Executive Officers. In 2025, the Compensation Committee reviewed the company’s Stock Ownership Guidelines which resulted in updates to the Guidelines that align more closely with market norms. The CEO is now required to acquire and hold stock valued at the equivalent of five times his base salary and all other Executive Officers are still required to acquire and hold stock valued at the equivalent of two times their base salary. Stock which is registered in the Executive Officer’s name or held beneficially in a “street name” on behalf of such Executive Officer as well as unvested RSUs are considered for these purposes. These levels of stockholding must be reached within five years of appointment to an Executive Officer role. At the end of 2025, all NEOs were compliant with the Company’s Stock Ownership Guidelines.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111"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The Company offers a Non-qualified Deferred Compensation Plan (the “Deferred Plan”). The select group of highly compensated employees eligible for the Deferred Plan is designated by the Company in its sole discretion, subject to top hat requirements. Eligible participants are permitted to elect to defer up to 25% of their base salary and up to 100% of any performance-based compensation which is paid in cash. In 2025, Mr. Williams and Mr. Jones were the only NEOs eligible to participate in the Deferred Plan.</w:t>
      </w:r>
    </w:p>
    <w:p>
      <w:pPr>
        <w:spacing w:after="0" w:line="82" w:lineRule="exact"/>
        <w:rPr>
          <w:sz w:val="20"/>
          <w:szCs w:val="20"/>
          <w:color w:val="auto"/>
        </w:rPr>
      </w:pPr>
    </w:p>
    <w:p>
      <w:pPr>
        <w:jc w:val="both"/>
        <w:ind w:left="200" w:right="119"/>
        <w:spacing w:after="0" w:line="252" w:lineRule="auto"/>
        <w:rPr>
          <w:sz w:val="20"/>
          <w:szCs w:val="20"/>
          <w:color w:val="auto"/>
        </w:rPr>
      </w:pPr>
      <w:r>
        <w:rPr>
          <w:rFonts w:ascii="Arial" w:cs="Arial" w:eastAsia="Arial" w:hAnsi="Arial"/>
          <w:sz w:val="15"/>
          <w:szCs w:val="15"/>
          <w:color w:val="auto"/>
        </w:rPr>
        <w:t>The Company may make discretionary contributions in any given Deferred Plan year equal to the amount of Company contributions that would have otherwise been allocated to the participant under a qualified plan. In this case, such Company contributions are equal to the amount of the participant’s eligible profit-sharing contributions that exceed IRS employee plus employer contribution limits under the qualified plan. Additionally, the Company has complete discretion to determine each year whether to make an additional annual contribution on behalf of some or all participants in the Deferred Plan. Other discretionary employer contribution factors may include, but are not limited to, achievement of Company financial performance objectives. In 2026, Mr. Williams was credited with a discretionary Company contribution of $38,359, which accrued during fiscal year 2025. In 2026, Mr. Jones was also credited with a discretionary Company contribution of $38,359, which accrued during fiscal year 2025.</w:t>
      </w:r>
    </w:p>
    <w:p>
      <w:pPr>
        <w:spacing w:after="0" w:line="99"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The amounts deferred are credited to accounts hypothetically invested in investments selected by the participant that mirror the investment alternatives available in the Company’s qualified retirement savings plans subject to Internal Revenue Code (“IRC”) Section 401(a). Each participant in the Deferred Plan is 100% vested in that portion of their account that is attributable to employee elective deferrals. For participants receiving an employer discretionary contribution, the “3 Year Cliff” vesting schedule from the date of contribution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1907540</wp:posOffset>
            </wp:positionV>
            <wp:extent cx="297180" cy="290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5" w:name="page76"/>
    <w:bookmarkEnd w:id="75"/>
    <w:p>
      <w:pPr>
        <w:spacing w:after="0" w:line="100" w:lineRule="exact"/>
        <w:rPr>
          <w:sz w:val="20"/>
          <w:szCs w:val="20"/>
          <w:color w:val="auto"/>
        </w:rPr>
      </w:pPr>
    </w:p>
    <w:p>
      <w:pPr>
        <w:jc w:val="both"/>
        <w:ind w:left="200" w:right="139"/>
        <w:spacing w:after="0" w:line="252" w:lineRule="auto"/>
        <w:rPr>
          <w:sz w:val="20"/>
          <w:szCs w:val="20"/>
          <w:color w:val="auto"/>
        </w:rPr>
      </w:pPr>
      <w:r>
        <w:rPr>
          <w:rFonts w:ascii="Arial" w:cs="Arial" w:eastAsia="Arial" w:hAnsi="Arial"/>
          <w:sz w:val="15"/>
          <w:szCs w:val="15"/>
          <w:color w:val="auto"/>
        </w:rPr>
        <w:t>Distribution of a participant’s vested accounts for participants who have reached Retirement (i.e. age 50 with a minimum of five years of service) will begin within 60 days of the participant’s separation from service, pursuant to the form of payment selected (lump-sum or installments over a period not to exceed 10 years) on properly executed election forms. Vested account benefits will be paid in one lump sum to the participant’s beneficiary in the event of the participant’s death in service. A participant’s vested account benefits will be paid to the participant in one lump sum in the event of separation from service that is not a Retirement. The Deferred Plan is subject to the rules of IRC Section 409A, which restricts the timing of distributions made to specified employees. As a result, commencement of payments to any eligible NEO participating in the Deferred Plan must be delayed for at least six months after separation from service.</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Benefits and Perquisites</w:t>
      </w:r>
    </w:p>
    <w:p>
      <w:pPr>
        <w:spacing w:after="0" w:line="100"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We provide our NEOs with pension arrangements, and life, disability and medical insurance coverage consistent with that provided to all full-time employees or senior managers, as applicable, in the relevant geographic area. In addition, we provide a company car or car allowance to our NEOs in some regions, consistent with that provided to all senior employees in that region. Full details are set out in the table “All Other Compensation”, following the “Summary Compensation Table.”</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Post-termination Compensation</w:t>
      </w:r>
    </w:p>
    <w:p>
      <w:pPr>
        <w:spacing w:after="0" w:line="111"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Post-termination arrangements vary depending on the nature of the termination event and are designed to be in accordance with U.S. and U.K. market norms, depending on where the executive is based. Full details are set out in the footnotes to the “Post Employment Payments” table.</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1" w:lineRule="exact"/>
        <w:rPr>
          <w:sz w:val="20"/>
          <w:szCs w:val="20"/>
          <w:color w:val="auto"/>
        </w:rPr>
      </w:pPr>
    </w:p>
    <w:p>
      <w:pPr>
        <w:jc w:val="both"/>
        <w:ind w:left="200" w:right="119"/>
        <w:spacing w:after="0" w:line="250" w:lineRule="auto"/>
        <w:rPr>
          <w:sz w:val="20"/>
          <w:szCs w:val="20"/>
          <w:color w:val="auto"/>
        </w:rPr>
      </w:pPr>
      <w:r>
        <w:rPr>
          <w:rFonts w:ascii="Arial" w:cs="Arial" w:eastAsia="Arial" w:hAnsi="Arial"/>
          <w:sz w:val="15"/>
          <w:szCs w:val="15"/>
          <w:color w:val="auto"/>
        </w:rPr>
        <w:t>Each of the NEOs has a rolling 12-month employment agreement with the Company. Under these agreements, the Company can terminate the agreement without cause by giving one year’s notice to the NEO. In the case of Mr. Williams, he can terminate the agreement by giving the Company one year’s notice, while the other NEOs are required to give the Company six months’ notice if they wish to terminate the agreement. The employment agreement for each of the NEOs also includes a “Change of Control” clause. This specifies that, in the event of a change of control of the Company, if the Company terminates the NEO within 12 months after the change of control, or if the NEO terminates their employment within 12 months for good reason, the NEO will be entitled to a compensation payment. If the Company terminates the employment of the NEO during this period, the payment is calculated as 24 months’ compensation, defined as base salary, bonus at target and any car allowance from the date of notice of termination. If the NEO terminates their employment for good reason during this period, the payment is calculated as 24 months’ compensation, as defined above, from the date of the change of control. In addition, under the rules of the stock option plans, all options would vest on the change of control. The NEOs are treated in the same way as other employees who hold options under the plans. A change of control is deemed to have occurred if a person or group becomes the beneficial owner of 30% or more of the combined voting power of the Company; there is a consolidation or merger and the Company is not the surviving company; the stockholders of the Company approve plans or proposals for a liquidation or dissolution of the Company or, if, following a cash offer or merger, the members of the Board cease to constitute a majority of the Board. In addition, under their employment agreement, each of the NEOs, including the CEO and the CFO, is subject to a 12-month non-solicitation period, with respect to customers and employees, and a 12-month non-compete period, from the date their employment with the Company ends.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0"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The Company has entered into indemnification agreements with each of the Directors and NEOs in furtherance of the indemnification provisions contained in the Company’s Certificate of Incorporation and Bylaws, which indemnify the directors and officers of the Company to the fullest extent authorized or permitted by law. The indemnification agreements provide for indemnification arising out of specified indemnifiable events, such as events relating to the fact that the indemnitee is or was a director or officer or agent of the Company or any subsidiary of the Company or is or was a director, officer member, manager, trustee or agent of another entity at the request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2022475</wp:posOffset>
            </wp:positionV>
            <wp:extent cx="297180" cy="290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6" w:name="page77"/>
    <w:bookmarkEnd w:id="76"/>
    <w:p>
      <w:pPr>
        <w:spacing w:after="0" w:line="100"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Company, including any action or inaction by the indemnitee in such a capacity. The indemnification agreements provide for advancement of expenses prior to final adjudication of the claim. To the extent that indemnification is unavailable, the agreements provide for contribution. The indemnification agreements set forth procedures relating to indemnification claims. The agreements also provide for maintenance of directors’ and officers’ liability insurance.</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 Employee Sharesave Plan</w:t>
      </w:r>
    </w:p>
    <w:p>
      <w:pPr>
        <w:spacing w:after="0" w:line="100"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The Company provides a broad-based employee stock purchase plan, which gives eligible employees the right to acquire Common Stock through payroll deductions over a pre-determined period at a purchase price which reflects a 15% discount (20% for participants outside of the U.S.) to the market price of our Common Stock as of the beginning of the offering period. In general, deductions are made over a 24-month period (36 months for participants outside the U.S.). No participant may purchase more than $25,000 in value of Common Stock under this plan in any calendar year. Mr. Williams, Mr. Cleminson and Dr. McRobbie participated in the Sharesave Plan in 2025.</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1" w:lineRule="exact"/>
        <w:rPr>
          <w:sz w:val="20"/>
          <w:szCs w:val="20"/>
          <w:color w:val="auto"/>
        </w:rPr>
      </w:pPr>
    </w:p>
    <w:p>
      <w:pPr>
        <w:jc w:val="both"/>
        <w:ind w:left="200" w:right="119"/>
        <w:spacing w:after="0" w:line="251" w:lineRule="auto"/>
        <w:rPr>
          <w:sz w:val="20"/>
          <w:szCs w:val="20"/>
          <w:color w:val="auto"/>
        </w:rPr>
      </w:pPr>
      <w:r>
        <w:rPr>
          <w:rFonts w:ascii="Arial" w:cs="Arial" w:eastAsia="Arial" w:hAnsi="Arial"/>
          <w:sz w:val="15"/>
          <w:szCs w:val="15"/>
          <w:color w:val="auto"/>
        </w:rPr>
        <w:t>In 2023, the Company adopted a clawback policy as required by the requirements of Rule 10D-1 (which was adopted by the US Securities and Exchange Commission (SEC) to implement a mandate of Dodd-Frank Wall Street Reform and Consumer Protection Act) and the requirements of the Nasdaq listing standards adopted pursuant to Rule 10D-1. The clawback policy requires clawback of erroneously paid incentive compensation paid to current and former executive officers in the event of a restatement of the Company’s financial statements (without regard to the fault of the executive). Restatements that trigger such recoupment include restatements due to material noncompliance with any financial reporting requirement applicable to the Company under the federal securities laws and restatements to correct an error in previously issued financial statements that is material to the previously issued financial statements, or that would result in a material misstatement if the error were corrected in the current period or left uncorrected in the current period. Except in very limited circumstances, in the event of such a restatement, the clawback policy requires the recoupment of incentive compensation paid to the executive officer in excess of the amount that would have been paid if the amount of such incentive compensation had been based on the restated financial statements.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Tax Matters</w:t>
      </w:r>
    </w:p>
    <w:p>
      <w:pPr>
        <w:spacing w:after="0" w:line="111"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IRC Section 162(m) limits the deductibility of annual compensation in excess of $1 million paid to “covered employees” (as defined by the IRC) of the Company with some limited exceptions for compensation paid pursuant to certain arrangements in place on November 2, 2017. For 2018 and after, our covered employees generally include anyone who (i) was the CEO or CFO at any time during the year, (ii) was one of the other NEOs who was an Executive Officer as of the last day of the fiscal year, and (iii) was a covered employee for any previous year after 2016.</w:t>
      </w:r>
    </w:p>
    <w:p>
      <w:pPr>
        <w:spacing w:after="0" w:line="93" w:lineRule="exact"/>
        <w:rPr>
          <w:sz w:val="20"/>
          <w:szCs w:val="20"/>
          <w:color w:val="auto"/>
        </w:rPr>
      </w:pPr>
    </w:p>
    <w:p>
      <w:pPr>
        <w:jc w:val="both"/>
        <w:ind w:left="200" w:right="119"/>
        <w:spacing w:after="0" w:line="254" w:lineRule="auto"/>
        <w:rPr>
          <w:sz w:val="20"/>
          <w:szCs w:val="20"/>
          <w:color w:val="auto"/>
        </w:rPr>
      </w:pPr>
      <w:r>
        <w:rPr>
          <w:rFonts w:ascii="Arial" w:cs="Arial" w:eastAsia="Arial" w:hAnsi="Arial"/>
          <w:sz w:val="15"/>
          <w:szCs w:val="15"/>
          <w:color w:val="auto"/>
        </w:rPr>
        <w:t>As with prior years, although the Compensation Committee will consider deductibility under IRC Section 162(m) with respect to the compensation arrangements for Executive Officers, deductibility will not be the sole factor used in determining appropriate levels or methods of compensation. Since our compensation objectives may not always be consistent with the requirements for full deductibility, we and our subsidiaries may enter into or modify compensation arrangements under which payments would not be deductible under Section 162(m) if the Compensation Committee believes that it is in the best interest of the Company and its stockholders.</w:t>
      </w:r>
    </w:p>
    <w:p>
      <w:pPr>
        <w:spacing w:after="0" w:line="85"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In addition, IRC Section 409A imposes restrictions on non-qualified deferred compensation plans. The deferred compensation plans maintained by the Company are structured to either be exempt from the requirements of IRC Section 409A or, if not exempt, to satisfy the requirements of IRC Section 409A, and the Company has reviewed and, where appropriate, has amended each of its deferred compensation plans to meet the requirements of IRC Section 409A.</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of Accounting Treatment</w:t>
      </w:r>
    </w:p>
    <w:p>
      <w:pPr>
        <w:spacing w:after="0" w:line="111"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The Company accounts for employee stock options, RSUs, PSUs and its employee Sharesave plan in accordance with generally accepted accounting principles. For further information on stock-based compensation, see Note 18 to our consolidated financial statements included in our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1748155</wp:posOffset>
            </wp:positionV>
            <wp:extent cx="297180" cy="290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7" w:name="page78"/>
    <w:bookmarkEnd w:id="77"/>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4F81BD"/>
        </w:rPr>
        <w:t>COMPENSATION COMMITTEE REPORT</w:t>
      </w:r>
    </w:p>
    <w:p>
      <w:pPr>
        <w:spacing w:after="0" w:line="190" w:lineRule="exact"/>
        <w:rPr>
          <w:sz w:val="20"/>
          <w:szCs w:val="20"/>
          <w:color w:val="auto"/>
        </w:rPr>
      </w:pPr>
    </w:p>
    <w:p>
      <w:pPr>
        <w:jc w:val="both"/>
        <w:ind w:left="200" w:right="139"/>
        <w:spacing w:after="0" w:line="268" w:lineRule="auto"/>
        <w:rPr>
          <w:sz w:val="20"/>
          <w:szCs w:val="20"/>
          <w:color w:val="auto"/>
        </w:rPr>
      </w:pPr>
      <w:r>
        <w:rPr>
          <w:rFonts w:ascii="Arial" w:cs="Arial" w:eastAsia="Arial" w:hAnsi="Arial"/>
          <w:sz w:val="15"/>
          <w:szCs w:val="15"/>
          <w:color w:val="auto"/>
        </w:rPr>
        <w:t xml:space="preserve">The Compensation Committee assists the Board in its oversight of the Company’s compensation process. The Compensation Committee’s responsibilities are more fully described in its charter, which is accessible on Innospec’s website at </w:t>
      </w:r>
      <w:r>
        <w:rPr>
          <w:rFonts w:ascii="Arial" w:cs="Arial" w:eastAsia="Arial" w:hAnsi="Arial"/>
          <w:sz w:val="15"/>
          <w:szCs w:val="15"/>
          <w:b w:val="1"/>
          <w:bCs w:val="1"/>
          <w:i w:val="1"/>
          <w:iCs w:val="1"/>
          <w:color w:val="4F81BD"/>
        </w:rPr>
        <w:t>www.innospec.com/corporate-governance</w:t>
      </w:r>
      <w:r>
        <w:rPr>
          <w:rFonts w:ascii="Arial" w:cs="Arial" w:eastAsia="Arial" w:hAnsi="Arial"/>
          <w:sz w:val="15"/>
          <w:szCs w:val="15"/>
          <w:color w:val="000000"/>
        </w:rPr>
        <w:t>.</w:t>
      </w:r>
    </w:p>
    <w:p>
      <w:pPr>
        <w:spacing w:after="0" w:line="68"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The Compensation Committee has reviewed and discussed the foregoing Compensation Discussion and Analysis with management. Based on that review and those discussions, the Compensation Committee recommended to the Board that the Compensation Discussion and Analysis be included in the Company’s 2026 Proxy Statement and incorporated by reference into the Company’s Annual Report on Form 10-K for the fiscal year ended December 31, 2025. This report is provided by the following independent directors, who comprise the Compensation Committee.</w:t>
      </w:r>
    </w:p>
    <w:p>
      <w:pPr>
        <w:spacing w:after="0" w:line="93"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No portion of this Compensation Committee Report shall be deemed to be incorporated by reference into any filing under the Securities Act of 1933, as amended (“Securities Act”) or the Securities Exchange Act of 1934, as amended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to be filed under the Securities Act or the Exchange Act.</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COMPENSATION COMMITTEE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LAWRENCE J. PADFIELD, Chair</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MILTON C. BLACKMORE</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CLAUDIA P. POCCIA</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LESLIE J. PARRETTE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4749165</wp:posOffset>
            </wp:positionV>
            <wp:extent cx="297180" cy="290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8" w:name="page79"/>
    <w:bookmarkEnd w:id="78"/>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9AB956"/>
        </w:rPr>
        <w:t>COMPENSATION TABLES</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9AB956"/>
        </w:rPr>
        <w:t>SUMMARY COMPENSATION TABLE</w:t>
      </w:r>
    </w:p>
    <w:p>
      <w:pPr>
        <w:spacing w:after="0" w:line="190" w:lineRule="exact"/>
        <w:rPr>
          <w:sz w:val="20"/>
          <w:szCs w:val="20"/>
          <w:color w:val="auto"/>
        </w:rPr>
      </w:pPr>
    </w:p>
    <w:tbl>
      <w:tblPr>
        <w:tblLayout w:type="fixed"/>
        <w:tblInd w:w="210" w:type="dxa"/>
        <w:tblCellMar>
          <w:top w:w="0" w:type="dxa"/>
          <w:left w:w="0" w:type="dxa"/>
          <w:bottom w:w="0" w:type="dxa"/>
          <w:right w:w="0" w:type="dxa"/>
        </w:tblCellMar>
      </w:tblPr>
      <w:tr>
        <w:trPr>
          <w:trHeight w:val="203"/>
        </w:trPr>
        <w:tc>
          <w:tcPr>
            <w:tcW w:w="1760" w:type="dxa"/>
            <w:vAlign w:val="bottom"/>
            <w:tcBorders>
              <w:top w:val="single" w:sz="8" w:color="auto"/>
              <w:left w:val="single" w:sz="8" w:color="auto"/>
            </w:tcBorders>
            <w:shd w:val="clear" w:color="auto" w:fill="9AB956"/>
          </w:tcPr>
          <w:p>
            <w:pPr>
              <w:ind w:left="300"/>
              <w:spacing w:after="0"/>
              <w:rPr>
                <w:sz w:val="20"/>
                <w:szCs w:val="20"/>
                <w:color w:val="auto"/>
              </w:rPr>
            </w:pPr>
            <w:r>
              <w:rPr>
                <w:rFonts w:ascii="Arial" w:cs="Arial" w:eastAsia="Arial" w:hAnsi="Arial"/>
                <w:sz w:val="10"/>
                <w:szCs w:val="10"/>
                <w:b w:val="1"/>
                <w:bCs w:val="1"/>
                <w:color w:val="FFFFFF"/>
              </w:rPr>
              <w:t>Name &amp; Principal Position</w:t>
            </w:r>
          </w:p>
        </w:tc>
        <w:tc>
          <w:tcPr>
            <w:tcW w:w="520" w:type="dxa"/>
            <w:vAlign w:val="bottom"/>
            <w:tcBorders>
              <w:top w:val="single" w:sz="8" w:color="auto"/>
            </w:tcBorders>
            <w:shd w:val="clear" w:color="auto" w:fill="9AB956"/>
          </w:tcPr>
          <w:p>
            <w:pPr>
              <w:ind w:left="160"/>
              <w:spacing w:after="0"/>
              <w:rPr>
                <w:sz w:val="20"/>
                <w:szCs w:val="20"/>
                <w:color w:val="auto"/>
              </w:rPr>
            </w:pPr>
            <w:r>
              <w:rPr>
                <w:rFonts w:ascii="Arial" w:cs="Arial" w:eastAsia="Arial" w:hAnsi="Arial"/>
                <w:sz w:val="10"/>
                <w:szCs w:val="10"/>
                <w:b w:val="1"/>
                <w:bCs w:val="1"/>
                <w:color w:val="FFFFFF"/>
              </w:rPr>
              <w:t>Year</w:t>
            </w:r>
          </w:p>
        </w:tc>
        <w:tc>
          <w:tcPr>
            <w:tcW w:w="760" w:type="dxa"/>
            <w:vAlign w:val="bottom"/>
            <w:tcBorders>
              <w:top w:val="single" w:sz="8" w:color="auto"/>
            </w:tcBorders>
            <w:shd w:val="clear" w:color="auto" w:fill="9AB956"/>
          </w:tcPr>
          <w:p>
            <w:pPr>
              <w:ind w:left="240"/>
              <w:spacing w:after="0"/>
              <w:rPr>
                <w:sz w:val="20"/>
                <w:szCs w:val="20"/>
                <w:color w:val="auto"/>
              </w:rPr>
            </w:pPr>
            <w:r>
              <w:rPr>
                <w:rFonts w:ascii="Arial" w:cs="Arial" w:eastAsia="Arial" w:hAnsi="Arial"/>
                <w:sz w:val="10"/>
                <w:szCs w:val="10"/>
                <w:b w:val="1"/>
                <w:bCs w:val="1"/>
                <w:color w:val="FFFFFF"/>
              </w:rPr>
              <w:t>Salary</w:t>
            </w:r>
          </w:p>
        </w:tc>
        <w:tc>
          <w:tcPr>
            <w:tcW w:w="580" w:type="dxa"/>
            <w:vAlign w:val="bottom"/>
            <w:tcBorders>
              <w:top w:val="single" w:sz="8" w:color="auto"/>
            </w:tcBorders>
            <w:shd w:val="clear" w:color="auto" w:fill="9AB956"/>
          </w:tcPr>
          <w:p>
            <w:pPr>
              <w:ind w:left="140"/>
              <w:spacing w:after="0"/>
              <w:rPr>
                <w:sz w:val="20"/>
                <w:szCs w:val="20"/>
                <w:color w:val="auto"/>
              </w:rPr>
            </w:pPr>
            <w:r>
              <w:rPr>
                <w:rFonts w:ascii="Arial" w:cs="Arial" w:eastAsia="Arial" w:hAnsi="Arial"/>
                <w:sz w:val="10"/>
                <w:szCs w:val="10"/>
                <w:b w:val="1"/>
                <w:bCs w:val="1"/>
                <w:color w:val="FFFFFF"/>
              </w:rPr>
              <w:t>Bonus</w:t>
            </w:r>
          </w:p>
        </w:tc>
        <w:tc>
          <w:tcPr>
            <w:tcW w:w="68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5"/>
              </w:rPr>
              <w:t>Stock</w:t>
            </w:r>
          </w:p>
        </w:tc>
        <w:tc>
          <w:tcPr>
            <w:tcW w:w="70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9"/>
              </w:rPr>
              <w:t>Option</w:t>
            </w:r>
          </w:p>
        </w:tc>
        <w:tc>
          <w:tcPr>
            <w:tcW w:w="94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3"/>
              </w:rPr>
              <w:t>Non-Equity</w:t>
            </w:r>
          </w:p>
        </w:tc>
        <w:tc>
          <w:tcPr>
            <w:tcW w:w="76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9"/>
              </w:rPr>
              <w:t>Change in</w:t>
            </w:r>
          </w:p>
        </w:tc>
        <w:tc>
          <w:tcPr>
            <w:tcW w:w="1000" w:type="dxa"/>
            <w:vAlign w:val="bottom"/>
            <w:tcBorders>
              <w:top w:val="single" w:sz="8" w:color="auto"/>
            </w:tcBorders>
            <w:shd w:val="clear" w:color="auto" w:fill="9AB956"/>
          </w:tcPr>
          <w:p>
            <w:pPr>
              <w:jc w:val="center"/>
              <w:ind w:right="32"/>
              <w:spacing w:after="0"/>
              <w:rPr>
                <w:sz w:val="20"/>
                <w:szCs w:val="20"/>
                <w:color w:val="auto"/>
              </w:rPr>
            </w:pPr>
            <w:r>
              <w:rPr>
                <w:rFonts w:ascii="Arial" w:cs="Arial" w:eastAsia="Arial" w:hAnsi="Arial"/>
                <w:sz w:val="10"/>
                <w:szCs w:val="10"/>
                <w:b w:val="1"/>
                <w:bCs w:val="1"/>
                <w:color w:val="FFFFFF"/>
                <w:w w:val="94"/>
              </w:rPr>
              <w:t>All Other</w:t>
            </w:r>
          </w:p>
        </w:tc>
        <w:tc>
          <w:tcPr>
            <w:tcW w:w="1020" w:type="dxa"/>
            <w:vAlign w:val="bottom"/>
            <w:tcBorders>
              <w:top w:val="single" w:sz="8" w:color="auto"/>
              <w:right w:val="single" w:sz="8" w:color="auto"/>
            </w:tcBorders>
            <w:shd w:val="clear" w:color="auto" w:fill="9AB956"/>
          </w:tcPr>
          <w:p>
            <w:pPr>
              <w:ind w:left="340"/>
              <w:spacing w:after="0"/>
              <w:rPr>
                <w:sz w:val="20"/>
                <w:szCs w:val="20"/>
                <w:color w:val="auto"/>
              </w:rPr>
            </w:pPr>
            <w:r>
              <w:rPr>
                <w:rFonts w:ascii="Arial" w:cs="Arial" w:eastAsia="Arial" w:hAnsi="Arial"/>
                <w:sz w:val="10"/>
                <w:szCs w:val="10"/>
                <w:b w:val="1"/>
                <w:bCs w:val="1"/>
                <w:color w:val="FFFFFF"/>
              </w:rPr>
              <w:t>Total</w:t>
            </w:r>
          </w:p>
        </w:tc>
        <w:tc>
          <w:tcPr>
            <w:tcW w:w="0" w:type="dxa"/>
            <w:vAlign w:val="bottom"/>
          </w:tcPr>
          <w:p>
            <w:pPr>
              <w:spacing w:after="0"/>
              <w:rPr>
                <w:sz w:val="1"/>
                <w:szCs w:val="1"/>
                <w:color w:val="auto"/>
              </w:rPr>
            </w:pPr>
          </w:p>
        </w:tc>
      </w:tr>
      <w:tr>
        <w:trPr>
          <w:trHeight w:val="178"/>
        </w:trPr>
        <w:tc>
          <w:tcPr>
            <w:tcW w:w="1760" w:type="dxa"/>
            <w:vAlign w:val="bottom"/>
            <w:tcBorders>
              <w:left w:val="single" w:sz="8" w:color="auto"/>
            </w:tcBorders>
            <w:shd w:val="clear" w:color="auto" w:fill="9AB956"/>
          </w:tcPr>
          <w:p>
            <w:pPr>
              <w:spacing w:after="0"/>
              <w:rPr>
                <w:sz w:val="15"/>
                <w:szCs w:val="15"/>
                <w:color w:val="auto"/>
              </w:rPr>
            </w:pPr>
          </w:p>
        </w:tc>
        <w:tc>
          <w:tcPr>
            <w:tcW w:w="520" w:type="dxa"/>
            <w:vAlign w:val="bottom"/>
            <w:shd w:val="clear" w:color="auto" w:fill="9AB956"/>
          </w:tcPr>
          <w:p>
            <w:pPr>
              <w:spacing w:after="0"/>
              <w:rPr>
                <w:sz w:val="15"/>
                <w:szCs w:val="15"/>
                <w:color w:val="auto"/>
              </w:rPr>
            </w:pPr>
          </w:p>
        </w:tc>
        <w:tc>
          <w:tcPr>
            <w:tcW w:w="760" w:type="dxa"/>
            <w:vAlign w:val="bottom"/>
            <w:shd w:val="clear" w:color="auto" w:fill="9AB956"/>
          </w:tcPr>
          <w:p>
            <w:pPr>
              <w:spacing w:after="0"/>
              <w:rPr>
                <w:sz w:val="15"/>
                <w:szCs w:val="15"/>
                <w:color w:val="auto"/>
              </w:rPr>
            </w:pPr>
          </w:p>
        </w:tc>
        <w:tc>
          <w:tcPr>
            <w:tcW w:w="580" w:type="dxa"/>
            <w:vAlign w:val="bottom"/>
            <w:shd w:val="clear" w:color="auto" w:fill="9AB956"/>
          </w:tcPr>
          <w:p>
            <w:pPr>
              <w:spacing w:after="0"/>
              <w:rPr>
                <w:sz w:val="15"/>
                <w:szCs w:val="15"/>
                <w:color w:val="auto"/>
              </w:rPr>
            </w:pPr>
          </w:p>
        </w:tc>
        <w:tc>
          <w:tcPr>
            <w:tcW w:w="68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3"/>
              </w:rPr>
              <w:t>Awards</w:t>
            </w:r>
          </w:p>
        </w:tc>
        <w:tc>
          <w:tcPr>
            <w:tcW w:w="70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3"/>
              </w:rPr>
              <w:t>Awards</w:t>
            </w:r>
          </w:p>
        </w:tc>
        <w:tc>
          <w:tcPr>
            <w:tcW w:w="94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6"/>
              </w:rPr>
              <w:t>Incentive</w:t>
            </w:r>
          </w:p>
        </w:tc>
        <w:tc>
          <w:tcPr>
            <w:tcW w:w="76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2"/>
              </w:rPr>
              <w:t>Pension</w:t>
            </w:r>
          </w:p>
        </w:tc>
        <w:tc>
          <w:tcPr>
            <w:tcW w:w="1000" w:type="dxa"/>
            <w:vAlign w:val="bottom"/>
            <w:shd w:val="clear" w:color="auto" w:fill="9AB956"/>
          </w:tcPr>
          <w:p>
            <w:pPr>
              <w:jc w:val="center"/>
              <w:ind w:right="32"/>
              <w:spacing w:after="0"/>
              <w:rPr>
                <w:sz w:val="20"/>
                <w:szCs w:val="20"/>
                <w:color w:val="auto"/>
              </w:rPr>
            </w:pPr>
            <w:r>
              <w:rPr>
                <w:rFonts w:ascii="Arial" w:cs="Arial" w:eastAsia="Arial" w:hAnsi="Arial"/>
                <w:sz w:val="10"/>
                <w:szCs w:val="10"/>
                <w:b w:val="1"/>
                <w:bCs w:val="1"/>
                <w:color w:val="FFFFFF"/>
                <w:w w:val="97"/>
              </w:rPr>
              <w:t>Compensation</w:t>
            </w:r>
          </w:p>
        </w:tc>
        <w:tc>
          <w:tcPr>
            <w:tcW w:w="1020" w:type="dxa"/>
            <w:vAlign w:val="bottom"/>
            <w:tcBorders>
              <w:right w:val="single" w:sz="8" w:color="auto"/>
            </w:tcBorders>
            <w:shd w:val="clear" w:color="auto" w:fill="9AB956"/>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60" w:type="dxa"/>
            <w:vAlign w:val="bottom"/>
            <w:tcBorders>
              <w:left w:val="single" w:sz="8" w:color="auto"/>
            </w:tcBorders>
            <w:shd w:val="clear" w:color="auto" w:fill="9AB956"/>
          </w:tcPr>
          <w:p>
            <w:pPr>
              <w:spacing w:after="0"/>
              <w:rPr>
                <w:sz w:val="15"/>
                <w:szCs w:val="15"/>
                <w:color w:val="auto"/>
              </w:rPr>
            </w:pPr>
          </w:p>
        </w:tc>
        <w:tc>
          <w:tcPr>
            <w:tcW w:w="520" w:type="dxa"/>
            <w:vAlign w:val="bottom"/>
            <w:shd w:val="clear" w:color="auto" w:fill="9AB956"/>
          </w:tcPr>
          <w:p>
            <w:pPr>
              <w:spacing w:after="0"/>
              <w:rPr>
                <w:sz w:val="15"/>
                <w:szCs w:val="15"/>
                <w:color w:val="auto"/>
              </w:rPr>
            </w:pPr>
          </w:p>
        </w:tc>
        <w:tc>
          <w:tcPr>
            <w:tcW w:w="760" w:type="dxa"/>
            <w:vAlign w:val="bottom"/>
            <w:shd w:val="clear" w:color="auto" w:fill="9AB956"/>
          </w:tcPr>
          <w:p>
            <w:pPr>
              <w:spacing w:after="0"/>
              <w:rPr>
                <w:sz w:val="15"/>
                <w:szCs w:val="15"/>
                <w:color w:val="auto"/>
              </w:rPr>
            </w:pPr>
          </w:p>
        </w:tc>
        <w:tc>
          <w:tcPr>
            <w:tcW w:w="580" w:type="dxa"/>
            <w:vAlign w:val="bottom"/>
            <w:shd w:val="clear" w:color="auto" w:fill="9AB956"/>
          </w:tcPr>
          <w:p>
            <w:pPr>
              <w:spacing w:after="0"/>
              <w:rPr>
                <w:sz w:val="15"/>
                <w:szCs w:val="15"/>
                <w:color w:val="auto"/>
              </w:rPr>
            </w:pPr>
          </w:p>
        </w:tc>
        <w:tc>
          <w:tcPr>
            <w:tcW w:w="680" w:type="dxa"/>
            <w:vAlign w:val="bottom"/>
            <w:shd w:val="clear" w:color="auto" w:fill="9AB956"/>
          </w:tcPr>
          <w:p>
            <w:pPr>
              <w:spacing w:after="0"/>
              <w:rPr>
                <w:sz w:val="15"/>
                <w:szCs w:val="15"/>
                <w:color w:val="auto"/>
              </w:rPr>
            </w:pPr>
          </w:p>
        </w:tc>
        <w:tc>
          <w:tcPr>
            <w:tcW w:w="700" w:type="dxa"/>
            <w:vAlign w:val="bottom"/>
            <w:shd w:val="clear" w:color="auto" w:fill="9AB956"/>
          </w:tcPr>
          <w:p>
            <w:pPr>
              <w:spacing w:after="0"/>
              <w:rPr>
                <w:sz w:val="15"/>
                <w:szCs w:val="15"/>
                <w:color w:val="auto"/>
              </w:rPr>
            </w:pPr>
          </w:p>
        </w:tc>
        <w:tc>
          <w:tcPr>
            <w:tcW w:w="94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4"/>
              </w:rPr>
              <w:t>Compensation</w:t>
            </w:r>
          </w:p>
        </w:tc>
        <w:tc>
          <w:tcPr>
            <w:tcW w:w="76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5"/>
              </w:rPr>
              <w:t>fund value</w:t>
            </w:r>
          </w:p>
        </w:tc>
        <w:tc>
          <w:tcPr>
            <w:tcW w:w="1000" w:type="dxa"/>
            <w:vAlign w:val="bottom"/>
            <w:shd w:val="clear" w:color="auto" w:fill="9AB956"/>
          </w:tcPr>
          <w:p>
            <w:pPr>
              <w:spacing w:after="0"/>
              <w:rPr>
                <w:sz w:val="15"/>
                <w:szCs w:val="15"/>
                <w:color w:val="auto"/>
              </w:rPr>
            </w:pPr>
          </w:p>
        </w:tc>
        <w:tc>
          <w:tcPr>
            <w:tcW w:w="1020" w:type="dxa"/>
            <w:vAlign w:val="bottom"/>
            <w:tcBorders>
              <w:right w:val="single" w:sz="8" w:color="auto"/>
            </w:tcBorders>
            <w:shd w:val="clear" w:color="auto" w:fill="9AB956"/>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60" w:type="dxa"/>
            <w:vAlign w:val="bottom"/>
            <w:tcBorders>
              <w:left w:val="single" w:sz="8" w:color="auto"/>
            </w:tcBorders>
            <w:shd w:val="clear" w:color="auto" w:fill="9AB956"/>
          </w:tcPr>
          <w:p>
            <w:pPr>
              <w:spacing w:after="0"/>
              <w:rPr>
                <w:sz w:val="15"/>
                <w:szCs w:val="15"/>
                <w:color w:val="auto"/>
              </w:rPr>
            </w:pPr>
          </w:p>
        </w:tc>
        <w:tc>
          <w:tcPr>
            <w:tcW w:w="520" w:type="dxa"/>
            <w:vAlign w:val="bottom"/>
            <w:shd w:val="clear" w:color="auto" w:fill="9AB956"/>
          </w:tcPr>
          <w:p>
            <w:pPr>
              <w:spacing w:after="0"/>
              <w:rPr>
                <w:sz w:val="15"/>
                <w:szCs w:val="15"/>
                <w:color w:val="auto"/>
              </w:rPr>
            </w:pPr>
          </w:p>
        </w:tc>
        <w:tc>
          <w:tcPr>
            <w:tcW w:w="760" w:type="dxa"/>
            <w:vAlign w:val="bottom"/>
            <w:shd w:val="clear" w:color="auto" w:fill="9AB956"/>
          </w:tcPr>
          <w:p>
            <w:pPr>
              <w:spacing w:after="0"/>
              <w:rPr>
                <w:sz w:val="15"/>
                <w:szCs w:val="15"/>
                <w:color w:val="auto"/>
              </w:rPr>
            </w:pPr>
          </w:p>
        </w:tc>
        <w:tc>
          <w:tcPr>
            <w:tcW w:w="580" w:type="dxa"/>
            <w:vAlign w:val="bottom"/>
            <w:shd w:val="clear" w:color="auto" w:fill="9AB956"/>
          </w:tcPr>
          <w:p>
            <w:pPr>
              <w:spacing w:after="0"/>
              <w:rPr>
                <w:sz w:val="15"/>
                <w:szCs w:val="15"/>
                <w:color w:val="auto"/>
              </w:rPr>
            </w:pPr>
          </w:p>
        </w:tc>
        <w:tc>
          <w:tcPr>
            <w:tcW w:w="680" w:type="dxa"/>
            <w:vAlign w:val="bottom"/>
            <w:shd w:val="clear" w:color="auto" w:fill="9AB956"/>
          </w:tcPr>
          <w:p>
            <w:pPr>
              <w:spacing w:after="0"/>
              <w:rPr>
                <w:sz w:val="15"/>
                <w:szCs w:val="15"/>
                <w:color w:val="auto"/>
              </w:rPr>
            </w:pPr>
          </w:p>
        </w:tc>
        <w:tc>
          <w:tcPr>
            <w:tcW w:w="700" w:type="dxa"/>
            <w:vAlign w:val="bottom"/>
            <w:shd w:val="clear" w:color="auto" w:fill="9AB956"/>
          </w:tcPr>
          <w:p>
            <w:pPr>
              <w:spacing w:after="0"/>
              <w:rPr>
                <w:sz w:val="15"/>
                <w:szCs w:val="15"/>
                <w:color w:val="auto"/>
              </w:rPr>
            </w:pPr>
          </w:p>
        </w:tc>
        <w:tc>
          <w:tcPr>
            <w:tcW w:w="940" w:type="dxa"/>
            <w:vAlign w:val="bottom"/>
            <w:shd w:val="clear" w:color="auto" w:fill="9AB956"/>
          </w:tcPr>
          <w:p>
            <w:pPr>
              <w:spacing w:after="0"/>
              <w:rPr>
                <w:sz w:val="15"/>
                <w:szCs w:val="15"/>
                <w:color w:val="auto"/>
              </w:rPr>
            </w:pPr>
          </w:p>
        </w:tc>
        <w:tc>
          <w:tcPr>
            <w:tcW w:w="76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6"/>
              </w:rPr>
              <w:t>and other</w:t>
            </w:r>
          </w:p>
        </w:tc>
        <w:tc>
          <w:tcPr>
            <w:tcW w:w="1000" w:type="dxa"/>
            <w:vAlign w:val="bottom"/>
            <w:shd w:val="clear" w:color="auto" w:fill="9AB956"/>
          </w:tcPr>
          <w:p>
            <w:pPr>
              <w:spacing w:after="0"/>
              <w:rPr>
                <w:sz w:val="15"/>
                <w:szCs w:val="15"/>
                <w:color w:val="auto"/>
              </w:rPr>
            </w:pPr>
          </w:p>
        </w:tc>
        <w:tc>
          <w:tcPr>
            <w:tcW w:w="1020" w:type="dxa"/>
            <w:vAlign w:val="bottom"/>
            <w:tcBorders>
              <w:right w:val="single" w:sz="8" w:color="auto"/>
            </w:tcBorders>
            <w:shd w:val="clear" w:color="auto" w:fill="9AB956"/>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60" w:type="dxa"/>
            <w:vAlign w:val="bottom"/>
            <w:tcBorders>
              <w:left w:val="single" w:sz="8" w:color="auto"/>
            </w:tcBorders>
            <w:shd w:val="clear" w:color="auto" w:fill="9AB956"/>
          </w:tcPr>
          <w:p>
            <w:pPr>
              <w:spacing w:after="0"/>
              <w:rPr>
                <w:sz w:val="15"/>
                <w:szCs w:val="15"/>
                <w:color w:val="auto"/>
              </w:rPr>
            </w:pPr>
          </w:p>
        </w:tc>
        <w:tc>
          <w:tcPr>
            <w:tcW w:w="520" w:type="dxa"/>
            <w:vAlign w:val="bottom"/>
            <w:shd w:val="clear" w:color="auto" w:fill="9AB956"/>
          </w:tcPr>
          <w:p>
            <w:pPr>
              <w:spacing w:after="0"/>
              <w:rPr>
                <w:sz w:val="15"/>
                <w:szCs w:val="15"/>
                <w:color w:val="auto"/>
              </w:rPr>
            </w:pPr>
          </w:p>
        </w:tc>
        <w:tc>
          <w:tcPr>
            <w:tcW w:w="760" w:type="dxa"/>
            <w:vAlign w:val="bottom"/>
            <w:shd w:val="clear" w:color="auto" w:fill="9AB956"/>
          </w:tcPr>
          <w:p>
            <w:pPr>
              <w:spacing w:after="0"/>
              <w:rPr>
                <w:sz w:val="15"/>
                <w:szCs w:val="15"/>
                <w:color w:val="auto"/>
              </w:rPr>
            </w:pPr>
          </w:p>
        </w:tc>
        <w:tc>
          <w:tcPr>
            <w:tcW w:w="580" w:type="dxa"/>
            <w:vAlign w:val="bottom"/>
            <w:shd w:val="clear" w:color="auto" w:fill="9AB956"/>
          </w:tcPr>
          <w:p>
            <w:pPr>
              <w:spacing w:after="0"/>
              <w:rPr>
                <w:sz w:val="15"/>
                <w:szCs w:val="15"/>
                <w:color w:val="auto"/>
              </w:rPr>
            </w:pPr>
          </w:p>
        </w:tc>
        <w:tc>
          <w:tcPr>
            <w:tcW w:w="680" w:type="dxa"/>
            <w:vAlign w:val="bottom"/>
            <w:shd w:val="clear" w:color="auto" w:fill="9AB956"/>
          </w:tcPr>
          <w:p>
            <w:pPr>
              <w:spacing w:after="0"/>
              <w:rPr>
                <w:sz w:val="15"/>
                <w:szCs w:val="15"/>
                <w:color w:val="auto"/>
              </w:rPr>
            </w:pPr>
          </w:p>
        </w:tc>
        <w:tc>
          <w:tcPr>
            <w:tcW w:w="700" w:type="dxa"/>
            <w:vAlign w:val="bottom"/>
            <w:shd w:val="clear" w:color="auto" w:fill="9AB956"/>
          </w:tcPr>
          <w:p>
            <w:pPr>
              <w:spacing w:after="0"/>
              <w:rPr>
                <w:sz w:val="15"/>
                <w:szCs w:val="15"/>
                <w:color w:val="auto"/>
              </w:rPr>
            </w:pPr>
          </w:p>
        </w:tc>
        <w:tc>
          <w:tcPr>
            <w:tcW w:w="940" w:type="dxa"/>
            <w:vAlign w:val="bottom"/>
            <w:shd w:val="clear" w:color="auto" w:fill="9AB956"/>
          </w:tcPr>
          <w:p>
            <w:pPr>
              <w:spacing w:after="0"/>
              <w:rPr>
                <w:sz w:val="15"/>
                <w:szCs w:val="15"/>
                <w:color w:val="auto"/>
              </w:rPr>
            </w:pPr>
          </w:p>
        </w:tc>
        <w:tc>
          <w:tcPr>
            <w:tcW w:w="76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9"/>
              </w:rPr>
              <w:t>deferred</w:t>
            </w:r>
          </w:p>
        </w:tc>
        <w:tc>
          <w:tcPr>
            <w:tcW w:w="1000" w:type="dxa"/>
            <w:vAlign w:val="bottom"/>
            <w:shd w:val="clear" w:color="auto" w:fill="9AB956"/>
          </w:tcPr>
          <w:p>
            <w:pPr>
              <w:spacing w:after="0"/>
              <w:rPr>
                <w:sz w:val="15"/>
                <w:szCs w:val="15"/>
                <w:color w:val="auto"/>
              </w:rPr>
            </w:pPr>
          </w:p>
        </w:tc>
        <w:tc>
          <w:tcPr>
            <w:tcW w:w="1020" w:type="dxa"/>
            <w:vAlign w:val="bottom"/>
            <w:tcBorders>
              <w:right w:val="single" w:sz="8" w:color="auto"/>
            </w:tcBorders>
            <w:shd w:val="clear" w:color="auto" w:fill="9AB956"/>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760" w:type="dxa"/>
            <w:vAlign w:val="bottom"/>
            <w:tcBorders>
              <w:left w:val="single" w:sz="8" w:color="auto"/>
            </w:tcBorders>
            <w:shd w:val="clear" w:color="auto" w:fill="9AB956"/>
          </w:tcPr>
          <w:p>
            <w:pPr>
              <w:spacing w:after="0"/>
              <w:rPr>
                <w:sz w:val="15"/>
                <w:szCs w:val="15"/>
                <w:color w:val="auto"/>
              </w:rPr>
            </w:pPr>
          </w:p>
        </w:tc>
        <w:tc>
          <w:tcPr>
            <w:tcW w:w="520" w:type="dxa"/>
            <w:vAlign w:val="bottom"/>
            <w:shd w:val="clear" w:color="auto" w:fill="9AB956"/>
          </w:tcPr>
          <w:p>
            <w:pPr>
              <w:spacing w:after="0"/>
              <w:rPr>
                <w:sz w:val="15"/>
                <w:szCs w:val="15"/>
                <w:color w:val="auto"/>
              </w:rPr>
            </w:pPr>
          </w:p>
        </w:tc>
        <w:tc>
          <w:tcPr>
            <w:tcW w:w="760" w:type="dxa"/>
            <w:vAlign w:val="bottom"/>
            <w:shd w:val="clear" w:color="auto" w:fill="9AB956"/>
          </w:tcPr>
          <w:p>
            <w:pPr>
              <w:spacing w:after="0"/>
              <w:rPr>
                <w:sz w:val="15"/>
                <w:szCs w:val="15"/>
                <w:color w:val="auto"/>
              </w:rPr>
            </w:pPr>
          </w:p>
        </w:tc>
        <w:tc>
          <w:tcPr>
            <w:tcW w:w="580" w:type="dxa"/>
            <w:vAlign w:val="bottom"/>
            <w:shd w:val="clear" w:color="auto" w:fill="9AB956"/>
          </w:tcPr>
          <w:p>
            <w:pPr>
              <w:spacing w:after="0"/>
              <w:rPr>
                <w:sz w:val="15"/>
                <w:szCs w:val="15"/>
                <w:color w:val="auto"/>
              </w:rPr>
            </w:pPr>
          </w:p>
        </w:tc>
        <w:tc>
          <w:tcPr>
            <w:tcW w:w="680" w:type="dxa"/>
            <w:vAlign w:val="bottom"/>
            <w:shd w:val="clear" w:color="auto" w:fill="9AB956"/>
          </w:tcPr>
          <w:p>
            <w:pPr>
              <w:spacing w:after="0"/>
              <w:rPr>
                <w:sz w:val="15"/>
                <w:szCs w:val="15"/>
                <w:color w:val="auto"/>
              </w:rPr>
            </w:pPr>
          </w:p>
        </w:tc>
        <w:tc>
          <w:tcPr>
            <w:tcW w:w="700" w:type="dxa"/>
            <w:vAlign w:val="bottom"/>
            <w:shd w:val="clear" w:color="auto" w:fill="9AB956"/>
          </w:tcPr>
          <w:p>
            <w:pPr>
              <w:spacing w:after="0"/>
              <w:rPr>
                <w:sz w:val="15"/>
                <w:szCs w:val="15"/>
                <w:color w:val="auto"/>
              </w:rPr>
            </w:pPr>
          </w:p>
        </w:tc>
        <w:tc>
          <w:tcPr>
            <w:tcW w:w="940" w:type="dxa"/>
            <w:vAlign w:val="bottom"/>
            <w:shd w:val="clear" w:color="auto" w:fill="9AB956"/>
          </w:tcPr>
          <w:p>
            <w:pPr>
              <w:spacing w:after="0"/>
              <w:rPr>
                <w:sz w:val="15"/>
                <w:szCs w:val="15"/>
                <w:color w:val="auto"/>
              </w:rPr>
            </w:pPr>
          </w:p>
        </w:tc>
        <w:tc>
          <w:tcPr>
            <w:tcW w:w="76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3"/>
              </w:rPr>
              <w:t>benefits</w:t>
            </w:r>
          </w:p>
        </w:tc>
        <w:tc>
          <w:tcPr>
            <w:tcW w:w="1000" w:type="dxa"/>
            <w:vAlign w:val="bottom"/>
            <w:shd w:val="clear" w:color="auto" w:fill="9AB956"/>
          </w:tcPr>
          <w:p>
            <w:pPr>
              <w:spacing w:after="0"/>
              <w:rPr>
                <w:sz w:val="15"/>
                <w:szCs w:val="15"/>
                <w:color w:val="auto"/>
              </w:rPr>
            </w:pPr>
          </w:p>
        </w:tc>
        <w:tc>
          <w:tcPr>
            <w:tcW w:w="1020" w:type="dxa"/>
            <w:vAlign w:val="bottom"/>
            <w:tcBorders>
              <w:right w:val="single" w:sz="8" w:color="auto"/>
            </w:tcBorders>
            <w:shd w:val="clear" w:color="auto" w:fill="9AB956"/>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760" w:type="dxa"/>
            <w:vAlign w:val="bottom"/>
            <w:tcBorders>
              <w:left w:val="single" w:sz="8" w:color="auto"/>
            </w:tcBorders>
            <w:shd w:val="clear" w:color="auto" w:fill="9AB956"/>
          </w:tcPr>
          <w:p>
            <w:pPr>
              <w:spacing w:after="0"/>
              <w:rPr>
                <w:sz w:val="21"/>
                <w:szCs w:val="21"/>
                <w:color w:val="auto"/>
              </w:rPr>
            </w:pPr>
          </w:p>
        </w:tc>
        <w:tc>
          <w:tcPr>
            <w:tcW w:w="520" w:type="dxa"/>
            <w:vAlign w:val="bottom"/>
            <w:shd w:val="clear" w:color="auto" w:fill="9AB956"/>
          </w:tcPr>
          <w:p>
            <w:pPr>
              <w:spacing w:after="0"/>
              <w:rPr>
                <w:sz w:val="21"/>
                <w:szCs w:val="21"/>
                <w:color w:val="auto"/>
              </w:rPr>
            </w:pPr>
          </w:p>
        </w:tc>
        <w:tc>
          <w:tcPr>
            <w:tcW w:w="76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(1)</w:t>
            </w:r>
          </w:p>
        </w:tc>
        <w:tc>
          <w:tcPr>
            <w:tcW w:w="580" w:type="dxa"/>
            <w:vAlign w:val="bottom"/>
            <w:shd w:val="clear" w:color="auto" w:fill="9AB956"/>
          </w:tcPr>
          <w:p>
            <w:pPr>
              <w:spacing w:after="0"/>
              <w:rPr>
                <w:sz w:val="21"/>
                <w:szCs w:val="21"/>
                <w:color w:val="auto"/>
              </w:rPr>
            </w:pPr>
          </w:p>
        </w:tc>
        <w:tc>
          <w:tcPr>
            <w:tcW w:w="68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(2)</w:t>
            </w:r>
          </w:p>
        </w:tc>
        <w:tc>
          <w:tcPr>
            <w:tcW w:w="70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(3)</w:t>
            </w:r>
          </w:p>
        </w:tc>
        <w:tc>
          <w:tcPr>
            <w:tcW w:w="94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(4)</w:t>
            </w:r>
          </w:p>
        </w:tc>
        <w:tc>
          <w:tcPr>
            <w:tcW w:w="760" w:type="dxa"/>
            <w:vAlign w:val="bottom"/>
            <w:shd w:val="clear" w:color="auto" w:fill="9AB956"/>
          </w:tcPr>
          <w:p>
            <w:pPr>
              <w:spacing w:after="0"/>
              <w:rPr>
                <w:sz w:val="21"/>
                <w:szCs w:val="21"/>
                <w:color w:val="auto"/>
              </w:rPr>
            </w:pPr>
          </w:p>
        </w:tc>
        <w:tc>
          <w:tcPr>
            <w:tcW w:w="1000" w:type="dxa"/>
            <w:vAlign w:val="bottom"/>
            <w:shd w:val="clear" w:color="auto" w:fill="9AB956"/>
          </w:tcPr>
          <w:p>
            <w:pPr>
              <w:jc w:val="center"/>
              <w:ind w:right="32"/>
              <w:spacing w:after="0"/>
              <w:rPr>
                <w:sz w:val="20"/>
                <w:szCs w:val="20"/>
                <w:color w:val="auto"/>
              </w:rPr>
            </w:pPr>
            <w:r>
              <w:rPr>
                <w:rFonts w:ascii="Arial" w:cs="Arial" w:eastAsia="Arial" w:hAnsi="Arial"/>
                <w:sz w:val="10"/>
                <w:szCs w:val="10"/>
                <w:b w:val="1"/>
                <w:bCs w:val="1"/>
                <w:color w:val="FFFFFF"/>
                <w:w w:val="97"/>
              </w:rPr>
              <w:t>(5)</w:t>
            </w:r>
          </w:p>
        </w:tc>
        <w:tc>
          <w:tcPr>
            <w:tcW w:w="1020" w:type="dxa"/>
            <w:vAlign w:val="bottom"/>
            <w:tcBorders>
              <w:right w:val="single" w:sz="8" w:color="auto"/>
            </w:tcBorders>
            <w:shd w:val="clear" w:color="auto" w:fill="9AB956"/>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1760" w:type="dxa"/>
            <w:vAlign w:val="bottom"/>
            <w:tcBorders>
              <w:left w:val="single" w:sz="8" w:color="auto"/>
              <w:bottom w:val="single" w:sz="8" w:color="9AB956"/>
            </w:tcBorders>
            <w:shd w:val="clear" w:color="auto" w:fill="9AB956"/>
          </w:tcPr>
          <w:p>
            <w:pPr>
              <w:spacing w:after="0"/>
              <w:rPr>
                <w:sz w:val="24"/>
                <w:szCs w:val="24"/>
                <w:color w:val="auto"/>
              </w:rPr>
            </w:pPr>
          </w:p>
        </w:tc>
        <w:tc>
          <w:tcPr>
            <w:tcW w:w="520" w:type="dxa"/>
            <w:vAlign w:val="bottom"/>
            <w:tcBorders>
              <w:bottom w:val="single" w:sz="8" w:color="9AB956"/>
            </w:tcBorders>
            <w:shd w:val="clear" w:color="auto" w:fill="9AB956"/>
          </w:tcPr>
          <w:p>
            <w:pPr>
              <w:spacing w:after="0"/>
              <w:rPr>
                <w:sz w:val="24"/>
                <w:szCs w:val="24"/>
                <w:color w:val="auto"/>
              </w:rPr>
            </w:pPr>
          </w:p>
        </w:tc>
        <w:tc>
          <w:tcPr>
            <w:tcW w:w="760" w:type="dxa"/>
            <w:vAlign w:val="bottom"/>
            <w:tcBorders>
              <w:bottom w:val="single" w:sz="8" w:color="9AB956"/>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w:t>
            </w:r>
          </w:p>
        </w:tc>
        <w:tc>
          <w:tcPr>
            <w:tcW w:w="580" w:type="dxa"/>
            <w:vAlign w:val="bottom"/>
            <w:tcBorders>
              <w:bottom w:val="single" w:sz="8" w:color="9AB956"/>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w:t>
            </w:r>
          </w:p>
        </w:tc>
        <w:tc>
          <w:tcPr>
            <w:tcW w:w="680" w:type="dxa"/>
            <w:vAlign w:val="bottom"/>
            <w:tcBorders>
              <w:bottom w:val="single" w:sz="8" w:color="9AB956"/>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w:t>
            </w:r>
          </w:p>
        </w:tc>
        <w:tc>
          <w:tcPr>
            <w:tcW w:w="700" w:type="dxa"/>
            <w:vAlign w:val="bottom"/>
            <w:tcBorders>
              <w:bottom w:val="single" w:sz="8" w:color="9AB956"/>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w:t>
            </w:r>
          </w:p>
        </w:tc>
        <w:tc>
          <w:tcPr>
            <w:tcW w:w="940" w:type="dxa"/>
            <w:vAlign w:val="bottom"/>
            <w:tcBorders>
              <w:bottom w:val="single" w:sz="8" w:color="9AB956"/>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w:t>
            </w:r>
          </w:p>
        </w:tc>
        <w:tc>
          <w:tcPr>
            <w:tcW w:w="760" w:type="dxa"/>
            <w:vAlign w:val="bottom"/>
            <w:tcBorders>
              <w:bottom w:val="single" w:sz="8" w:color="9AB956"/>
            </w:tcBorders>
            <w:shd w:val="clear" w:color="auto" w:fill="9AB956"/>
          </w:tcPr>
          <w:p>
            <w:pPr>
              <w:jc w:val="center"/>
              <w:spacing w:after="0"/>
              <w:rPr>
                <w:sz w:val="20"/>
                <w:szCs w:val="20"/>
                <w:color w:val="auto"/>
              </w:rPr>
            </w:pPr>
            <w:r>
              <w:rPr>
                <w:rFonts w:ascii="Arial" w:cs="Arial" w:eastAsia="Arial" w:hAnsi="Arial"/>
                <w:sz w:val="10"/>
                <w:szCs w:val="10"/>
                <w:b w:val="1"/>
                <w:bCs w:val="1"/>
                <w:color w:val="FFFFFF"/>
                <w:w w:val="97"/>
              </w:rPr>
              <w:t>($)</w:t>
            </w:r>
          </w:p>
        </w:tc>
        <w:tc>
          <w:tcPr>
            <w:tcW w:w="1000" w:type="dxa"/>
            <w:vAlign w:val="bottom"/>
            <w:tcBorders>
              <w:bottom w:val="single" w:sz="8" w:color="9AB956"/>
            </w:tcBorders>
            <w:shd w:val="clear" w:color="auto" w:fill="9AB956"/>
          </w:tcPr>
          <w:p>
            <w:pPr>
              <w:jc w:val="center"/>
              <w:ind w:right="32"/>
              <w:spacing w:after="0"/>
              <w:rPr>
                <w:sz w:val="20"/>
                <w:szCs w:val="20"/>
                <w:color w:val="auto"/>
              </w:rPr>
            </w:pPr>
            <w:r>
              <w:rPr>
                <w:rFonts w:ascii="Arial" w:cs="Arial" w:eastAsia="Arial" w:hAnsi="Arial"/>
                <w:sz w:val="10"/>
                <w:szCs w:val="10"/>
                <w:b w:val="1"/>
                <w:bCs w:val="1"/>
                <w:color w:val="FFFFFF"/>
                <w:w w:val="97"/>
              </w:rPr>
              <w:t>($)</w:t>
            </w:r>
          </w:p>
        </w:tc>
        <w:tc>
          <w:tcPr>
            <w:tcW w:w="1020" w:type="dxa"/>
            <w:vAlign w:val="bottom"/>
            <w:tcBorders>
              <w:bottom w:val="single" w:sz="8" w:color="9AB956"/>
              <w:right w:val="single" w:sz="8" w:color="auto"/>
            </w:tcBorders>
            <w:shd w:val="clear" w:color="auto" w:fill="9AB956"/>
          </w:tcPr>
          <w:p>
            <w:pPr>
              <w:jc w:val="center"/>
              <w:ind w:right="52"/>
              <w:spacing w:after="0"/>
              <w:rPr>
                <w:sz w:val="20"/>
                <w:szCs w:val="20"/>
                <w:color w:val="auto"/>
              </w:rPr>
            </w:pPr>
            <w:r>
              <w:rPr>
                <w:rFonts w:ascii="Arial" w:cs="Arial" w:eastAsia="Arial" w:hAnsi="Arial"/>
                <w:sz w:val="10"/>
                <w:szCs w:val="10"/>
                <w:b w:val="1"/>
                <w:bCs w:val="1"/>
                <w:color w:val="FFFFFF"/>
                <w:w w:val="97"/>
              </w:rPr>
              <w:t>($)</w:t>
            </w:r>
          </w:p>
        </w:tc>
        <w:tc>
          <w:tcPr>
            <w:tcW w:w="0" w:type="dxa"/>
            <w:vAlign w:val="bottom"/>
          </w:tcPr>
          <w:p>
            <w:pPr>
              <w:spacing w:after="0"/>
              <w:rPr>
                <w:sz w:val="1"/>
                <w:szCs w:val="1"/>
                <w:color w:val="auto"/>
              </w:rPr>
            </w:pPr>
          </w:p>
        </w:tc>
      </w:tr>
      <w:tr>
        <w:trPr>
          <w:trHeight w:val="183"/>
        </w:trPr>
        <w:tc>
          <w:tcPr>
            <w:tcW w:w="17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0"/>
                <w:szCs w:val="10"/>
                <w:b w:val="1"/>
                <w:bCs w:val="1"/>
                <w:color w:val="auto"/>
              </w:rPr>
              <w:t>Mr. Patrick S. Williams</w:t>
            </w:r>
          </w:p>
        </w:tc>
        <w:tc>
          <w:tcPr>
            <w:tcW w:w="520" w:type="dxa"/>
            <w:vAlign w:val="bottom"/>
            <w:tcBorders>
              <w:top w:val="single" w:sz="8" w:color="auto"/>
            </w:tcBorders>
          </w:tcPr>
          <w:p>
            <w:pPr>
              <w:ind w:left="160"/>
              <w:spacing w:after="0"/>
              <w:rPr>
                <w:sz w:val="20"/>
                <w:szCs w:val="20"/>
                <w:color w:val="auto"/>
              </w:rPr>
            </w:pPr>
            <w:r>
              <w:rPr>
                <w:rFonts w:ascii="Arial" w:cs="Arial" w:eastAsia="Arial" w:hAnsi="Arial"/>
                <w:sz w:val="10"/>
                <w:szCs w:val="10"/>
                <w:color w:val="auto"/>
              </w:rPr>
              <w:t>2025</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8"/>
              </w:rPr>
              <w:t>1,380,548</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4"/>
              </w:rPr>
              <w:t>5,285,623</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4"/>
              </w:rPr>
              <w:t>1,365,336</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tcBorders>
              <w:top w:val="single" w:sz="8" w:color="auto"/>
            </w:tcBorders>
          </w:tcPr>
          <w:p>
            <w:pPr>
              <w:jc w:val="center"/>
              <w:ind w:right="32"/>
              <w:spacing w:after="0"/>
              <w:rPr>
                <w:sz w:val="20"/>
                <w:szCs w:val="20"/>
                <w:color w:val="auto"/>
              </w:rPr>
            </w:pPr>
            <w:r>
              <w:rPr>
                <w:rFonts w:ascii="Arial" w:cs="Arial" w:eastAsia="Arial" w:hAnsi="Arial"/>
                <w:sz w:val="10"/>
                <w:szCs w:val="10"/>
                <w:color w:val="auto"/>
                <w:w w:val="99"/>
              </w:rPr>
              <w:t>221,240</w:t>
            </w:r>
          </w:p>
        </w:tc>
        <w:tc>
          <w:tcPr>
            <w:tcW w:w="1020" w:type="dxa"/>
            <w:vAlign w:val="bottom"/>
            <w:tcBorders>
              <w:top w:val="single" w:sz="8" w:color="auto"/>
              <w:right w:val="single" w:sz="8" w:color="auto"/>
            </w:tcBorders>
          </w:tcPr>
          <w:p>
            <w:pPr>
              <w:jc w:val="center"/>
              <w:ind w:right="52"/>
              <w:spacing w:after="0"/>
              <w:rPr>
                <w:sz w:val="20"/>
                <w:szCs w:val="20"/>
                <w:color w:val="auto"/>
              </w:rPr>
            </w:pPr>
            <w:r>
              <w:rPr>
                <w:rFonts w:ascii="Arial" w:cs="Arial" w:eastAsia="Arial" w:hAnsi="Arial"/>
                <w:sz w:val="10"/>
                <w:szCs w:val="10"/>
                <w:color w:val="auto"/>
                <w:w w:val="98"/>
              </w:rPr>
              <w:t>8,252,747</w:t>
            </w:r>
          </w:p>
        </w:tc>
        <w:tc>
          <w:tcPr>
            <w:tcW w:w="0" w:type="dxa"/>
            <w:vAlign w:val="bottom"/>
          </w:tcPr>
          <w:p>
            <w:pPr>
              <w:spacing w:after="0"/>
              <w:rPr>
                <w:sz w:val="1"/>
                <w:szCs w:val="1"/>
                <w:color w:val="auto"/>
              </w:rPr>
            </w:pPr>
          </w:p>
        </w:tc>
      </w:tr>
      <w:tr>
        <w:trPr>
          <w:trHeight w:val="172"/>
        </w:trPr>
        <w:tc>
          <w:tcPr>
            <w:tcW w:w="176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President and Chief Executive</w:t>
            </w:r>
          </w:p>
        </w:tc>
        <w:tc>
          <w:tcPr>
            <w:tcW w:w="520" w:type="dxa"/>
            <w:vAlign w:val="bottom"/>
            <w:vMerge w:val="restart"/>
          </w:tcPr>
          <w:p>
            <w:pPr>
              <w:ind w:left="160"/>
              <w:spacing w:after="0"/>
              <w:rPr>
                <w:sz w:val="20"/>
                <w:szCs w:val="20"/>
                <w:color w:val="auto"/>
              </w:rPr>
            </w:pPr>
            <w:r>
              <w:rPr>
                <w:rFonts w:ascii="Arial" w:cs="Arial" w:eastAsia="Arial" w:hAnsi="Arial"/>
                <w:sz w:val="10"/>
                <w:szCs w:val="10"/>
                <w:color w:val="auto"/>
              </w:rPr>
              <w:t>2024</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auto"/>
                <w:w w:val="98"/>
              </w:rPr>
              <w:t>1,380,548</w:t>
            </w:r>
          </w:p>
        </w:tc>
        <w:tc>
          <w:tcPr>
            <w:tcW w:w="5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auto"/>
                <w:w w:val="94"/>
              </w:rPr>
              <w:t>5,332,447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auto"/>
                <w:w w:val="94"/>
              </w:rPr>
              <w:t>6,293,285</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vMerge w:val="restart"/>
          </w:tcPr>
          <w:p>
            <w:pPr>
              <w:jc w:val="center"/>
              <w:ind w:right="32"/>
              <w:spacing w:after="0"/>
              <w:rPr>
                <w:sz w:val="20"/>
                <w:szCs w:val="20"/>
                <w:color w:val="auto"/>
              </w:rPr>
            </w:pPr>
            <w:r>
              <w:rPr>
                <w:rFonts w:ascii="Arial" w:cs="Arial" w:eastAsia="Arial" w:hAnsi="Arial"/>
                <w:sz w:val="10"/>
                <w:szCs w:val="10"/>
                <w:color w:val="auto"/>
                <w:w w:val="99"/>
              </w:rPr>
              <w:t>210,104</w:t>
            </w:r>
          </w:p>
        </w:tc>
        <w:tc>
          <w:tcPr>
            <w:tcW w:w="1020" w:type="dxa"/>
            <w:vAlign w:val="bottom"/>
            <w:tcBorders>
              <w:right w:val="single" w:sz="8" w:color="auto"/>
            </w:tcBorders>
            <w:vMerge w:val="restart"/>
          </w:tcPr>
          <w:p>
            <w:pPr>
              <w:jc w:val="center"/>
              <w:ind w:right="52"/>
              <w:spacing w:after="0"/>
              <w:rPr>
                <w:sz w:val="20"/>
                <w:szCs w:val="20"/>
                <w:color w:val="auto"/>
              </w:rPr>
            </w:pPr>
            <w:r>
              <w:rPr>
                <w:rFonts w:ascii="Arial" w:cs="Arial" w:eastAsia="Arial" w:hAnsi="Arial"/>
                <w:sz w:val="10"/>
                <w:szCs w:val="10"/>
                <w:color w:val="auto"/>
                <w:w w:val="95"/>
              </w:rPr>
              <w:t>13,216,384</w:t>
            </w:r>
          </w:p>
        </w:tc>
        <w:tc>
          <w:tcPr>
            <w:tcW w:w="0" w:type="dxa"/>
            <w:vAlign w:val="bottom"/>
          </w:tcPr>
          <w:p>
            <w:pPr>
              <w:spacing w:after="0"/>
              <w:rPr>
                <w:sz w:val="1"/>
                <w:szCs w:val="1"/>
                <w:color w:val="auto"/>
              </w:rPr>
            </w:pPr>
          </w:p>
        </w:tc>
      </w:tr>
      <w:tr>
        <w:trPr>
          <w:trHeight w:val="67"/>
        </w:trPr>
        <w:tc>
          <w:tcPr>
            <w:tcW w:w="1760" w:type="dxa"/>
            <w:vAlign w:val="bottom"/>
            <w:tcBorders>
              <w:left w:val="single" w:sz="8" w:color="auto"/>
            </w:tcBorders>
            <w:vMerge w:val="restart"/>
          </w:tcPr>
          <w:p>
            <w:pPr>
              <w:ind w:left="100"/>
              <w:spacing w:after="0"/>
              <w:rPr>
                <w:sz w:val="20"/>
                <w:szCs w:val="20"/>
                <w:color w:val="auto"/>
              </w:rPr>
            </w:pPr>
            <w:r>
              <w:rPr>
                <w:rFonts w:ascii="Arial" w:cs="Arial" w:eastAsia="Arial" w:hAnsi="Arial"/>
                <w:sz w:val="10"/>
                <w:szCs w:val="10"/>
                <w:color w:val="auto"/>
              </w:rPr>
              <w:t>Officer</w:t>
            </w:r>
          </w:p>
        </w:tc>
        <w:tc>
          <w:tcPr>
            <w:tcW w:w="5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760" w:type="dxa"/>
            <w:vAlign w:val="bottom"/>
            <w:tcBorders>
              <w:left w:val="single" w:sz="8" w:color="auto"/>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60" w:type="dxa"/>
            <w:vAlign w:val="bottom"/>
            <w:tcBorders>
              <w:left w:val="single" w:sz="8" w:color="auto"/>
            </w:tcBorders>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0"/>
                <w:szCs w:val="10"/>
                <w:color w:val="auto"/>
              </w:rPr>
              <w:t>2023</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1,381,048</w:t>
            </w:r>
          </w:p>
        </w:tc>
        <w:tc>
          <w:tcPr>
            <w:tcW w:w="5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tcPr>
          <w:p>
            <w:pPr>
              <w:jc w:val="center"/>
              <w:spacing w:after="0"/>
              <w:rPr>
                <w:sz w:val="20"/>
                <w:szCs w:val="20"/>
                <w:color w:val="auto"/>
              </w:rPr>
            </w:pPr>
            <w:r>
              <w:rPr>
                <w:rFonts w:ascii="Arial" w:cs="Arial" w:eastAsia="Arial" w:hAnsi="Arial"/>
                <w:sz w:val="10"/>
                <w:szCs w:val="10"/>
                <w:color w:val="auto"/>
                <w:w w:val="94"/>
              </w:rPr>
              <w:t>2,870,922</w:t>
            </w:r>
          </w:p>
        </w:tc>
        <w:tc>
          <w:tcPr>
            <w:tcW w:w="700" w:type="dxa"/>
            <w:vAlign w:val="bottom"/>
          </w:tcPr>
          <w:p>
            <w:pPr>
              <w:jc w:val="center"/>
              <w:spacing w:after="0"/>
              <w:rPr>
                <w:sz w:val="20"/>
                <w:szCs w:val="20"/>
                <w:color w:val="auto"/>
              </w:rPr>
            </w:pPr>
            <w:r>
              <w:rPr>
                <w:rFonts w:ascii="Arial" w:cs="Arial" w:eastAsia="Arial" w:hAnsi="Arial"/>
                <w:sz w:val="10"/>
                <w:szCs w:val="10"/>
                <w:color w:val="auto"/>
                <w:w w:val="98"/>
              </w:rPr>
              <w:t>1,183,023</w:t>
            </w:r>
          </w:p>
        </w:tc>
        <w:tc>
          <w:tcPr>
            <w:tcW w:w="940" w:type="dxa"/>
            <w:vAlign w:val="bottom"/>
          </w:tcPr>
          <w:p>
            <w:pPr>
              <w:jc w:val="center"/>
              <w:spacing w:after="0"/>
              <w:rPr>
                <w:sz w:val="20"/>
                <w:szCs w:val="20"/>
                <w:color w:val="auto"/>
              </w:rPr>
            </w:pPr>
            <w:r>
              <w:rPr>
                <w:rFonts w:ascii="Arial" w:cs="Arial" w:eastAsia="Arial" w:hAnsi="Arial"/>
                <w:sz w:val="10"/>
                <w:szCs w:val="10"/>
                <w:color w:val="auto"/>
                <w:w w:val="94"/>
              </w:rPr>
              <w:t>1,750,014</w:t>
            </w:r>
          </w:p>
        </w:tc>
        <w:tc>
          <w:tcPr>
            <w:tcW w:w="76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tcPr>
          <w:p>
            <w:pPr>
              <w:jc w:val="center"/>
              <w:ind w:right="32"/>
              <w:spacing w:after="0"/>
              <w:rPr>
                <w:sz w:val="20"/>
                <w:szCs w:val="20"/>
                <w:color w:val="auto"/>
              </w:rPr>
            </w:pPr>
            <w:r>
              <w:rPr>
                <w:rFonts w:ascii="Arial" w:cs="Arial" w:eastAsia="Arial" w:hAnsi="Arial"/>
                <w:sz w:val="10"/>
                <w:szCs w:val="10"/>
                <w:color w:val="auto"/>
                <w:w w:val="99"/>
              </w:rPr>
              <w:t>114,856</w:t>
            </w:r>
          </w:p>
        </w:tc>
        <w:tc>
          <w:tcPr>
            <w:tcW w:w="1020" w:type="dxa"/>
            <w:vAlign w:val="bottom"/>
            <w:tcBorders>
              <w:right w:val="single" w:sz="8" w:color="auto"/>
            </w:tcBorders>
          </w:tcPr>
          <w:p>
            <w:pPr>
              <w:jc w:val="center"/>
              <w:ind w:right="52"/>
              <w:spacing w:after="0"/>
              <w:rPr>
                <w:sz w:val="20"/>
                <w:szCs w:val="20"/>
                <w:color w:val="auto"/>
              </w:rPr>
            </w:pPr>
            <w:r>
              <w:rPr>
                <w:rFonts w:ascii="Arial" w:cs="Arial" w:eastAsia="Arial" w:hAnsi="Arial"/>
                <w:sz w:val="10"/>
                <w:szCs w:val="10"/>
                <w:color w:val="auto"/>
                <w:w w:val="98"/>
              </w:rPr>
              <w:t>7,299,862</w:t>
            </w:r>
          </w:p>
        </w:tc>
        <w:tc>
          <w:tcPr>
            <w:tcW w:w="0" w:type="dxa"/>
            <w:vAlign w:val="bottom"/>
          </w:tcPr>
          <w:p>
            <w:pPr>
              <w:spacing w:after="0"/>
              <w:rPr>
                <w:sz w:val="1"/>
                <w:szCs w:val="1"/>
                <w:color w:val="auto"/>
              </w:rPr>
            </w:pPr>
          </w:p>
        </w:tc>
      </w:tr>
      <w:tr>
        <w:trPr>
          <w:trHeight w:val="59"/>
        </w:trPr>
        <w:tc>
          <w:tcPr>
            <w:tcW w:w="176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760" w:type="dxa"/>
            <w:vAlign w:val="bottom"/>
            <w:tcBorders>
              <w:left w:val="single" w:sz="8" w:color="auto"/>
            </w:tcBorders>
            <w:shd w:val="clear" w:color="auto" w:fill="F4F8EE"/>
          </w:tcPr>
          <w:p>
            <w:pPr>
              <w:ind w:left="100"/>
              <w:spacing w:after="0"/>
              <w:rPr>
                <w:sz w:val="20"/>
                <w:szCs w:val="20"/>
                <w:color w:val="auto"/>
              </w:rPr>
            </w:pPr>
            <w:r>
              <w:rPr>
                <w:rFonts w:ascii="Arial" w:cs="Arial" w:eastAsia="Arial" w:hAnsi="Arial"/>
                <w:sz w:val="10"/>
                <w:szCs w:val="10"/>
                <w:b w:val="1"/>
                <w:bCs w:val="1"/>
                <w:color w:val="auto"/>
              </w:rPr>
              <w:t>Mr. Ian P. Cleminson</w:t>
            </w:r>
          </w:p>
        </w:tc>
        <w:tc>
          <w:tcPr>
            <w:tcW w:w="520" w:type="dxa"/>
            <w:vAlign w:val="bottom"/>
            <w:shd w:val="clear" w:color="auto" w:fill="F4F8EE"/>
          </w:tcPr>
          <w:p>
            <w:pPr>
              <w:ind w:left="160"/>
              <w:spacing w:after="0"/>
              <w:rPr>
                <w:sz w:val="20"/>
                <w:szCs w:val="20"/>
                <w:color w:val="auto"/>
              </w:rPr>
            </w:pPr>
            <w:r>
              <w:rPr>
                <w:rFonts w:ascii="Arial" w:cs="Arial" w:eastAsia="Arial" w:hAnsi="Arial"/>
                <w:sz w:val="10"/>
                <w:szCs w:val="10"/>
                <w:color w:val="auto"/>
              </w:rPr>
              <w:t>2025</w:t>
            </w:r>
          </w:p>
        </w:tc>
        <w:tc>
          <w:tcPr>
            <w:tcW w:w="76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9"/>
              </w:rPr>
              <w:t>541,147</w:t>
            </w:r>
          </w:p>
        </w:tc>
        <w:tc>
          <w:tcPr>
            <w:tcW w:w="58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4"/>
              </w:rPr>
              <w:t>1,002,682</w:t>
            </w:r>
          </w:p>
        </w:tc>
        <w:tc>
          <w:tcPr>
            <w:tcW w:w="70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3"/>
              </w:rPr>
              <w:t>274,920</w:t>
            </w:r>
          </w:p>
        </w:tc>
        <w:tc>
          <w:tcPr>
            <w:tcW w:w="76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shd w:val="clear" w:color="auto" w:fill="F4F8EE"/>
          </w:tcPr>
          <w:p>
            <w:pPr>
              <w:jc w:val="center"/>
              <w:ind w:right="32"/>
              <w:spacing w:after="0"/>
              <w:rPr>
                <w:sz w:val="20"/>
                <w:szCs w:val="20"/>
                <w:color w:val="auto"/>
              </w:rPr>
            </w:pPr>
            <w:r>
              <w:rPr>
                <w:rFonts w:ascii="Arial" w:cs="Arial" w:eastAsia="Arial" w:hAnsi="Arial"/>
                <w:sz w:val="10"/>
                <w:szCs w:val="10"/>
                <w:color w:val="auto"/>
                <w:w w:val="99"/>
              </w:rPr>
              <w:t>155,198</w:t>
            </w:r>
          </w:p>
        </w:tc>
        <w:tc>
          <w:tcPr>
            <w:tcW w:w="1020" w:type="dxa"/>
            <w:vAlign w:val="bottom"/>
            <w:tcBorders>
              <w:right w:val="single" w:sz="8" w:color="auto"/>
            </w:tcBorders>
            <w:shd w:val="clear" w:color="auto" w:fill="F4F8EE"/>
          </w:tcPr>
          <w:p>
            <w:pPr>
              <w:jc w:val="center"/>
              <w:ind w:right="52"/>
              <w:spacing w:after="0"/>
              <w:rPr>
                <w:sz w:val="20"/>
                <w:szCs w:val="20"/>
                <w:color w:val="auto"/>
              </w:rPr>
            </w:pPr>
            <w:r>
              <w:rPr>
                <w:rFonts w:ascii="Arial" w:cs="Arial" w:eastAsia="Arial" w:hAnsi="Arial"/>
                <w:sz w:val="10"/>
                <w:szCs w:val="10"/>
                <w:color w:val="auto"/>
                <w:w w:val="98"/>
              </w:rPr>
              <w:t>1,973,947</w:t>
            </w:r>
          </w:p>
        </w:tc>
        <w:tc>
          <w:tcPr>
            <w:tcW w:w="0" w:type="dxa"/>
            <w:vAlign w:val="bottom"/>
          </w:tcPr>
          <w:p>
            <w:pPr>
              <w:spacing w:after="0"/>
              <w:rPr>
                <w:sz w:val="1"/>
                <w:szCs w:val="1"/>
                <w:color w:val="auto"/>
              </w:rPr>
            </w:pPr>
          </w:p>
        </w:tc>
      </w:tr>
      <w:tr>
        <w:trPr>
          <w:trHeight w:val="172"/>
        </w:trPr>
        <w:tc>
          <w:tcPr>
            <w:tcW w:w="1760" w:type="dxa"/>
            <w:vAlign w:val="bottom"/>
            <w:tcBorders>
              <w:left w:val="single" w:sz="8" w:color="auto"/>
            </w:tcBorders>
            <w:shd w:val="clear" w:color="auto" w:fill="F4F8EE"/>
          </w:tcPr>
          <w:p>
            <w:pPr>
              <w:ind w:left="100"/>
              <w:spacing w:after="0"/>
              <w:rPr>
                <w:sz w:val="20"/>
                <w:szCs w:val="20"/>
                <w:color w:val="auto"/>
              </w:rPr>
            </w:pPr>
            <w:r>
              <w:rPr>
                <w:rFonts w:ascii="Arial" w:cs="Arial" w:eastAsia="Arial" w:hAnsi="Arial"/>
                <w:sz w:val="10"/>
                <w:szCs w:val="10"/>
                <w:color w:val="auto"/>
              </w:rPr>
              <w:t>Executive Vice President and</w:t>
            </w:r>
          </w:p>
        </w:tc>
        <w:tc>
          <w:tcPr>
            <w:tcW w:w="520" w:type="dxa"/>
            <w:vAlign w:val="bottom"/>
            <w:vMerge w:val="restart"/>
            <w:shd w:val="clear" w:color="auto" w:fill="F4F8EE"/>
          </w:tcPr>
          <w:p>
            <w:pPr>
              <w:ind w:left="160"/>
              <w:spacing w:after="0"/>
              <w:rPr>
                <w:sz w:val="20"/>
                <w:szCs w:val="20"/>
                <w:color w:val="auto"/>
              </w:rPr>
            </w:pPr>
            <w:r>
              <w:rPr>
                <w:rFonts w:ascii="Arial" w:cs="Arial" w:eastAsia="Arial" w:hAnsi="Arial"/>
                <w:sz w:val="10"/>
                <w:szCs w:val="10"/>
                <w:color w:val="auto"/>
              </w:rPr>
              <w:t>2024</w:t>
            </w:r>
          </w:p>
        </w:tc>
        <w:tc>
          <w:tcPr>
            <w:tcW w:w="76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9"/>
              </w:rPr>
              <w:t>497,214</w:t>
            </w:r>
          </w:p>
        </w:tc>
        <w:tc>
          <w:tcPr>
            <w:tcW w:w="58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3"/>
              </w:rPr>
              <w:t>872,370</w:t>
            </w:r>
          </w:p>
        </w:tc>
        <w:tc>
          <w:tcPr>
            <w:tcW w:w="70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4"/>
              </w:rPr>
              <w:t>1,651,894</w:t>
            </w:r>
          </w:p>
        </w:tc>
        <w:tc>
          <w:tcPr>
            <w:tcW w:w="76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vMerge w:val="restart"/>
            <w:shd w:val="clear" w:color="auto" w:fill="F4F8EE"/>
          </w:tcPr>
          <w:p>
            <w:pPr>
              <w:jc w:val="center"/>
              <w:ind w:right="32"/>
              <w:spacing w:after="0"/>
              <w:rPr>
                <w:sz w:val="20"/>
                <w:szCs w:val="20"/>
                <w:color w:val="auto"/>
              </w:rPr>
            </w:pPr>
            <w:r>
              <w:rPr>
                <w:rFonts w:ascii="Arial" w:cs="Arial" w:eastAsia="Arial" w:hAnsi="Arial"/>
                <w:sz w:val="10"/>
                <w:szCs w:val="10"/>
                <w:color w:val="auto"/>
                <w:w w:val="99"/>
              </w:rPr>
              <w:t>119,653</w:t>
            </w:r>
          </w:p>
        </w:tc>
        <w:tc>
          <w:tcPr>
            <w:tcW w:w="1020" w:type="dxa"/>
            <w:vAlign w:val="bottom"/>
            <w:tcBorders>
              <w:right w:val="single" w:sz="8" w:color="auto"/>
            </w:tcBorders>
            <w:vMerge w:val="restart"/>
            <w:shd w:val="clear" w:color="auto" w:fill="F4F8EE"/>
          </w:tcPr>
          <w:p>
            <w:pPr>
              <w:jc w:val="center"/>
              <w:ind w:right="52"/>
              <w:spacing w:after="0"/>
              <w:rPr>
                <w:sz w:val="20"/>
                <w:szCs w:val="20"/>
                <w:color w:val="auto"/>
              </w:rPr>
            </w:pPr>
            <w:r>
              <w:rPr>
                <w:rFonts w:ascii="Arial" w:cs="Arial" w:eastAsia="Arial" w:hAnsi="Arial"/>
                <w:sz w:val="10"/>
                <w:szCs w:val="10"/>
                <w:color w:val="auto"/>
                <w:w w:val="98"/>
              </w:rPr>
              <w:t>3,141,131</w:t>
            </w:r>
          </w:p>
        </w:tc>
        <w:tc>
          <w:tcPr>
            <w:tcW w:w="0" w:type="dxa"/>
            <w:vAlign w:val="bottom"/>
          </w:tcPr>
          <w:p>
            <w:pPr>
              <w:spacing w:after="0"/>
              <w:rPr>
                <w:sz w:val="1"/>
                <w:szCs w:val="1"/>
                <w:color w:val="auto"/>
              </w:rPr>
            </w:pPr>
          </w:p>
        </w:tc>
      </w:tr>
      <w:tr>
        <w:trPr>
          <w:trHeight w:val="67"/>
        </w:trPr>
        <w:tc>
          <w:tcPr>
            <w:tcW w:w="1760" w:type="dxa"/>
            <w:vAlign w:val="bottom"/>
            <w:tcBorders>
              <w:left w:val="single" w:sz="8" w:color="auto"/>
            </w:tcBorders>
            <w:vMerge w:val="restart"/>
            <w:shd w:val="clear" w:color="auto" w:fill="F4F8EE"/>
          </w:tcPr>
          <w:p>
            <w:pPr>
              <w:ind w:left="100"/>
              <w:spacing w:after="0"/>
              <w:rPr>
                <w:sz w:val="20"/>
                <w:szCs w:val="20"/>
                <w:color w:val="auto"/>
              </w:rPr>
            </w:pPr>
            <w:r>
              <w:rPr>
                <w:rFonts w:ascii="Arial" w:cs="Arial" w:eastAsia="Arial" w:hAnsi="Arial"/>
                <w:sz w:val="10"/>
                <w:szCs w:val="10"/>
                <w:color w:val="auto"/>
              </w:rPr>
              <w:t>Chief Financial Officer</w:t>
            </w:r>
          </w:p>
        </w:tc>
        <w:tc>
          <w:tcPr>
            <w:tcW w:w="520" w:type="dxa"/>
            <w:vAlign w:val="bottom"/>
            <w:vMerge w:val="continue"/>
            <w:shd w:val="clear" w:color="auto" w:fill="F4F8EE"/>
          </w:tcPr>
          <w:p>
            <w:pPr>
              <w:spacing w:after="0"/>
              <w:rPr>
                <w:sz w:val="5"/>
                <w:szCs w:val="5"/>
                <w:color w:val="auto"/>
              </w:rPr>
            </w:pPr>
          </w:p>
        </w:tc>
        <w:tc>
          <w:tcPr>
            <w:tcW w:w="760" w:type="dxa"/>
            <w:vAlign w:val="bottom"/>
            <w:vMerge w:val="continue"/>
            <w:shd w:val="clear" w:color="auto" w:fill="F4F8EE"/>
          </w:tcPr>
          <w:p>
            <w:pPr>
              <w:spacing w:after="0"/>
              <w:rPr>
                <w:sz w:val="5"/>
                <w:szCs w:val="5"/>
                <w:color w:val="auto"/>
              </w:rPr>
            </w:pPr>
          </w:p>
        </w:tc>
        <w:tc>
          <w:tcPr>
            <w:tcW w:w="580" w:type="dxa"/>
            <w:vAlign w:val="bottom"/>
            <w:vMerge w:val="continue"/>
            <w:shd w:val="clear" w:color="auto" w:fill="F4F8EE"/>
          </w:tcPr>
          <w:p>
            <w:pPr>
              <w:spacing w:after="0"/>
              <w:rPr>
                <w:sz w:val="5"/>
                <w:szCs w:val="5"/>
                <w:color w:val="auto"/>
              </w:rPr>
            </w:pPr>
          </w:p>
        </w:tc>
        <w:tc>
          <w:tcPr>
            <w:tcW w:w="680" w:type="dxa"/>
            <w:vAlign w:val="bottom"/>
            <w:vMerge w:val="continue"/>
            <w:shd w:val="clear" w:color="auto" w:fill="F4F8EE"/>
          </w:tcPr>
          <w:p>
            <w:pPr>
              <w:spacing w:after="0"/>
              <w:rPr>
                <w:sz w:val="5"/>
                <w:szCs w:val="5"/>
                <w:color w:val="auto"/>
              </w:rPr>
            </w:pPr>
          </w:p>
        </w:tc>
        <w:tc>
          <w:tcPr>
            <w:tcW w:w="700" w:type="dxa"/>
            <w:vAlign w:val="bottom"/>
            <w:vMerge w:val="continue"/>
            <w:shd w:val="clear" w:color="auto" w:fill="F4F8EE"/>
          </w:tcPr>
          <w:p>
            <w:pPr>
              <w:spacing w:after="0"/>
              <w:rPr>
                <w:sz w:val="5"/>
                <w:szCs w:val="5"/>
                <w:color w:val="auto"/>
              </w:rPr>
            </w:pPr>
          </w:p>
        </w:tc>
        <w:tc>
          <w:tcPr>
            <w:tcW w:w="940" w:type="dxa"/>
            <w:vAlign w:val="bottom"/>
            <w:vMerge w:val="continue"/>
            <w:shd w:val="clear" w:color="auto" w:fill="F4F8EE"/>
          </w:tcPr>
          <w:p>
            <w:pPr>
              <w:spacing w:after="0"/>
              <w:rPr>
                <w:sz w:val="5"/>
                <w:szCs w:val="5"/>
                <w:color w:val="auto"/>
              </w:rPr>
            </w:pPr>
          </w:p>
        </w:tc>
        <w:tc>
          <w:tcPr>
            <w:tcW w:w="760" w:type="dxa"/>
            <w:vAlign w:val="bottom"/>
            <w:vMerge w:val="continue"/>
            <w:shd w:val="clear" w:color="auto" w:fill="F4F8EE"/>
          </w:tcPr>
          <w:p>
            <w:pPr>
              <w:spacing w:after="0"/>
              <w:rPr>
                <w:sz w:val="5"/>
                <w:szCs w:val="5"/>
                <w:color w:val="auto"/>
              </w:rPr>
            </w:pPr>
          </w:p>
        </w:tc>
        <w:tc>
          <w:tcPr>
            <w:tcW w:w="1000" w:type="dxa"/>
            <w:vAlign w:val="bottom"/>
            <w:vMerge w:val="continue"/>
            <w:shd w:val="clear" w:color="auto" w:fill="F4F8EE"/>
          </w:tcPr>
          <w:p>
            <w:pPr>
              <w:spacing w:after="0"/>
              <w:rPr>
                <w:sz w:val="5"/>
                <w:szCs w:val="5"/>
                <w:color w:val="auto"/>
              </w:rPr>
            </w:pPr>
          </w:p>
        </w:tc>
        <w:tc>
          <w:tcPr>
            <w:tcW w:w="1020" w:type="dxa"/>
            <w:vAlign w:val="bottom"/>
            <w:tcBorders>
              <w:right w:val="single" w:sz="8" w:color="auto"/>
            </w:tcBorders>
            <w:vMerge w:val="continue"/>
            <w:shd w:val="clear" w:color="auto" w:fill="F4F8E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760" w:type="dxa"/>
            <w:vAlign w:val="bottom"/>
            <w:tcBorders>
              <w:left w:val="single" w:sz="8" w:color="auto"/>
            </w:tcBorders>
            <w:vMerge w:val="continue"/>
            <w:shd w:val="clear" w:color="auto" w:fill="F4F8EE"/>
          </w:tcPr>
          <w:p>
            <w:pPr>
              <w:spacing w:after="0"/>
              <w:rPr>
                <w:sz w:val="9"/>
                <w:szCs w:val="9"/>
                <w:color w:val="auto"/>
              </w:rPr>
            </w:pPr>
          </w:p>
        </w:tc>
        <w:tc>
          <w:tcPr>
            <w:tcW w:w="520" w:type="dxa"/>
            <w:vAlign w:val="bottom"/>
            <w:vMerge w:val="restart"/>
            <w:shd w:val="clear" w:color="auto" w:fill="F4F8EE"/>
          </w:tcPr>
          <w:p>
            <w:pPr>
              <w:ind w:left="160"/>
              <w:spacing w:after="0"/>
              <w:rPr>
                <w:sz w:val="20"/>
                <w:szCs w:val="20"/>
                <w:color w:val="auto"/>
              </w:rPr>
            </w:pPr>
            <w:r>
              <w:rPr>
                <w:rFonts w:ascii="Arial" w:cs="Arial" w:eastAsia="Arial" w:hAnsi="Arial"/>
                <w:sz w:val="10"/>
                <w:szCs w:val="10"/>
                <w:color w:val="auto"/>
              </w:rPr>
              <w:t>2023</w:t>
            </w:r>
          </w:p>
        </w:tc>
        <w:tc>
          <w:tcPr>
            <w:tcW w:w="76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9"/>
              </w:rPr>
              <w:t>427,929</w:t>
            </w:r>
          </w:p>
        </w:tc>
        <w:tc>
          <w:tcPr>
            <w:tcW w:w="58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3"/>
              </w:rPr>
              <w:t>360,206</w:t>
            </w:r>
          </w:p>
        </w:tc>
        <w:tc>
          <w:tcPr>
            <w:tcW w:w="70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9"/>
              </w:rPr>
              <w:t>164,626</w:t>
            </w:r>
          </w:p>
        </w:tc>
        <w:tc>
          <w:tcPr>
            <w:tcW w:w="94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3"/>
              </w:rPr>
              <w:t>380,453</w:t>
            </w:r>
          </w:p>
        </w:tc>
        <w:tc>
          <w:tcPr>
            <w:tcW w:w="76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vMerge w:val="restart"/>
            <w:shd w:val="clear" w:color="auto" w:fill="F4F8EE"/>
          </w:tcPr>
          <w:p>
            <w:pPr>
              <w:jc w:val="center"/>
              <w:ind w:right="32"/>
              <w:spacing w:after="0"/>
              <w:rPr>
                <w:sz w:val="20"/>
                <w:szCs w:val="20"/>
                <w:color w:val="auto"/>
              </w:rPr>
            </w:pPr>
            <w:r>
              <w:rPr>
                <w:rFonts w:ascii="Arial" w:cs="Arial" w:eastAsia="Arial" w:hAnsi="Arial"/>
                <w:sz w:val="10"/>
                <w:szCs w:val="10"/>
                <w:color w:val="auto"/>
                <w:w w:val="95"/>
              </w:rPr>
              <w:t>123107</w:t>
            </w:r>
          </w:p>
        </w:tc>
        <w:tc>
          <w:tcPr>
            <w:tcW w:w="1020" w:type="dxa"/>
            <w:vAlign w:val="bottom"/>
            <w:tcBorders>
              <w:right w:val="single" w:sz="8" w:color="auto"/>
            </w:tcBorders>
            <w:vMerge w:val="restart"/>
            <w:shd w:val="clear" w:color="auto" w:fill="F4F8EE"/>
          </w:tcPr>
          <w:p>
            <w:pPr>
              <w:jc w:val="center"/>
              <w:ind w:right="52"/>
              <w:spacing w:after="0"/>
              <w:rPr>
                <w:sz w:val="20"/>
                <w:szCs w:val="20"/>
                <w:color w:val="auto"/>
              </w:rPr>
            </w:pPr>
            <w:r>
              <w:rPr>
                <w:rFonts w:ascii="Arial" w:cs="Arial" w:eastAsia="Arial" w:hAnsi="Arial"/>
                <w:sz w:val="10"/>
                <w:szCs w:val="10"/>
                <w:color w:val="auto"/>
                <w:w w:val="98"/>
              </w:rPr>
              <w:t>1,456,321</w:t>
            </w:r>
          </w:p>
        </w:tc>
        <w:tc>
          <w:tcPr>
            <w:tcW w:w="0" w:type="dxa"/>
            <w:vAlign w:val="bottom"/>
          </w:tcPr>
          <w:p>
            <w:pPr>
              <w:spacing w:after="0"/>
              <w:rPr>
                <w:sz w:val="1"/>
                <w:szCs w:val="1"/>
                <w:color w:val="auto"/>
              </w:rPr>
            </w:pPr>
          </w:p>
        </w:tc>
      </w:tr>
      <w:tr>
        <w:trPr>
          <w:trHeight w:val="193"/>
        </w:trPr>
        <w:tc>
          <w:tcPr>
            <w:tcW w:w="1760" w:type="dxa"/>
            <w:vAlign w:val="bottom"/>
            <w:tcBorders>
              <w:left w:val="single" w:sz="8" w:color="auto"/>
              <w:bottom w:val="single" w:sz="8" w:color="F4F8EE"/>
            </w:tcBorders>
            <w:shd w:val="clear" w:color="auto" w:fill="F4F8EE"/>
          </w:tcPr>
          <w:p>
            <w:pPr>
              <w:spacing w:after="0"/>
              <w:rPr>
                <w:sz w:val="16"/>
                <w:szCs w:val="16"/>
                <w:color w:val="auto"/>
              </w:rPr>
            </w:pPr>
          </w:p>
        </w:tc>
        <w:tc>
          <w:tcPr>
            <w:tcW w:w="520" w:type="dxa"/>
            <w:vAlign w:val="bottom"/>
            <w:tcBorders>
              <w:bottom w:val="single" w:sz="8" w:color="F4F8EE"/>
            </w:tcBorders>
            <w:vMerge w:val="continue"/>
            <w:shd w:val="clear" w:color="auto" w:fill="F4F8EE"/>
          </w:tcPr>
          <w:p>
            <w:pPr>
              <w:spacing w:after="0"/>
              <w:rPr>
                <w:sz w:val="16"/>
                <w:szCs w:val="16"/>
                <w:color w:val="auto"/>
              </w:rPr>
            </w:pPr>
          </w:p>
        </w:tc>
        <w:tc>
          <w:tcPr>
            <w:tcW w:w="760" w:type="dxa"/>
            <w:vAlign w:val="bottom"/>
            <w:tcBorders>
              <w:bottom w:val="single" w:sz="8" w:color="F4F8EE"/>
            </w:tcBorders>
            <w:vMerge w:val="continue"/>
            <w:shd w:val="clear" w:color="auto" w:fill="F4F8EE"/>
          </w:tcPr>
          <w:p>
            <w:pPr>
              <w:spacing w:after="0"/>
              <w:rPr>
                <w:sz w:val="16"/>
                <w:szCs w:val="16"/>
                <w:color w:val="auto"/>
              </w:rPr>
            </w:pPr>
          </w:p>
        </w:tc>
        <w:tc>
          <w:tcPr>
            <w:tcW w:w="580" w:type="dxa"/>
            <w:vAlign w:val="bottom"/>
            <w:tcBorders>
              <w:bottom w:val="single" w:sz="8" w:color="F4F8EE"/>
            </w:tcBorders>
            <w:vMerge w:val="continue"/>
            <w:shd w:val="clear" w:color="auto" w:fill="F4F8EE"/>
          </w:tcPr>
          <w:p>
            <w:pPr>
              <w:spacing w:after="0"/>
              <w:rPr>
                <w:sz w:val="16"/>
                <w:szCs w:val="16"/>
                <w:color w:val="auto"/>
              </w:rPr>
            </w:pPr>
          </w:p>
        </w:tc>
        <w:tc>
          <w:tcPr>
            <w:tcW w:w="680" w:type="dxa"/>
            <w:vAlign w:val="bottom"/>
            <w:tcBorders>
              <w:bottom w:val="single" w:sz="8" w:color="F4F8EE"/>
            </w:tcBorders>
            <w:vMerge w:val="continue"/>
            <w:shd w:val="clear" w:color="auto" w:fill="F4F8EE"/>
          </w:tcPr>
          <w:p>
            <w:pPr>
              <w:spacing w:after="0"/>
              <w:rPr>
                <w:sz w:val="16"/>
                <w:szCs w:val="16"/>
                <w:color w:val="auto"/>
              </w:rPr>
            </w:pPr>
          </w:p>
        </w:tc>
        <w:tc>
          <w:tcPr>
            <w:tcW w:w="700" w:type="dxa"/>
            <w:vAlign w:val="bottom"/>
            <w:tcBorders>
              <w:bottom w:val="single" w:sz="8" w:color="F4F8EE"/>
            </w:tcBorders>
            <w:vMerge w:val="continue"/>
            <w:shd w:val="clear" w:color="auto" w:fill="F4F8EE"/>
          </w:tcPr>
          <w:p>
            <w:pPr>
              <w:spacing w:after="0"/>
              <w:rPr>
                <w:sz w:val="16"/>
                <w:szCs w:val="16"/>
                <w:color w:val="auto"/>
              </w:rPr>
            </w:pPr>
          </w:p>
        </w:tc>
        <w:tc>
          <w:tcPr>
            <w:tcW w:w="940" w:type="dxa"/>
            <w:vAlign w:val="bottom"/>
            <w:tcBorders>
              <w:bottom w:val="single" w:sz="8" w:color="F4F8EE"/>
            </w:tcBorders>
            <w:vMerge w:val="continue"/>
            <w:shd w:val="clear" w:color="auto" w:fill="F4F8EE"/>
          </w:tcPr>
          <w:p>
            <w:pPr>
              <w:spacing w:after="0"/>
              <w:rPr>
                <w:sz w:val="16"/>
                <w:szCs w:val="16"/>
                <w:color w:val="auto"/>
              </w:rPr>
            </w:pPr>
          </w:p>
        </w:tc>
        <w:tc>
          <w:tcPr>
            <w:tcW w:w="760" w:type="dxa"/>
            <w:vAlign w:val="bottom"/>
            <w:tcBorders>
              <w:bottom w:val="single" w:sz="8" w:color="F4F8EE"/>
            </w:tcBorders>
            <w:vMerge w:val="continue"/>
            <w:shd w:val="clear" w:color="auto" w:fill="F4F8EE"/>
          </w:tcPr>
          <w:p>
            <w:pPr>
              <w:spacing w:after="0"/>
              <w:rPr>
                <w:sz w:val="16"/>
                <w:szCs w:val="16"/>
                <w:color w:val="auto"/>
              </w:rPr>
            </w:pPr>
          </w:p>
        </w:tc>
        <w:tc>
          <w:tcPr>
            <w:tcW w:w="1000" w:type="dxa"/>
            <w:vAlign w:val="bottom"/>
            <w:tcBorders>
              <w:bottom w:val="single" w:sz="8" w:color="F4F8EE"/>
            </w:tcBorders>
            <w:vMerge w:val="continue"/>
            <w:shd w:val="clear" w:color="auto" w:fill="F4F8EE"/>
          </w:tcPr>
          <w:p>
            <w:pPr>
              <w:spacing w:after="0"/>
              <w:rPr>
                <w:sz w:val="16"/>
                <w:szCs w:val="16"/>
                <w:color w:val="auto"/>
              </w:rPr>
            </w:pPr>
          </w:p>
        </w:tc>
        <w:tc>
          <w:tcPr>
            <w:tcW w:w="1020" w:type="dxa"/>
            <w:vAlign w:val="bottom"/>
            <w:tcBorders>
              <w:bottom w:val="single" w:sz="8" w:color="F4F8EE"/>
              <w:right w:val="single" w:sz="8" w:color="auto"/>
            </w:tcBorders>
            <w:vMerge w:val="continue"/>
            <w:shd w:val="clear" w:color="auto" w:fill="F4F8E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7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0"/>
                <w:szCs w:val="10"/>
                <w:b w:val="1"/>
                <w:bCs w:val="1"/>
                <w:color w:val="auto"/>
              </w:rPr>
              <w:t>Dr. Ian M. McRobbie</w:t>
            </w:r>
          </w:p>
        </w:tc>
        <w:tc>
          <w:tcPr>
            <w:tcW w:w="520" w:type="dxa"/>
            <w:vAlign w:val="bottom"/>
            <w:tcBorders>
              <w:top w:val="single" w:sz="8" w:color="auto"/>
            </w:tcBorders>
          </w:tcPr>
          <w:p>
            <w:pPr>
              <w:ind w:left="160"/>
              <w:spacing w:after="0"/>
              <w:rPr>
                <w:sz w:val="20"/>
                <w:szCs w:val="20"/>
                <w:color w:val="auto"/>
              </w:rPr>
            </w:pPr>
            <w:r>
              <w:rPr>
                <w:rFonts w:ascii="Arial" w:cs="Arial" w:eastAsia="Arial" w:hAnsi="Arial"/>
                <w:sz w:val="10"/>
                <w:szCs w:val="10"/>
                <w:color w:val="auto"/>
              </w:rPr>
              <w:t>2025</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9"/>
              </w:rPr>
              <w:t>309,649</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3"/>
              </w:rPr>
              <w:t>559,179</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3"/>
              </w:rPr>
              <w:t>170,250</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tcBorders>
              <w:top w:val="single" w:sz="8" w:color="auto"/>
            </w:tcBorders>
          </w:tcPr>
          <w:p>
            <w:pPr>
              <w:jc w:val="center"/>
              <w:ind w:right="32"/>
              <w:spacing w:after="0"/>
              <w:rPr>
                <w:sz w:val="20"/>
                <w:szCs w:val="20"/>
                <w:color w:val="auto"/>
              </w:rPr>
            </w:pPr>
            <w:r>
              <w:rPr>
                <w:rFonts w:ascii="Arial" w:cs="Arial" w:eastAsia="Arial" w:hAnsi="Arial"/>
                <w:sz w:val="10"/>
                <w:szCs w:val="10"/>
                <w:color w:val="auto"/>
                <w:w w:val="91"/>
              </w:rPr>
              <w:t>82,120</w:t>
            </w:r>
          </w:p>
        </w:tc>
        <w:tc>
          <w:tcPr>
            <w:tcW w:w="1020" w:type="dxa"/>
            <w:vAlign w:val="bottom"/>
            <w:tcBorders>
              <w:top w:val="single" w:sz="8" w:color="auto"/>
              <w:right w:val="single" w:sz="8" w:color="auto"/>
            </w:tcBorders>
          </w:tcPr>
          <w:p>
            <w:pPr>
              <w:jc w:val="center"/>
              <w:ind w:right="52"/>
              <w:spacing w:after="0"/>
              <w:rPr>
                <w:sz w:val="20"/>
                <w:szCs w:val="20"/>
                <w:color w:val="auto"/>
              </w:rPr>
            </w:pPr>
            <w:r>
              <w:rPr>
                <w:rFonts w:ascii="Arial" w:cs="Arial" w:eastAsia="Arial" w:hAnsi="Arial"/>
                <w:sz w:val="10"/>
                <w:szCs w:val="10"/>
                <w:color w:val="auto"/>
                <w:w w:val="98"/>
              </w:rPr>
              <w:t>1,121,198</w:t>
            </w:r>
          </w:p>
        </w:tc>
        <w:tc>
          <w:tcPr>
            <w:tcW w:w="0" w:type="dxa"/>
            <w:vAlign w:val="bottom"/>
          </w:tcPr>
          <w:p>
            <w:pPr>
              <w:spacing w:after="0"/>
              <w:rPr>
                <w:sz w:val="1"/>
                <w:szCs w:val="1"/>
                <w:color w:val="auto"/>
              </w:rPr>
            </w:pPr>
          </w:p>
        </w:tc>
      </w:tr>
      <w:tr>
        <w:trPr>
          <w:trHeight w:val="172"/>
        </w:trPr>
        <w:tc>
          <w:tcPr>
            <w:tcW w:w="176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Senior Vice President and</w:t>
            </w:r>
          </w:p>
        </w:tc>
        <w:tc>
          <w:tcPr>
            <w:tcW w:w="520" w:type="dxa"/>
            <w:vAlign w:val="bottom"/>
            <w:vMerge w:val="restart"/>
          </w:tcPr>
          <w:p>
            <w:pPr>
              <w:ind w:left="160"/>
              <w:spacing w:after="0"/>
              <w:rPr>
                <w:sz w:val="20"/>
                <w:szCs w:val="20"/>
                <w:color w:val="auto"/>
              </w:rPr>
            </w:pPr>
            <w:r>
              <w:rPr>
                <w:rFonts w:ascii="Arial" w:cs="Arial" w:eastAsia="Arial" w:hAnsi="Arial"/>
                <w:sz w:val="10"/>
                <w:szCs w:val="10"/>
                <w:color w:val="auto"/>
              </w:rPr>
              <w:t>2024</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5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vMerge w:val="restart"/>
          </w:tcPr>
          <w:p>
            <w:pPr>
              <w:jc w:val="center"/>
              <w:ind w:right="32"/>
              <w:spacing w:after="0"/>
              <w:rPr>
                <w:sz w:val="20"/>
                <w:szCs w:val="20"/>
                <w:color w:val="auto"/>
              </w:rPr>
            </w:pPr>
            <w:r>
              <w:rPr>
                <w:rFonts w:ascii="Arial" w:cs="Arial" w:eastAsia="Arial" w:hAnsi="Arial"/>
                <w:sz w:val="10"/>
                <w:szCs w:val="10"/>
                <w:color w:val="auto"/>
                <w:w w:val="79"/>
              </w:rPr>
              <w:t>—</w:t>
            </w:r>
          </w:p>
        </w:tc>
        <w:tc>
          <w:tcPr>
            <w:tcW w:w="1020" w:type="dxa"/>
            <w:vAlign w:val="bottom"/>
            <w:tcBorders>
              <w:right w:val="single" w:sz="8" w:color="auto"/>
            </w:tcBorders>
            <w:vMerge w:val="restart"/>
          </w:tcPr>
          <w:p>
            <w:pPr>
              <w:jc w:val="center"/>
              <w:ind w:right="7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67"/>
        </w:trPr>
        <w:tc>
          <w:tcPr>
            <w:tcW w:w="1760" w:type="dxa"/>
            <w:vAlign w:val="bottom"/>
            <w:tcBorders>
              <w:left w:val="single" w:sz="8" w:color="auto"/>
            </w:tcBorders>
            <w:vMerge w:val="restart"/>
          </w:tcPr>
          <w:p>
            <w:pPr>
              <w:ind w:left="100"/>
              <w:spacing w:after="0"/>
              <w:rPr>
                <w:sz w:val="20"/>
                <w:szCs w:val="20"/>
                <w:color w:val="auto"/>
              </w:rPr>
            </w:pPr>
            <w:r>
              <w:rPr>
                <w:rFonts w:ascii="Arial" w:cs="Arial" w:eastAsia="Arial" w:hAnsi="Arial"/>
                <w:sz w:val="10"/>
                <w:szCs w:val="10"/>
                <w:color w:val="auto"/>
              </w:rPr>
              <w:t>Chief Technology Officer</w:t>
            </w:r>
          </w:p>
        </w:tc>
        <w:tc>
          <w:tcPr>
            <w:tcW w:w="5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760" w:type="dxa"/>
            <w:vAlign w:val="bottom"/>
            <w:tcBorders>
              <w:left w:val="single" w:sz="8" w:color="auto"/>
            </w:tcBorders>
            <w:vMerge w:val="continue"/>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760" w:type="dxa"/>
            <w:vAlign w:val="bottom"/>
            <w:tcBorders>
              <w:left w:val="single" w:sz="8" w:color="auto"/>
            </w:tcBorders>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0"/>
                <w:szCs w:val="10"/>
                <w:color w:val="auto"/>
              </w:rPr>
              <w:t>2023</w:t>
            </w:r>
          </w:p>
        </w:tc>
        <w:tc>
          <w:tcPr>
            <w:tcW w:w="76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5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6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tcPr>
          <w:p>
            <w:pPr>
              <w:jc w:val="center"/>
              <w:ind w:right="32"/>
              <w:spacing w:after="0"/>
              <w:rPr>
                <w:sz w:val="20"/>
                <w:szCs w:val="20"/>
                <w:color w:val="auto"/>
              </w:rPr>
            </w:pPr>
            <w:r>
              <w:rPr>
                <w:rFonts w:ascii="Arial" w:cs="Arial" w:eastAsia="Arial" w:hAnsi="Arial"/>
                <w:sz w:val="10"/>
                <w:szCs w:val="10"/>
                <w:color w:val="auto"/>
                <w:w w:val="79"/>
              </w:rPr>
              <w:t>—</w:t>
            </w:r>
          </w:p>
        </w:tc>
        <w:tc>
          <w:tcPr>
            <w:tcW w:w="1020" w:type="dxa"/>
            <w:vAlign w:val="bottom"/>
            <w:tcBorders>
              <w:right w:val="single" w:sz="8" w:color="auto"/>
            </w:tcBorders>
          </w:tcPr>
          <w:p>
            <w:pPr>
              <w:jc w:val="center"/>
              <w:ind w:right="72"/>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59"/>
        </w:trPr>
        <w:tc>
          <w:tcPr>
            <w:tcW w:w="176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760" w:type="dxa"/>
            <w:vAlign w:val="bottom"/>
            <w:tcBorders>
              <w:left w:val="single" w:sz="8" w:color="auto"/>
            </w:tcBorders>
            <w:shd w:val="clear" w:color="auto" w:fill="F4F8EE"/>
          </w:tcPr>
          <w:p>
            <w:pPr>
              <w:ind w:left="100"/>
              <w:spacing w:after="0"/>
              <w:rPr>
                <w:sz w:val="20"/>
                <w:szCs w:val="20"/>
                <w:color w:val="auto"/>
              </w:rPr>
            </w:pPr>
            <w:r>
              <w:rPr>
                <w:rFonts w:ascii="Arial" w:cs="Arial" w:eastAsia="Arial" w:hAnsi="Arial"/>
                <w:sz w:val="10"/>
                <w:szCs w:val="10"/>
                <w:b w:val="1"/>
                <w:bCs w:val="1"/>
                <w:color w:val="auto"/>
              </w:rPr>
              <w:t>Mr. Corbin Barnes</w:t>
            </w:r>
          </w:p>
        </w:tc>
        <w:tc>
          <w:tcPr>
            <w:tcW w:w="520" w:type="dxa"/>
            <w:vAlign w:val="bottom"/>
            <w:shd w:val="clear" w:color="auto" w:fill="F4F8EE"/>
          </w:tcPr>
          <w:p>
            <w:pPr>
              <w:ind w:left="160"/>
              <w:spacing w:after="0"/>
              <w:rPr>
                <w:sz w:val="20"/>
                <w:szCs w:val="20"/>
                <w:color w:val="auto"/>
              </w:rPr>
            </w:pPr>
            <w:r>
              <w:rPr>
                <w:rFonts w:ascii="Arial" w:cs="Arial" w:eastAsia="Arial" w:hAnsi="Arial"/>
                <w:sz w:val="10"/>
                <w:szCs w:val="10"/>
                <w:color w:val="auto"/>
              </w:rPr>
              <w:t>2025</w:t>
            </w:r>
          </w:p>
        </w:tc>
        <w:tc>
          <w:tcPr>
            <w:tcW w:w="76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9"/>
              </w:rPr>
              <w:t>342,736</w:t>
            </w:r>
          </w:p>
        </w:tc>
        <w:tc>
          <w:tcPr>
            <w:tcW w:w="58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3"/>
              </w:rPr>
              <w:t>604,786</w:t>
            </w:r>
          </w:p>
        </w:tc>
        <w:tc>
          <w:tcPr>
            <w:tcW w:w="70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93"/>
              </w:rPr>
              <w:t>177,524</w:t>
            </w:r>
          </w:p>
        </w:tc>
        <w:tc>
          <w:tcPr>
            <w:tcW w:w="760" w:type="dxa"/>
            <w:vAlign w:val="bottom"/>
            <w:shd w:val="clear" w:color="auto" w:fill="F4F8EE"/>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shd w:val="clear" w:color="auto" w:fill="F4F8EE"/>
          </w:tcPr>
          <w:p>
            <w:pPr>
              <w:jc w:val="center"/>
              <w:ind w:right="32"/>
              <w:spacing w:after="0"/>
              <w:rPr>
                <w:sz w:val="20"/>
                <w:szCs w:val="20"/>
                <w:color w:val="auto"/>
              </w:rPr>
            </w:pPr>
            <w:r>
              <w:rPr>
                <w:rFonts w:ascii="Arial" w:cs="Arial" w:eastAsia="Arial" w:hAnsi="Arial"/>
                <w:sz w:val="10"/>
                <w:szCs w:val="10"/>
                <w:color w:val="auto"/>
                <w:w w:val="91"/>
              </w:rPr>
              <w:t>78,039</w:t>
            </w:r>
          </w:p>
        </w:tc>
        <w:tc>
          <w:tcPr>
            <w:tcW w:w="1020" w:type="dxa"/>
            <w:vAlign w:val="bottom"/>
            <w:tcBorders>
              <w:right w:val="single" w:sz="8" w:color="auto"/>
            </w:tcBorders>
            <w:shd w:val="clear" w:color="auto" w:fill="F4F8EE"/>
          </w:tcPr>
          <w:p>
            <w:pPr>
              <w:jc w:val="center"/>
              <w:ind w:right="52"/>
              <w:spacing w:after="0"/>
              <w:rPr>
                <w:sz w:val="20"/>
                <w:szCs w:val="20"/>
                <w:color w:val="auto"/>
              </w:rPr>
            </w:pPr>
            <w:r>
              <w:rPr>
                <w:rFonts w:ascii="Arial" w:cs="Arial" w:eastAsia="Arial" w:hAnsi="Arial"/>
                <w:sz w:val="10"/>
                <w:szCs w:val="10"/>
                <w:color w:val="auto"/>
                <w:w w:val="98"/>
              </w:rPr>
              <w:t>1,203,085</w:t>
            </w:r>
          </w:p>
        </w:tc>
        <w:tc>
          <w:tcPr>
            <w:tcW w:w="0" w:type="dxa"/>
            <w:vAlign w:val="bottom"/>
          </w:tcPr>
          <w:p>
            <w:pPr>
              <w:spacing w:after="0"/>
              <w:rPr>
                <w:sz w:val="1"/>
                <w:szCs w:val="1"/>
                <w:color w:val="auto"/>
              </w:rPr>
            </w:pPr>
          </w:p>
        </w:tc>
      </w:tr>
      <w:tr>
        <w:trPr>
          <w:trHeight w:val="172"/>
        </w:trPr>
        <w:tc>
          <w:tcPr>
            <w:tcW w:w="1760" w:type="dxa"/>
            <w:vAlign w:val="bottom"/>
            <w:tcBorders>
              <w:left w:val="single" w:sz="8" w:color="auto"/>
            </w:tcBorders>
            <w:shd w:val="clear" w:color="auto" w:fill="F4F8EE"/>
          </w:tcPr>
          <w:p>
            <w:pPr>
              <w:ind w:left="100"/>
              <w:spacing w:after="0"/>
              <w:rPr>
                <w:sz w:val="20"/>
                <w:szCs w:val="20"/>
                <w:color w:val="auto"/>
              </w:rPr>
            </w:pPr>
            <w:r>
              <w:rPr>
                <w:rFonts w:ascii="Arial" w:cs="Arial" w:eastAsia="Arial" w:hAnsi="Arial"/>
                <w:sz w:val="10"/>
                <w:szCs w:val="10"/>
                <w:color w:val="auto"/>
              </w:rPr>
              <w:t>Senior Vice President, Corporate</w:t>
            </w:r>
          </w:p>
        </w:tc>
        <w:tc>
          <w:tcPr>
            <w:tcW w:w="520" w:type="dxa"/>
            <w:vAlign w:val="bottom"/>
            <w:vMerge w:val="restart"/>
            <w:shd w:val="clear" w:color="auto" w:fill="F4F8EE"/>
          </w:tcPr>
          <w:p>
            <w:pPr>
              <w:ind w:left="160"/>
              <w:spacing w:after="0"/>
              <w:rPr>
                <w:sz w:val="20"/>
                <w:szCs w:val="20"/>
                <w:color w:val="auto"/>
              </w:rPr>
            </w:pPr>
            <w:r>
              <w:rPr>
                <w:rFonts w:ascii="Arial" w:cs="Arial" w:eastAsia="Arial" w:hAnsi="Arial"/>
                <w:sz w:val="10"/>
                <w:szCs w:val="10"/>
                <w:color w:val="auto"/>
              </w:rPr>
              <w:t>2024</w:t>
            </w:r>
          </w:p>
        </w:tc>
        <w:tc>
          <w:tcPr>
            <w:tcW w:w="76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9"/>
              </w:rPr>
              <w:t>314,188</w:t>
            </w:r>
          </w:p>
        </w:tc>
        <w:tc>
          <w:tcPr>
            <w:tcW w:w="58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3"/>
              </w:rPr>
              <w:t>412,699</w:t>
            </w:r>
          </w:p>
        </w:tc>
        <w:tc>
          <w:tcPr>
            <w:tcW w:w="70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93"/>
              </w:rPr>
              <w:t>871,242</w:t>
            </w:r>
          </w:p>
        </w:tc>
        <w:tc>
          <w:tcPr>
            <w:tcW w:w="760" w:type="dxa"/>
            <w:vAlign w:val="bottom"/>
            <w:vMerge w:val="restart"/>
            <w:shd w:val="clear" w:color="auto" w:fill="F4F8EE"/>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vMerge w:val="restart"/>
            <w:shd w:val="clear" w:color="auto" w:fill="F4F8EE"/>
          </w:tcPr>
          <w:p>
            <w:pPr>
              <w:jc w:val="center"/>
              <w:ind w:right="32"/>
              <w:spacing w:after="0"/>
              <w:rPr>
                <w:sz w:val="20"/>
                <w:szCs w:val="20"/>
                <w:color w:val="auto"/>
              </w:rPr>
            </w:pPr>
            <w:r>
              <w:rPr>
                <w:rFonts w:ascii="Arial" w:cs="Arial" w:eastAsia="Arial" w:hAnsi="Arial"/>
                <w:sz w:val="10"/>
                <w:szCs w:val="10"/>
                <w:color w:val="auto"/>
                <w:w w:val="91"/>
              </w:rPr>
              <w:t>44,533</w:t>
            </w:r>
          </w:p>
        </w:tc>
        <w:tc>
          <w:tcPr>
            <w:tcW w:w="1020" w:type="dxa"/>
            <w:vAlign w:val="bottom"/>
            <w:tcBorders>
              <w:right w:val="single" w:sz="8" w:color="auto"/>
            </w:tcBorders>
            <w:vMerge w:val="restart"/>
            <w:shd w:val="clear" w:color="auto" w:fill="F4F8EE"/>
          </w:tcPr>
          <w:p>
            <w:pPr>
              <w:jc w:val="center"/>
              <w:ind w:right="52"/>
              <w:spacing w:after="0"/>
              <w:rPr>
                <w:sz w:val="20"/>
                <w:szCs w:val="20"/>
                <w:color w:val="auto"/>
              </w:rPr>
            </w:pPr>
            <w:r>
              <w:rPr>
                <w:rFonts w:ascii="Arial" w:cs="Arial" w:eastAsia="Arial" w:hAnsi="Arial"/>
                <w:sz w:val="10"/>
                <w:szCs w:val="10"/>
                <w:color w:val="auto"/>
                <w:w w:val="98"/>
              </w:rPr>
              <w:t>1,642,662</w:t>
            </w:r>
          </w:p>
        </w:tc>
        <w:tc>
          <w:tcPr>
            <w:tcW w:w="0" w:type="dxa"/>
            <w:vAlign w:val="bottom"/>
          </w:tcPr>
          <w:p>
            <w:pPr>
              <w:spacing w:after="0"/>
              <w:rPr>
                <w:sz w:val="1"/>
                <w:szCs w:val="1"/>
                <w:color w:val="auto"/>
              </w:rPr>
            </w:pPr>
          </w:p>
        </w:tc>
      </w:tr>
      <w:tr>
        <w:trPr>
          <w:trHeight w:val="78"/>
        </w:trPr>
        <w:tc>
          <w:tcPr>
            <w:tcW w:w="1760" w:type="dxa"/>
            <w:vAlign w:val="bottom"/>
            <w:tcBorders>
              <w:left w:val="single" w:sz="8" w:color="auto"/>
            </w:tcBorders>
            <w:vMerge w:val="restart"/>
            <w:shd w:val="clear" w:color="auto" w:fill="F4F8EE"/>
          </w:tcPr>
          <w:p>
            <w:pPr>
              <w:ind w:left="100"/>
              <w:spacing w:after="0"/>
              <w:rPr>
                <w:sz w:val="20"/>
                <w:szCs w:val="20"/>
                <w:color w:val="auto"/>
              </w:rPr>
            </w:pPr>
            <w:r>
              <w:rPr>
                <w:rFonts w:ascii="Arial" w:cs="Arial" w:eastAsia="Arial" w:hAnsi="Arial"/>
                <w:sz w:val="10"/>
                <w:szCs w:val="10"/>
                <w:color w:val="auto"/>
              </w:rPr>
              <w:t>Development</w:t>
            </w:r>
          </w:p>
        </w:tc>
        <w:tc>
          <w:tcPr>
            <w:tcW w:w="520" w:type="dxa"/>
            <w:vAlign w:val="bottom"/>
            <w:vMerge w:val="continue"/>
            <w:shd w:val="clear" w:color="auto" w:fill="F4F8EE"/>
          </w:tcPr>
          <w:p>
            <w:pPr>
              <w:spacing w:after="0"/>
              <w:rPr>
                <w:sz w:val="6"/>
                <w:szCs w:val="6"/>
                <w:color w:val="auto"/>
              </w:rPr>
            </w:pPr>
          </w:p>
        </w:tc>
        <w:tc>
          <w:tcPr>
            <w:tcW w:w="760" w:type="dxa"/>
            <w:vAlign w:val="bottom"/>
            <w:vMerge w:val="continue"/>
            <w:shd w:val="clear" w:color="auto" w:fill="F4F8EE"/>
          </w:tcPr>
          <w:p>
            <w:pPr>
              <w:spacing w:after="0"/>
              <w:rPr>
                <w:sz w:val="6"/>
                <w:szCs w:val="6"/>
                <w:color w:val="auto"/>
              </w:rPr>
            </w:pPr>
          </w:p>
        </w:tc>
        <w:tc>
          <w:tcPr>
            <w:tcW w:w="580" w:type="dxa"/>
            <w:vAlign w:val="bottom"/>
            <w:vMerge w:val="continue"/>
            <w:shd w:val="clear" w:color="auto" w:fill="F4F8EE"/>
          </w:tcPr>
          <w:p>
            <w:pPr>
              <w:spacing w:after="0"/>
              <w:rPr>
                <w:sz w:val="6"/>
                <w:szCs w:val="6"/>
                <w:color w:val="auto"/>
              </w:rPr>
            </w:pPr>
          </w:p>
        </w:tc>
        <w:tc>
          <w:tcPr>
            <w:tcW w:w="680" w:type="dxa"/>
            <w:vAlign w:val="bottom"/>
            <w:vMerge w:val="continue"/>
            <w:shd w:val="clear" w:color="auto" w:fill="F4F8EE"/>
          </w:tcPr>
          <w:p>
            <w:pPr>
              <w:spacing w:after="0"/>
              <w:rPr>
                <w:sz w:val="6"/>
                <w:szCs w:val="6"/>
                <w:color w:val="auto"/>
              </w:rPr>
            </w:pPr>
          </w:p>
        </w:tc>
        <w:tc>
          <w:tcPr>
            <w:tcW w:w="700" w:type="dxa"/>
            <w:vAlign w:val="bottom"/>
            <w:vMerge w:val="continue"/>
            <w:shd w:val="clear" w:color="auto" w:fill="F4F8EE"/>
          </w:tcPr>
          <w:p>
            <w:pPr>
              <w:spacing w:after="0"/>
              <w:rPr>
                <w:sz w:val="6"/>
                <w:szCs w:val="6"/>
                <w:color w:val="auto"/>
              </w:rPr>
            </w:pPr>
          </w:p>
        </w:tc>
        <w:tc>
          <w:tcPr>
            <w:tcW w:w="940" w:type="dxa"/>
            <w:vAlign w:val="bottom"/>
            <w:vMerge w:val="continue"/>
            <w:shd w:val="clear" w:color="auto" w:fill="F4F8EE"/>
          </w:tcPr>
          <w:p>
            <w:pPr>
              <w:spacing w:after="0"/>
              <w:rPr>
                <w:sz w:val="6"/>
                <w:szCs w:val="6"/>
                <w:color w:val="auto"/>
              </w:rPr>
            </w:pPr>
          </w:p>
        </w:tc>
        <w:tc>
          <w:tcPr>
            <w:tcW w:w="760" w:type="dxa"/>
            <w:vAlign w:val="bottom"/>
            <w:vMerge w:val="continue"/>
            <w:shd w:val="clear" w:color="auto" w:fill="F4F8EE"/>
          </w:tcPr>
          <w:p>
            <w:pPr>
              <w:spacing w:after="0"/>
              <w:rPr>
                <w:sz w:val="6"/>
                <w:szCs w:val="6"/>
                <w:color w:val="auto"/>
              </w:rPr>
            </w:pPr>
          </w:p>
        </w:tc>
        <w:tc>
          <w:tcPr>
            <w:tcW w:w="1000" w:type="dxa"/>
            <w:vAlign w:val="bottom"/>
            <w:vMerge w:val="continue"/>
            <w:shd w:val="clear" w:color="auto" w:fill="F4F8EE"/>
          </w:tcPr>
          <w:p>
            <w:pPr>
              <w:spacing w:after="0"/>
              <w:rPr>
                <w:sz w:val="6"/>
                <w:szCs w:val="6"/>
                <w:color w:val="auto"/>
              </w:rPr>
            </w:pPr>
          </w:p>
        </w:tc>
        <w:tc>
          <w:tcPr>
            <w:tcW w:w="1020" w:type="dxa"/>
            <w:vAlign w:val="bottom"/>
            <w:tcBorders>
              <w:right w:val="single" w:sz="8" w:color="auto"/>
            </w:tcBorders>
            <w:vMerge w:val="continue"/>
            <w:shd w:val="clear" w:color="auto" w:fill="F4F8E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760" w:type="dxa"/>
            <w:vAlign w:val="bottom"/>
            <w:tcBorders>
              <w:left w:val="single" w:sz="8" w:color="auto"/>
            </w:tcBorders>
            <w:vMerge w:val="continue"/>
            <w:shd w:val="clear" w:color="auto" w:fill="F4F8EE"/>
          </w:tcPr>
          <w:p>
            <w:pPr>
              <w:spacing w:after="0"/>
              <w:rPr>
                <w:sz w:val="8"/>
                <w:szCs w:val="8"/>
                <w:color w:val="auto"/>
              </w:rPr>
            </w:pPr>
          </w:p>
        </w:tc>
        <w:tc>
          <w:tcPr>
            <w:tcW w:w="520" w:type="dxa"/>
            <w:vAlign w:val="bottom"/>
            <w:shd w:val="clear" w:color="auto" w:fill="F4F8EE"/>
          </w:tcPr>
          <w:p>
            <w:pPr>
              <w:spacing w:after="0"/>
              <w:rPr>
                <w:sz w:val="8"/>
                <w:szCs w:val="8"/>
                <w:color w:val="auto"/>
              </w:rPr>
            </w:pPr>
          </w:p>
        </w:tc>
        <w:tc>
          <w:tcPr>
            <w:tcW w:w="760" w:type="dxa"/>
            <w:vAlign w:val="bottom"/>
            <w:shd w:val="clear" w:color="auto" w:fill="F4F8EE"/>
          </w:tcPr>
          <w:p>
            <w:pPr>
              <w:spacing w:after="0"/>
              <w:rPr>
                <w:sz w:val="8"/>
                <w:szCs w:val="8"/>
                <w:color w:val="auto"/>
              </w:rPr>
            </w:pPr>
          </w:p>
        </w:tc>
        <w:tc>
          <w:tcPr>
            <w:tcW w:w="580" w:type="dxa"/>
            <w:vAlign w:val="bottom"/>
            <w:shd w:val="clear" w:color="auto" w:fill="F4F8EE"/>
          </w:tcPr>
          <w:p>
            <w:pPr>
              <w:spacing w:after="0"/>
              <w:rPr>
                <w:sz w:val="8"/>
                <w:szCs w:val="8"/>
                <w:color w:val="auto"/>
              </w:rPr>
            </w:pPr>
          </w:p>
        </w:tc>
        <w:tc>
          <w:tcPr>
            <w:tcW w:w="680" w:type="dxa"/>
            <w:vAlign w:val="bottom"/>
            <w:shd w:val="clear" w:color="auto" w:fill="F4F8EE"/>
          </w:tcPr>
          <w:p>
            <w:pPr>
              <w:spacing w:after="0"/>
              <w:rPr>
                <w:sz w:val="8"/>
                <w:szCs w:val="8"/>
                <w:color w:val="auto"/>
              </w:rPr>
            </w:pPr>
          </w:p>
        </w:tc>
        <w:tc>
          <w:tcPr>
            <w:tcW w:w="700" w:type="dxa"/>
            <w:vAlign w:val="bottom"/>
            <w:shd w:val="clear" w:color="auto" w:fill="F4F8EE"/>
          </w:tcPr>
          <w:p>
            <w:pPr>
              <w:spacing w:after="0"/>
              <w:rPr>
                <w:sz w:val="8"/>
                <w:szCs w:val="8"/>
                <w:color w:val="auto"/>
              </w:rPr>
            </w:pPr>
          </w:p>
        </w:tc>
        <w:tc>
          <w:tcPr>
            <w:tcW w:w="940" w:type="dxa"/>
            <w:vAlign w:val="bottom"/>
            <w:shd w:val="clear" w:color="auto" w:fill="F4F8EE"/>
          </w:tcPr>
          <w:p>
            <w:pPr>
              <w:spacing w:after="0"/>
              <w:rPr>
                <w:sz w:val="8"/>
                <w:szCs w:val="8"/>
                <w:color w:val="auto"/>
              </w:rPr>
            </w:pPr>
          </w:p>
        </w:tc>
        <w:tc>
          <w:tcPr>
            <w:tcW w:w="760" w:type="dxa"/>
            <w:vAlign w:val="bottom"/>
            <w:shd w:val="clear" w:color="auto" w:fill="F4F8EE"/>
          </w:tcPr>
          <w:p>
            <w:pPr>
              <w:spacing w:after="0"/>
              <w:rPr>
                <w:sz w:val="8"/>
                <w:szCs w:val="8"/>
                <w:color w:val="auto"/>
              </w:rPr>
            </w:pPr>
          </w:p>
        </w:tc>
        <w:tc>
          <w:tcPr>
            <w:tcW w:w="1000" w:type="dxa"/>
            <w:vAlign w:val="bottom"/>
            <w:shd w:val="clear" w:color="auto" w:fill="F4F8EE"/>
          </w:tcPr>
          <w:p>
            <w:pPr>
              <w:spacing w:after="0"/>
              <w:rPr>
                <w:sz w:val="8"/>
                <w:szCs w:val="8"/>
                <w:color w:val="auto"/>
              </w:rPr>
            </w:pPr>
          </w:p>
        </w:tc>
        <w:tc>
          <w:tcPr>
            <w:tcW w:w="1020" w:type="dxa"/>
            <w:vAlign w:val="bottom"/>
            <w:tcBorders>
              <w:right w:val="single" w:sz="8" w:color="auto"/>
            </w:tcBorders>
            <w:shd w:val="clear" w:color="auto" w:fill="F4F8EE"/>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760" w:type="dxa"/>
            <w:vAlign w:val="bottom"/>
            <w:tcBorders>
              <w:left w:val="single" w:sz="8" w:color="auto"/>
              <w:bottom w:val="single" w:sz="8" w:color="F4F8EE"/>
            </w:tcBorders>
            <w:shd w:val="clear" w:color="auto" w:fill="F4F8EE"/>
          </w:tcPr>
          <w:p>
            <w:pPr>
              <w:ind w:left="100"/>
              <w:spacing w:after="0"/>
              <w:rPr>
                <w:sz w:val="20"/>
                <w:szCs w:val="20"/>
                <w:color w:val="auto"/>
              </w:rPr>
            </w:pPr>
            <w:r>
              <w:rPr>
                <w:rFonts w:ascii="Arial" w:cs="Arial" w:eastAsia="Arial" w:hAnsi="Arial"/>
                <w:sz w:val="10"/>
                <w:szCs w:val="10"/>
                <w:color w:val="auto"/>
              </w:rPr>
              <w:t>and Investor Relations</w:t>
            </w:r>
          </w:p>
        </w:tc>
        <w:tc>
          <w:tcPr>
            <w:tcW w:w="520" w:type="dxa"/>
            <w:vAlign w:val="bottom"/>
            <w:tcBorders>
              <w:bottom w:val="single" w:sz="8" w:color="F4F8EE"/>
            </w:tcBorders>
            <w:shd w:val="clear" w:color="auto" w:fill="F4F8EE"/>
          </w:tcPr>
          <w:p>
            <w:pPr>
              <w:ind w:left="160"/>
              <w:spacing w:after="0"/>
              <w:rPr>
                <w:sz w:val="20"/>
                <w:szCs w:val="20"/>
                <w:color w:val="auto"/>
              </w:rPr>
            </w:pPr>
            <w:r>
              <w:rPr>
                <w:rFonts w:ascii="Arial" w:cs="Arial" w:eastAsia="Arial" w:hAnsi="Arial"/>
                <w:sz w:val="10"/>
                <w:szCs w:val="10"/>
                <w:color w:val="auto"/>
              </w:rPr>
              <w:t>2023</w:t>
            </w:r>
          </w:p>
        </w:tc>
        <w:tc>
          <w:tcPr>
            <w:tcW w:w="760" w:type="dxa"/>
            <w:vAlign w:val="bottom"/>
            <w:tcBorders>
              <w:bottom w:val="single" w:sz="8" w:color="F4F8EE"/>
            </w:tcBorders>
            <w:shd w:val="clear" w:color="auto" w:fill="F4F8EE"/>
          </w:tcPr>
          <w:p>
            <w:pPr>
              <w:jc w:val="center"/>
              <w:spacing w:after="0"/>
              <w:rPr>
                <w:sz w:val="20"/>
                <w:szCs w:val="20"/>
                <w:color w:val="auto"/>
              </w:rPr>
            </w:pPr>
            <w:r>
              <w:rPr>
                <w:rFonts w:ascii="Arial" w:cs="Arial" w:eastAsia="Arial" w:hAnsi="Arial"/>
                <w:sz w:val="10"/>
                <w:szCs w:val="10"/>
                <w:color w:val="auto"/>
                <w:w w:val="99"/>
              </w:rPr>
              <w:t>313,773</w:t>
            </w:r>
          </w:p>
        </w:tc>
        <w:tc>
          <w:tcPr>
            <w:tcW w:w="580" w:type="dxa"/>
            <w:vAlign w:val="bottom"/>
            <w:tcBorders>
              <w:bottom w:val="single" w:sz="8" w:color="F4F8EE"/>
            </w:tcBorders>
            <w:shd w:val="clear" w:color="auto" w:fill="F4F8EE"/>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tcBorders>
              <w:bottom w:val="single" w:sz="8" w:color="F4F8EE"/>
            </w:tcBorders>
            <w:shd w:val="clear" w:color="auto" w:fill="F4F8EE"/>
          </w:tcPr>
          <w:p>
            <w:pPr>
              <w:jc w:val="center"/>
              <w:spacing w:after="0"/>
              <w:rPr>
                <w:sz w:val="20"/>
                <w:szCs w:val="20"/>
                <w:color w:val="auto"/>
              </w:rPr>
            </w:pPr>
            <w:r>
              <w:rPr>
                <w:rFonts w:ascii="Arial" w:cs="Arial" w:eastAsia="Arial" w:hAnsi="Arial"/>
                <w:sz w:val="10"/>
                <w:szCs w:val="10"/>
                <w:color w:val="auto"/>
                <w:w w:val="93"/>
              </w:rPr>
              <w:t>261,816</w:t>
            </w:r>
          </w:p>
        </w:tc>
        <w:tc>
          <w:tcPr>
            <w:tcW w:w="700" w:type="dxa"/>
            <w:vAlign w:val="bottom"/>
            <w:tcBorders>
              <w:bottom w:val="single" w:sz="8" w:color="F4F8EE"/>
            </w:tcBorders>
            <w:shd w:val="clear" w:color="auto" w:fill="F4F8EE"/>
          </w:tcPr>
          <w:p>
            <w:pPr>
              <w:jc w:val="center"/>
              <w:spacing w:after="0"/>
              <w:rPr>
                <w:sz w:val="20"/>
                <w:szCs w:val="20"/>
                <w:color w:val="auto"/>
              </w:rPr>
            </w:pPr>
            <w:r>
              <w:rPr>
                <w:rFonts w:ascii="Arial" w:cs="Arial" w:eastAsia="Arial" w:hAnsi="Arial"/>
                <w:sz w:val="10"/>
                <w:szCs w:val="10"/>
                <w:color w:val="auto"/>
                <w:w w:val="99"/>
              </w:rPr>
              <w:t>120,878</w:t>
            </w:r>
          </w:p>
        </w:tc>
        <w:tc>
          <w:tcPr>
            <w:tcW w:w="940" w:type="dxa"/>
            <w:vAlign w:val="bottom"/>
            <w:tcBorders>
              <w:bottom w:val="single" w:sz="8" w:color="F4F8EE"/>
            </w:tcBorders>
            <w:shd w:val="clear" w:color="auto" w:fill="F4F8EE"/>
          </w:tcPr>
          <w:p>
            <w:pPr>
              <w:jc w:val="center"/>
              <w:spacing w:after="0"/>
              <w:rPr>
                <w:sz w:val="20"/>
                <w:szCs w:val="20"/>
                <w:color w:val="auto"/>
              </w:rPr>
            </w:pPr>
            <w:r>
              <w:rPr>
                <w:rFonts w:ascii="Arial" w:cs="Arial" w:eastAsia="Arial" w:hAnsi="Arial"/>
                <w:sz w:val="10"/>
                <w:szCs w:val="10"/>
                <w:color w:val="auto"/>
                <w:w w:val="93"/>
              </w:rPr>
              <w:t>280,579</w:t>
            </w:r>
          </w:p>
        </w:tc>
        <w:tc>
          <w:tcPr>
            <w:tcW w:w="760" w:type="dxa"/>
            <w:vAlign w:val="bottom"/>
            <w:tcBorders>
              <w:bottom w:val="single" w:sz="8" w:color="F4F8EE"/>
            </w:tcBorders>
            <w:shd w:val="clear" w:color="auto" w:fill="F4F8EE"/>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tcBorders>
              <w:bottom w:val="single" w:sz="8" w:color="F4F8EE"/>
            </w:tcBorders>
            <w:shd w:val="clear" w:color="auto" w:fill="F4F8EE"/>
          </w:tcPr>
          <w:p>
            <w:pPr>
              <w:jc w:val="center"/>
              <w:ind w:right="32"/>
              <w:spacing w:after="0"/>
              <w:rPr>
                <w:sz w:val="20"/>
                <w:szCs w:val="20"/>
                <w:color w:val="auto"/>
              </w:rPr>
            </w:pPr>
            <w:r>
              <w:rPr>
                <w:rFonts w:ascii="Arial" w:cs="Arial" w:eastAsia="Arial" w:hAnsi="Arial"/>
                <w:sz w:val="10"/>
                <w:szCs w:val="10"/>
                <w:color w:val="auto"/>
                <w:w w:val="91"/>
              </w:rPr>
              <w:t>37,555</w:t>
            </w:r>
          </w:p>
        </w:tc>
        <w:tc>
          <w:tcPr>
            <w:tcW w:w="1020" w:type="dxa"/>
            <w:vAlign w:val="bottom"/>
            <w:tcBorders>
              <w:bottom w:val="single" w:sz="8" w:color="F4F8EE"/>
              <w:right w:val="single" w:sz="8" w:color="auto"/>
            </w:tcBorders>
            <w:shd w:val="clear" w:color="auto" w:fill="F4F8EE"/>
          </w:tcPr>
          <w:p>
            <w:pPr>
              <w:jc w:val="center"/>
              <w:ind w:right="52"/>
              <w:spacing w:after="0"/>
              <w:rPr>
                <w:sz w:val="20"/>
                <w:szCs w:val="20"/>
                <w:color w:val="auto"/>
              </w:rPr>
            </w:pPr>
            <w:r>
              <w:rPr>
                <w:rFonts w:ascii="Arial" w:cs="Arial" w:eastAsia="Arial" w:hAnsi="Arial"/>
                <w:sz w:val="10"/>
                <w:szCs w:val="10"/>
                <w:color w:val="auto"/>
                <w:w w:val="98"/>
              </w:rPr>
              <w:t>1,014,601</w:t>
            </w:r>
          </w:p>
        </w:tc>
        <w:tc>
          <w:tcPr>
            <w:tcW w:w="0" w:type="dxa"/>
            <w:vAlign w:val="bottom"/>
          </w:tcPr>
          <w:p>
            <w:pPr>
              <w:spacing w:after="0"/>
              <w:rPr>
                <w:sz w:val="1"/>
                <w:szCs w:val="1"/>
                <w:color w:val="auto"/>
              </w:rPr>
            </w:pPr>
          </w:p>
        </w:tc>
      </w:tr>
      <w:tr>
        <w:trPr>
          <w:trHeight w:val="183"/>
        </w:trPr>
        <w:tc>
          <w:tcPr>
            <w:tcW w:w="176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0"/>
                <w:szCs w:val="10"/>
                <w:b w:val="1"/>
                <w:bCs w:val="1"/>
                <w:color w:val="auto"/>
              </w:rPr>
              <w:t>Mr. David B. Jones</w:t>
            </w:r>
          </w:p>
        </w:tc>
        <w:tc>
          <w:tcPr>
            <w:tcW w:w="520" w:type="dxa"/>
            <w:vAlign w:val="bottom"/>
            <w:tcBorders>
              <w:top w:val="single" w:sz="8" w:color="auto"/>
            </w:tcBorders>
          </w:tcPr>
          <w:p>
            <w:pPr>
              <w:ind w:left="160"/>
              <w:spacing w:after="0"/>
              <w:rPr>
                <w:sz w:val="20"/>
                <w:szCs w:val="20"/>
                <w:color w:val="auto"/>
              </w:rPr>
            </w:pPr>
            <w:r>
              <w:rPr>
                <w:rFonts w:ascii="Arial" w:cs="Arial" w:eastAsia="Arial" w:hAnsi="Arial"/>
                <w:sz w:val="10"/>
                <w:szCs w:val="10"/>
                <w:color w:val="auto"/>
              </w:rPr>
              <w:t>2025</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9"/>
              </w:rPr>
              <w:t>425,040</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3"/>
              </w:rPr>
              <w:t>647,866</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3"/>
              </w:rPr>
              <w:t>214,220</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tcBorders>
              <w:top w:val="single" w:sz="8" w:color="auto"/>
            </w:tcBorders>
          </w:tcPr>
          <w:p>
            <w:pPr>
              <w:jc w:val="center"/>
              <w:ind w:right="32"/>
              <w:spacing w:after="0"/>
              <w:rPr>
                <w:sz w:val="20"/>
                <w:szCs w:val="20"/>
                <w:color w:val="auto"/>
              </w:rPr>
            </w:pPr>
            <w:r>
              <w:rPr>
                <w:rFonts w:ascii="Arial" w:cs="Arial" w:eastAsia="Arial" w:hAnsi="Arial"/>
                <w:sz w:val="10"/>
                <w:szCs w:val="10"/>
                <w:color w:val="auto"/>
                <w:w w:val="99"/>
              </w:rPr>
              <w:t>116,088</w:t>
            </w:r>
          </w:p>
        </w:tc>
        <w:tc>
          <w:tcPr>
            <w:tcW w:w="1020" w:type="dxa"/>
            <w:vAlign w:val="bottom"/>
            <w:tcBorders>
              <w:top w:val="single" w:sz="8" w:color="auto"/>
              <w:right w:val="single" w:sz="8" w:color="auto"/>
            </w:tcBorders>
          </w:tcPr>
          <w:p>
            <w:pPr>
              <w:jc w:val="center"/>
              <w:ind w:right="52"/>
              <w:spacing w:after="0"/>
              <w:rPr>
                <w:sz w:val="20"/>
                <w:szCs w:val="20"/>
                <w:color w:val="auto"/>
              </w:rPr>
            </w:pPr>
            <w:r>
              <w:rPr>
                <w:rFonts w:ascii="Arial" w:cs="Arial" w:eastAsia="Arial" w:hAnsi="Arial"/>
                <w:sz w:val="10"/>
                <w:szCs w:val="10"/>
                <w:color w:val="auto"/>
                <w:w w:val="98"/>
              </w:rPr>
              <w:t>1,403,214</w:t>
            </w:r>
          </w:p>
        </w:tc>
        <w:tc>
          <w:tcPr>
            <w:tcW w:w="0" w:type="dxa"/>
            <w:vAlign w:val="bottom"/>
          </w:tcPr>
          <w:p>
            <w:pPr>
              <w:spacing w:after="0"/>
              <w:rPr>
                <w:sz w:val="1"/>
                <w:szCs w:val="1"/>
                <w:color w:val="auto"/>
              </w:rPr>
            </w:pPr>
          </w:p>
        </w:tc>
      </w:tr>
      <w:tr>
        <w:trPr>
          <w:trHeight w:val="172"/>
        </w:trPr>
        <w:tc>
          <w:tcPr>
            <w:tcW w:w="176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Senior Vice President, General</w:t>
            </w:r>
          </w:p>
        </w:tc>
        <w:tc>
          <w:tcPr>
            <w:tcW w:w="520" w:type="dxa"/>
            <w:vAlign w:val="bottom"/>
            <w:vMerge w:val="restart"/>
          </w:tcPr>
          <w:p>
            <w:pPr>
              <w:ind w:left="160"/>
              <w:spacing w:after="0"/>
              <w:rPr>
                <w:sz w:val="20"/>
                <w:szCs w:val="20"/>
                <w:color w:val="auto"/>
              </w:rPr>
            </w:pPr>
            <w:r>
              <w:rPr>
                <w:rFonts w:ascii="Arial" w:cs="Arial" w:eastAsia="Arial" w:hAnsi="Arial"/>
                <w:sz w:val="10"/>
                <w:szCs w:val="10"/>
                <w:color w:val="auto"/>
              </w:rPr>
              <w:t>2024</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auto"/>
                <w:w w:val="99"/>
              </w:rPr>
              <w:t>349,210</w:t>
            </w:r>
          </w:p>
        </w:tc>
        <w:tc>
          <w:tcPr>
            <w:tcW w:w="5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auto"/>
                <w:w w:val="93"/>
              </w:rPr>
              <w:t>484,326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0"/>
                <w:szCs w:val="10"/>
                <w:color w:val="auto"/>
                <w:w w:val="93"/>
              </w:rPr>
              <w:t>930,628</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vMerge w:val="restart"/>
          </w:tcPr>
          <w:p>
            <w:pPr>
              <w:jc w:val="center"/>
              <w:ind w:right="32"/>
              <w:spacing w:after="0"/>
              <w:rPr>
                <w:sz w:val="20"/>
                <w:szCs w:val="20"/>
                <w:color w:val="auto"/>
              </w:rPr>
            </w:pPr>
            <w:r>
              <w:rPr>
                <w:rFonts w:ascii="Arial" w:cs="Arial" w:eastAsia="Arial" w:hAnsi="Arial"/>
                <w:sz w:val="10"/>
                <w:szCs w:val="10"/>
                <w:color w:val="auto"/>
                <w:w w:val="99"/>
              </w:rPr>
              <w:t>113,829</w:t>
            </w:r>
          </w:p>
        </w:tc>
        <w:tc>
          <w:tcPr>
            <w:tcW w:w="1020" w:type="dxa"/>
            <w:vAlign w:val="bottom"/>
            <w:tcBorders>
              <w:right w:val="single" w:sz="8" w:color="auto"/>
            </w:tcBorders>
            <w:vMerge w:val="restart"/>
          </w:tcPr>
          <w:p>
            <w:pPr>
              <w:jc w:val="center"/>
              <w:ind w:right="52"/>
              <w:spacing w:after="0"/>
              <w:rPr>
                <w:sz w:val="20"/>
                <w:szCs w:val="20"/>
                <w:color w:val="auto"/>
              </w:rPr>
            </w:pPr>
            <w:r>
              <w:rPr>
                <w:rFonts w:ascii="Arial" w:cs="Arial" w:eastAsia="Arial" w:hAnsi="Arial"/>
                <w:sz w:val="10"/>
                <w:szCs w:val="10"/>
                <w:color w:val="auto"/>
                <w:w w:val="98"/>
              </w:rPr>
              <w:t>1,877,993</w:t>
            </w:r>
          </w:p>
        </w:tc>
        <w:tc>
          <w:tcPr>
            <w:tcW w:w="0" w:type="dxa"/>
            <w:vAlign w:val="bottom"/>
          </w:tcPr>
          <w:p>
            <w:pPr>
              <w:spacing w:after="0"/>
              <w:rPr>
                <w:sz w:val="1"/>
                <w:szCs w:val="1"/>
                <w:color w:val="auto"/>
              </w:rPr>
            </w:pPr>
          </w:p>
        </w:tc>
      </w:tr>
      <w:tr>
        <w:trPr>
          <w:trHeight w:val="78"/>
        </w:trPr>
        <w:tc>
          <w:tcPr>
            <w:tcW w:w="1760" w:type="dxa"/>
            <w:vAlign w:val="bottom"/>
            <w:tcBorders>
              <w:left w:val="single" w:sz="8" w:color="auto"/>
            </w:tcBorders>
            <w:vMerge w:val="restart"/>
          </w:tcPr>
          <w:p>
            <w:pPr>
              <w:ind w:left="100"/>
              <w:spacing w:after="0"/>
              <w:rPr>
                <w:sz w:val="20"/>
                <w:szCs w:val="20"/>
                <w:color w:val="auto"/>
              </w:rPr>
            </w:pPr>
            <w:r>
              <w:rPr>
                <w:rFonts w:ascii="Arial" w:cs="Arial" w:eastAsia="Arial" w:hAnsi="Arial"/>
                <w:sz w:val="10"/>
                <w:szCs w:val="10"/>
                <w:color w:val="auto"/>
              </w:rPr>
              <w:t>Counsel, Chief Compliance</w:t>
            </w:r>
          </w:p>
        </w:tc>
        <w:tc>
          <w:tcPr>
            <w:tcW w:w="5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760" w:type="dxa"/>
            <w:vAlign w:val="bottom"/>
            <w:tcBorders>
              <w:left w:val="single" w:sz="8" w:color="auto"/>
            </w:tcBorders>
            <w:vMerge w:val="continue"/>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76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Officer and Corporate Secretary</w:t>
            </w:r>
          </w:p>
        </w:tc>
        <w:tc>
          <w:tcPr>
            <w:tcW w:w="520" w:type="dxa"/>
            <w:vAlign w:val="bottom"/>
          </w:tcPr>
          <w:p>
            <w:pPr>
              <w:ind w:left="160"/>
              <w:spacing w:after="0"/>
              <w:rPr>
                <w:sz w:val="20"/>
                <w:szCs w:val="20"/>
                <w:color w:val="auto"/>
              </w:rPr>
            </w:pPr>
            <w:r>
              <w:rPr>
                <w:rFonts w:ascii="Arial" w:cs="Arial" w:eastAsia="Arial" w:hAnsi="Arial"/>
                <w:sz w:val="10"/>
                <w:szCs w:val="10"/>
                <w:color w:val="auto"/>
              </w:rPr>
              <w:t>2023</w:t>
            </w:r>
          </w:p>
        </w:tc>
        <w:tc>
          <w:tcPr>
            <w:tcW w:w="760" w:type="dxa"/>
            <w:vAlign w:val="bottom"/>
          </w:tcPr>
          <w:p>
            <w:pPr>
              <w:jc w:val="center"/>
              <w:spacing w:after="0"/>
              <w:rPr>
                <w:sz w:val="20"/>
                <w:szCs w:val="20"/>
                <w:color w:val="auto"/>
              </w:rPr>
            </w:pPr>
            <w:r>
              <w:rPr>
                <w:rFonts w:ascii="Arial" w:cs="Arial" w:eastAsia="Arial" w:hAnsi="Arial"/>
                <w:sz w:val="10"/>
                <w:szCs w:val="10"/>
                <w:color w:val="auto"/>
                <w:w w:val="99"/>
              </w:rPr>
              <w:t>348,473</w:t>
            </w:r>
          </w:p>
        </w:tc>
        <w:tc>
          <w:tcPr>
            <w:tcW w:w="5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80" w:type="dxa"/>
            <w:vAlign w:val="bottom"/>
          </w:tcPr>
          <w:p>
            <w:pPr>
              <w:jc w:val="center"/>
              <w:spacing w:after="0"/>
              <w:rPr>
                <w:sz w:val="20"/>
                <w:szCs w:val="20"/>
                <w:color w:val="auto"/>
              </w:rPr>
            </w:pPr>
            <w:r>
              <w:rPr>
                <w:rFonts w:ascii="Arial" w:cs="Arial" w:eastAsia="Arial" w:hAnsi="Arial"/>
                <w:sz w:val="10"/>
                <w:szCs w:val="10"/>
                <w:color w:val="auto"/>
                <w:w w:val="93"/>
              </w:rPr>
              <w:t>288,086</w:t>
            </w:r>
          </w:p>
        </w:tc>
        <w:tc>
          <w:tcPr>
            <w:tcW w:w="700" w:type="dxa"/>
            <w:vAlign w:val="bottom"/>
          </w:tcPr>
          <w:p>
            <w:pPr>
              <w:jc w:val="center"/>
              <w:spacing w:after="0"/>
              <w:rPr>
                <w:sz w:val="20"/>
                <w:szCs w:val="20"/>
                <w:color w:val="auto"/>
              </w:rPr>
            </w:pPr>
            <w:r>
              <w:rPr>
                <w:rFonts w:ascii="Arial" w:cs="Arial" w:eastAsia="Arial" w:hAnsi="Arial"/>
                <w:sz w:val="10"/>
                <w:szCs w:val="10"/>
                <w:color w:val="auto"/>
                <w:w w:val="99"/>
              </w:rPr>
              <w:t>133,155</w:t>
            </w:r>
          </w:p>
        </w:tc>
        <w:tc>
          <w:tcPr>
            <w:tcW w:w="940" w:type="dxa"/>
            <w:vAlign w:val="bottom"/>
          </w:tcPr>
          <w:p>
            <w:pPr>
              <w:jc w:val="center"/>
              <w:spacing w:after="0"/>
              <w:rPr>
                <w:sz w:val="20"/>
                <w:szCs w:val="20"/>
                <w:color w:val="auto"/>
              </w:rPr>
            </w:pPr>
            <w:r>
              <w:rPr>
                <w:rFonts w:ascii="Arial" w:cs="Arial" w:eastAsia="Arial" w:hAnsi="Arial"/>
                <w:sz w:val="10"/>
                <w:szCs w:val="10"/>
                <w:color w:val="auto"/>
                <w:w w:val="93"/>
              </w:rPr>
              <w:t>317,475</w:t>
            </w:r>
          </w:p>
        </w:tc>
        <w:tc>
          <w:tcPr>
            <w:tcW w:w="76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1000" w:type="dxa"/>
            <w:vAlign w:val="bottom"/>
          </w:tcPr>
          <w:p>
            <w:pPr>
              <w:jc w:val="center"/>
              <w:ind w:right="32"/>
              <w:spacing w:after="0"/>
              <w:rPr>
                <w:sz w:val="20"/>
                <w:szCs w:val="20"/>
                <w:color w:val="auto"/>
              </w:rPr>
            </w:pPr>
            <w:r>
              <w:rPr>
                <w:rFonts w:ascii="Arial" w:cs="Arial" w:eastAsia="Arial" w:hAnsi="Arial"/>
                <w:sz w:val="10"/>
                <w:szCs w:val="10"/>
                <w:color w:val="auto"/>
                <w:w w:val="91"/>
              </w:rPr>
              <w:t>96,720</w:t>
            </w:r>
          </w:p>
        </w:tc>
        <w:tc>
          <w:tcPr>
            <w:tcW w:w="1020" w:type="dxa"/>
            <w:vAlign w:val="bottom"/>
            <w:tcBorders>
              <w:right w:val="single" w:sz="8" w:color="auto"/>
            </w:tcBorders>
          </w:tcPr>
          <w:p>
            <w:pPr>
              <w:jc w:val="center"/>
              <w:ind w:right="52"/>
              <w:spacing w:after="0"/>
              <w:rPr>
                <w:sz w:val="20"/>
                <w:szCs w:val="20"/>
                <w:color w:val="auto"/>
              </w:rPr>
            </w:pPr>
            <w:r>
              <w:rPr>
                <w:rFonts w:ascii="Arial" w:cs="Arial" w:eastAsia="Arial" w:hAnsi="Arial"/>
                <w:sz w:val="10"/>
                <w:szCs w:val="10"/>
                <w:color w:val="auto"/>
                <w:w w:val="98"/>
              </w:rPr>
              <w:t>1,183,909</w:t>
            </w:r>
          </w:p>
        </w:tc>
        <w:tc>
          <w:tcPr>
            <w:tcW w:w="0" w:type="dxa"/>
            <w:vAlign w:val="bottom"/>
          </w:tcPr>
          <w:p>
            <w:pPr>
              <w:spacing w:after="0"/>
              <w:rPr>
                <w:sz w:val="1"/>
                <w:szCs w:val="1"/>
                <w:color w:val="auto"/>
              </w:rPr>
            </w:pPr>
          </w:p>
        </w:tc>
      </w:tr>
      <w:tr>
        <w:trPr>
          <w:trHeight w:val="59"/>
        </w:trPr>
        <w:tc>
          <w:tcPr>
            <w:tcW w:w="1760" w:type="dxa"/>
            <w:vAlign w:val="bottom"/>
            <w:tcBorders>
              <w:left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Footnotes to “Summary Compensation Table”:</w:t>
      </w:r>
    </w:p>
    <w:p>
      <w:pPr>
        <w:spacing w:after="0" w:line="128" w:lineRule="exact"/>
        <w:rPr>
          <w:sz w:val="20"/>
          <w:szCs w:val="20"/>
          <w:color w:val="auto"/>
        </w:rPr>
      </w:pPr>
    </w:p>
    <w:p>
      <w:pPr>
        <w:jc w:val="both"/>
        <w:ind w:left="540" w:right="139" w:hanging="335"/>
        <w:spacing w:after="0" w:line="264" w:lineRule="auto"/>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Mr. Williams, Mr. Barnes, and Mr. Jones are paid in U.S. dollars. All the other NEOs above are paid in GB Pounds Sterling. For the purposes of the “Summary Compensation Table”, a GB Pound Sterling to U.S. Dollar exchange rate of 1.24 is used for 2023, 1.28 for 2024 and 1.31 for 2025, being the average exchange rates for the relevant year.</w:t>
      </w:r>
    </w:p>
    <w:p>
      <w:pPr>
        <w:spacing w:after="0" w:line="87" w:lineRule="exact"/>
        <w:rPr>
          <w:rFonts w:ascii="Arial" w:cs="Arial" w:eastAsia="Arial" w:hAnsi="Arial"/>
          <w:sz w:val="15"/>
          <w:szCs w:val="15"/>
          <w:color w:val="auto"/>
        </w:rPr>
      </w:pPr>
    </w:p>
    <w:p>
      <w:pPr>
        <w:jc w:val="both"/>
        <w:ind w:left="540" w:right="119" w:hanging="335"/>
        <w:spacing w:after="0" w:line="252" w:lineRule="auto"/>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value of the full value awards for all NEOs listed above for 2025 discloses the grant date fair value of full value awards made under the Omnibus Plan. The value of the full value awards is determined using the number of shares of stock awarded and the grant date fair value for each share awarded is calculated using the Black-Scholes model, with reference to the underlying stock price, exercise price of the awards, volatility of the Company’s stock price, risk free rate and expected dividend yield. For full value awards with additional characteristics, such as vesting criteria linked to stock market indices or stock price performance, a Monte Carlo simulation is used to model the range of potential outcomes. For further information on the assumptions underlying these grant date fair values refer to Note 18 of the Consolidated Financial Statements contained in the Company’s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1755140</wp:posOffset>
            </wp:positionV>
            <wp:extent cx="297180" cy="290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9" w:name="page80"/>
    <w:bookmarkEnd w:id="79"/>
    <w:p>
      <w:pPr>
        <w:spacing w:after="0" w:line="100" w:lineRule="exact"/>
        <w:rPr>
          <w:sz w:val="20"/>
          <w:szCs w:val="20"/>
          <w:color w:val="auto"/>
        </w:rPr>
      </w:pPr>
    </w:p>
    <w:p>
      <w:pPr>
        <w:jc w:val="both"/>
        <w:ind w:left="540" w:right="119" w:hanging="335"/>
        <w:spacing w:after="0" w:line="254" w:lineRule="auto"/>
        <w:tabs>
          <w:tab w:leader="none" w:pos="599"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value of the option awards for all NEOs listed above discloses the grant date fair value of options awarded under the Omnibus Plan and the grant date fair value of any cash incentive awards granted in lieu of stock option awards and full value awards as required by the terms of the grant. The value of the option awards and cash incentive awards is determined using the number of options awarded and, for the cash incentive awards, the number of units awarded, and the grant date fair value for each option or unit made in the year. The grant date fair values on Company stock options and cash incentive awards are calculated in the same way as the full value awards above. No cash incentive awards in 2025 were granted at market price.</w:t>
      </w:r>
    </w:p>
    <w:p>
      <w:pPr>
        <w:spacing w:after="0" w:line="96" w:lineRule="exact"/>
        <w:rPr>
          <w:rFonts w:ascii="Arial" w:cs="Arial" w:eastAsia="Arial" w:hAnsi="Arial"/>
          <w:sz w:val="15"/>
          <w:szCs w:val="15"/>
          <w:color w:val="auto"/>
        </w:rPr>
      </w:pPr>
    </w:p>
    <w:p>
      <w:pPr>
        <w:jc w:val="both"/>
        <w:ind w:left="540" w:right="119" w:hanging="335"/>
        <w:spacing w:after="0" w:line="258"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Non-Equity Incentive Compensation for all NEOs listed above, for 2024, relates to incentive compensation earned for the stated year under the MICP and the additional Long-Term Incentive Plan (“2022 LTIP”). For 2023 and 2025, the amounts listed under Non-Equity Incentive Compensation relate to incentive compensation earned under the MICP only, as no payments were due in those years under the 2022 LTIP.</w:t>
      </w:r>
    </w:p>
    <w:p>
      <w:pPr>
        <w:spacing w:after="0" w:line="82" w:lineRule="exact"/>
        <w:rPr>
          <w:rFonts w:ascii="Arial" w:cs="Arial" w:eastAsia="Arial" w:hAnsi="Arial"/>
          <w:sz w:val="15"/>
          <w:szCs w:val="15"/>
          <w:color w:val="auto"/>
        </w:rPr>
      </w:pPr>
    </w:p>
    <w:p>
      <w:pPr>
        <w:jc w:val="both"/>
        <w:ind w:left="540" w:right="139" w:hanging="335"/>
        <w:spacing w:after="0" w:line="258"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amounts reflected under “All Other Compensation” for 2025 are identified in the “All Other Compensation” table below. Other than where specified below, where any perquisites and personal benefits are provided to a NEO which are not generally available on a non-discriminatory basis to all employees in that business unit, their total value for any NEO was less than $10,000 in the year ended December 31, 2025.</w:t>
      </w:r>
    </w:p>
    <w:p>
      <w:pPr>
        <w:spacing w:after="0" w:line="92"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9AB956"/>
        </w:rPr>
        <w:t>ALL OTHER COMPENSATION</w:t>
      </w:r>
    </w:p>
    <w:p>
      <w:pPr>
        <w:spacing w:after="0" w:line="190" w:lineRule="exact"/>
        <w:rPr>
          <w:sz w:val="20"/>
          <w:szCs w:val="20"/>
          <w:color w:val="auto"/>
        </w:rPr>
      </w:pPr>
    </w:p>
    <w:tbl>
      <w:tblPr>
        <w:tblLayout w:type="fixed"/>
        <w:tblInd w:w="210" w:type="dxa"/>
        <w:tblCellMar>
          <w:top w:w="0" w:type="dxa"/>
          <w:left w:w="0" w:type="dxa"/>
          <w:bottom w:w="0" w:type="dxa"/>
          <w:right w:w="0" w:type="dxa"/>
        </w:tblCellMar>
      </w:tblPr>
      <w:tr>
        <w:trPr>
          <w:trHeight w:val="163"/>
        </w:trPr>
        <w:tc>
          <w:tcPr>
            <w:tcW w:w="2380" w:type="dxa"/>
            <w:vAlign w:val="bottom"/>
            <w:tcBorders>
              <w:top w:val="single" w:sz="8" w:color="auto"/>
              <w:left w:val="single" w:sz="8" w:color="auto"/>
            </w:tcBorders>
            <w:shd w:val="clear" w:color="auto" w:fill="9AB956"/>
          </w:tcPr>
          <w:p>
            <w:pPr>
              <w:spacing w:after="0"/>
              <w:rPr>
                <w:sz w:val="14"/>
                <w:szCs w:val="14"/>
                <w:color w:val="auto"/>
              </w:rPr>
            </w:pPr>
          </w:p>
        </w:tc>
        <w:tc>
          <w:tcPr>
            <w:tcW w:w="660" w:type="dxa"/>
            <w:vAlign w:val="bottom"/>
            <w:tcBorders>
              <w:top w:val="single" w:sz="8" w:color="auto"/>
            </w:tcBorders>
            <w:shd w:val="clear" w:color="auto" w:fill="9AB956"/>
          </w:tcPr>
          <w:p>
            <w:pPr>
              <w:spacing w:after="0"/>
              <w:rPr>
                <w:sz w:val="14"/>
                <w:szCs w:val="14"/>
                <w:color w:val="auto"/>
              </w:rPr>
            </w:pPr>
          </w:p>
        </w:tc>
        <w:tc>
          <w:tcPr>
            <w:tcW w:w="84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10"/>
                <w:szCs w:val="10"/>
                <w:b w:val="1"/>
                <w:bCs w:val="1"/>
                <w:color w:val="FFFFFF"/>
              </w:rPr>
              <w:t>Car</w:t>
            </w:r>
          </w:p>
        </w:tc>
        <w:tc>
          <w:tcPr>
            <w:tcW w:w="840" w:type="dxa"/>
            <w:vAlign w:val="bottom"/>
            <w:tcBorders>
              <w:top w:val="single" w:sz="8" w:color="auto"/>
            </w:tcBorders>
            <w:shd w:val="clear" w:color="auto" w:fill="9AB956"/>
          </w:tcPr>
          <w:p>
            <w:pPr>
              <w:jc w:val="center"/>
              <w:ind w:right="28"/>
              <w:spacing w:after="0"/>
              <w:rPr>
                <w:sz w:val="20"/>
                <w:szCs w:val="20"/>
                <w:color w:val="auto"/>
              </w:rPr>
            </w:pPr>
            <w:r>
              <w:rPr>
                <w:rFonts w:ascii="Arial" w:cs="Arial" w:eastAsia="Arial" w:hAnsi="Arial"/>
                <w:sz w:val="10"/>
                <w:szCs w:val="10"/>
                <w:b w:val="1"/>
                <w:bCs w:val="1"/>
                <w:color w:val="FFFFFF"/>
              </w:rPr>
              <w:t>Pension</w:t>
            </w:r>
          </w:p>
        </w:tc>
        <w:tc>
          <w:tcPr>
            <w:tcW w:w="960" w:type="dxa"/>
            <w:vAlign w:val="bottom"/>
            <w:tcBorders>
              <w:top w:val="single" w:sz="8" w:color="auto"/>
            </w:tcBorders>
            <w:shd w:val="clear" w:color="auto" w:fill="9AB956"/>
          </w:tcPr>
          <w:p>
            <w:pPr>
              <w:jc w:val="center"/>
              <w:ind w:right="48"/>
              <w:spacing w:after="0"/>
              <w:rPr>
                <w:sz w:val="20"/>
                <w:szCs w:val="20"/>
                <w:color w:val="auto"/>
              </w:rPr>
            </w:pPr>
            <w:r>
              <w:rPr>
                <w:rFonts w:ascii="Arial" w:cs="Arial" w:eastAsia="Arial" w:hAnsi="Arial"/>
                <w:sz w:val="10"/>
                <w:szCs w:val="10"/>
                <w:b w:val="1"/>
                <w:bCs w:val="1"/>
                <w:color w:val="FFFFFF"/>
              </w:rPr>
              <w:t>Retirement</w:t>
            </w:r>
          </w:p>
        </w:tc>
        <w:tc>
          <w:tcPr>
            <w:tcW w:w="840" w:type="dxa"/>
            <w:vAlign w:val="bottom"/>
            <w:tcBorders>
              <w:top w:val="single" w:sz="8" w:color="auto"/>
            </w:tcBorders>
            <w:shd w:val="clear" w:color="auto" w:fill="9AB956"/>
          </w:tcPr>
          <w:p>
            <w:pPr>
              <w:jc w:val="right"/>
              <w:ind w:right="128"/>
              <w:spacing w:after="0"/>
              <w:rPr>
                <w:sz w:val="20"/>
                <w:szCs w:val="20"/>
                <w:color w:val="auto"/>
              </w:rPr>
            </w:pPr>
            <w:r>
              <w:rPr>
                <w:rFonts w:ascii="Arial" w:cs="Arial" w:eastAsia="Arial" w:hAnsi="Arial"/>
                <w:sz w:val="10"/>
                <w:szCs w:val="10"/>
                <w:b w:val="1"/>
                <w:bCs w:val="1"/>
                <w:color w:val="FFFFFF"/>
              </w:rPr>
              <w:t>Healthcare</w:t>
            </w:r>
          </w:p>
        </w:tc>
        <w:tc>
          <w:tcPr>
            <w:tcW w:w="840" w:type="dxa"/>
            <w:vAlign w:val="bottom"/>
            <w:tcBorders>
              <w:top w:val="single" w:sz="8" w:color="auto"/>
            </w:tcBorders>
            <w:shd w:val="clear" w:color="auto" w:fill="9AB956"/>
          </w:tcPr>
          <w:p>
            <w:pPr>
              <w:jc w:val="right"/>
              <w:ind w:right="128"/>
              <w:spacing w:after="0"/>
              <w:rPr>
                <w:sz w:val="20"/>
                <w:szCs w:val="20"/>
                <w:color w:val="auto"/>
              </w:rPr>
            </w:pPr>
            <w:r>
              <w:rPr>
                <w:rFonts w:ascii="Arial" w:cs="Arial" w:eastAsia="Arial" w:hAnsi="Arial"/>
                <w:sz w:val="10"/>
                <w:szCs w:val="10"/>
                <w:b w:val="1"/>
                <w:bCs w:val="1"/>
                <w:color w:val="FFFFFF"/>
              </w:rPr>
              <w:t>Insurances</w:t>
            </w:r>
          </w:p>
        </w:tc>
        <w:tc>
          <w:tcPr>
            <w:tcW w:w="680" w:type="dxa"/>
            <w:vAlign w:val="bottom"/>
            <w:tcBorders>
              <w:top w:val="single" w:sz="8" w:color="auto"/>
            </w:tcBorders>
            <w:shd w:val="clear" w:color="auto" w:fill="9AB956"/>
          </w:tcPr>
          <w:p>
            <w:pPr>
              <w:jc w:val="right"/>
              <w:ind w:right="208"/>
              <w:spacing w:after="0"/>
              <w:rPr>
                <w:sz w:val="20"/>
                <w:szCs w:val="20"/>
                <w:color w:val="auto"/>
              </w:rPr>
            </w:pPr>
            <w:r>
              <w:rPr>
                <w:rFonts w:ascii="Arial" w:cs="Arial" w:eastAsia="Arial" w:hAnsi="Arial"/>
                <w:sz w:val="10"/>
                <w:szCs w:val="10"/>
                <w:b w:val="1"/>
                <w:bCs w:val="1"/>
                <w:color w:val="FFFFFF"/>
              </w:rPr>
              <w:t>Other</w:t>
            </w:r>
          </w:p>
        </w:tc>
        <w:tc>
          <w:tcPr>
            <w:tcW w:w="640" w:type="dxa"/>
            <w:vAlign w:val="bottom"/>
            <w:tcBorders>
              <w:top w:val="single" w:sz="8" w:color="auto"/>
              <w:right w:val="single" w:sz="8" w:color="auto"/>
            </w:tcBorders>
            <w:shd w:val="clear" w:color="auto" w:fill="9AB956"/>
          </w:tcPr>
          <w:p>
            <w:pPr>
              <w:jc w:val="right"/>
              <w:ind w:right="188"/>
              <w:spacing w:after="0"/>
              <w:rPr>
                <w:sz w:val="20"/>
                <w:szCs w:val="20"/>
                <w:color w:val="auto"/>
              </w:rPr>
            </w:pPr>
            <w:r>
              <w:rPr>
                <w:rFonts w:ascii="Arial" w:cs="Arial" w:eastAsia="Arial" w:hAnsi="Arial"/>
                <w:sz w:val="10"/>
                <w:szCs w:val="10"/>
                <w:b w:val="1"/>
                <w:bCs w:val="1"/>
                <w:color w:val="FFFFFF"/>
              </w:rPr>
              <w:t>Total</w:t>
            </w:r>
          </w:p>
        </w:tc>
      </w:tr>
      <w:tr>
        <w:trPr>
          <w:trHeight w:val="142"/>
        </w:trPr>
        <w:tc>
          <w:tcPr>
            <w:tcW w:w="2380" w:type="dxa"/>
            <w:vAlign w:val="bottom"/>
            <w:tcBorders>
              <w:left w:val="single" w:sz="8" w:color="auto"/>
            </w:tcBorders>
            <w:shd w:val="clear" w:color="auto" w:fill="9AB956"/>
          </w:tcPr>
          <w:p>
            <w:pPr>
              <w:spacing w:after="0"/>
              <w:rPr>
                <w:sz w:val="12"/>
                <w:szCs w:val="12"/>
                <w:color w:val="auto"/>
              </w:rPr>
            </w:pPr>
          </w:p>
        </w:tc>
        <w:tc>
          <w:tcPr>
            <w:tcW w:w="660" w:type="dxa"/>
            <w:vAlign w:val="bottom"/>
            <w:shd w:val="clear" w:color="auto" w:fill="9AB956"/>
          </w:tcPr>
          <w:p>
            <w:pPr>
              <w:spacing w:after="0"/>
              <w:rPr>
                <w:sz w:val="12"/>
                <w:szCs w:val="12"/>
                <w:color w:val="auto"/>
              </w:rPr>
            </w:pPr>
          </w:p>
        </w:tc>
        <w:tc>
          <w:tcPr>
            <w:tcW w:w="84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rPr>
              <w:t>Allowance</w:t>
            </w:r>
          </w:p>
        </w:tc>
        <w:tc>
          <w:tcPr>
            <w:tcW w:w="840" w:type="dxa"/>
            <w:vAlign w:val="bottom"/>
            <w:shd w:val="clear" w:color="auto" w:fill="9AB956"/>
          </w:tcPr>
          <w:p>
            <w:pPr>
              <w:jc w:val="center"/>
              <w:ind w:right="28"/>
              <w:spacing w:after="0"/>
              <w:rPr>
                <w:sz w:val="20"/>
                <w:szCs w:val="20"/>
                <w:color w:val="auto"/>
              </w:rPr>
            </w:pPr>
            <w:r>
              <w:rPr>
                <w:rFonts w:ascii="Arial" w:cs="Arial" w:eastAsia="Arial" w:hAnsi="Arial"/>
                <w:sz w:val="10"/>
                <w:szCs w:val="10"/>
                <w:b w:val="1"/>
                <w:bCs w:val="1"/>
                <w:color w:val="FFFFFF"/>
              </w:rPr>
              <w:t>Allowance</w:t>
            </w:r>
          </w:p>
        </w:tc>
        <w:tc>
          <w:tcPr>
            <w:tcW w:w="960" w:type="dxa"/>
            <w:vAlign w:val="bottom"/>
            <w:shd w:val="clear" w:color="auto" w:fill="9AB956"/>
          </w:tcPr>
          <w:p>
            <w:pPr>
              <w:jc w:val="center"/>
              <w:ind w:right="48"/>
              <w:spacing w:after="0"/>
              <w:rPr>
                <w:sz w:val="20"/>
                <w:szCs w:val="20"/>
                <w:color w:val="auto"/>
              </w:rPr>
            </w:pPr>
            <w:r>
              <w:rPr>
                <w:rFonts w:ascii="Arial" w:cs="Arial" w:eastAsia="Arial" w:hAnsi="Arial"/>
                <w:sz w:val="10"/>
                <w:szCs w:val="10"/>
                <w:b w:val="1"/>
                <w:bCs w:val="1"/>
                <w:color w:val="FFFFFF"/>
              </w:rPr>
              <w:t>Contribution</w:t>
            </w:r>
          </w:p>
        </w:tc>
        <w:tc>
          <w:tcPr>
            <w:tcW w:w="840" w:type="dxa"/>
            <w:vAlign w:val="bottom"/>
            <w:shd w:val="clear" w:color="auto" w:fill="9AB956"/>
          </w:tcPr>
          <w:p>
            <w:pPr>
              <w:spacing w:after="0"/>
              <w:rPr>
                <w:sz w:val="12"/>
                <w:szCs w:val="12"/>
                <w:color w:val="auto"/>
              </w:rPr>
            </w:pPr>
          </w:p>
        </w:tc>
        <w:tc>
          <w:tcPr>
            <w:tcW w:w="840" w:type="dxa"/>
            <w:vAlign w:val="bottom"/>
            <w:shd w:val="clear" w:color="auto" w:fill="9AB956"/>
          </w:tcPr>
          <w:p>
            <w:pPr>
              <w:spacing w:after="0"/>
              <w:rPr>
                <w:sz w:val="12"/>
                <w:szCs w:val="12"/>
                <w:color w:val="auto"/>
              </w:rPr>
            </w:pPr>
          </w:p>
        </w:tc>
        <w:tc>
          <w:tcPr>
            <w:tcW w:w="680" w:type="dxa"/>
            <w:vAlign w:val="bottom"/>
            <w:shd w:val="clear" w:color="auto" w:fill="9AB956"/>
          </w:tcPr>
          <w:p>
            <w:pPr>
              <w:spacing w:after="0"/>
              <w:rPr>
                <w:sz w:val="12"/>
                <w:szCs w:val="12"/>
                <w:color w:val="auto"/>
              </w:rPr>
            </w:pPr>
          </w:p>
        </w:tc>
        <w:tc>
          <w:tcPr>
            <w:tcW w:w="640" w:type="dxa"/>
            <w:vAlign w:val="bottom"/>
            <w:tcBorders>
              <w:right w:val="single" w:sz="8" w:color="auto"/>
            </w:tcBorders>
            <w:shd w:val="clear" w:color="auto" w:fill="9AB956"/>
          </w:tcPr>
          <w:p>
            <w:pPr>
              <w:spacing w:after="0"/>
              <w:rPr>
                <w:sz w:val="12"/>
                <w:szCs w:val="12"/>
                <w:color w:val="auto"/>
              </w:rPr>
            </w:pPr>
          </w:p>
        </w:tc>
      </w:tr>
      <w:tr>
        <w:trPr>
          <w:trHeight w:val="212"/>
        </w:trPr>
        <w:tc>
          <w:tcPr>
            <w:tcW w:w="2380" w:type="dxa"/>
            <w:vAlign w:val="bottom"/>
            <w:tcBorders>
              <w:left w:val="single" w:sz="8" w:color="auto"/>
            </w:tcBorders>
            <w:shd w:val="clear" w:color="auto" w:fill="9AB956"/>
          </w:tcPr>
          <w:p>
            <w:pPr>
              <w:spacing w:after="0"/>
              <w:rPr>
                <w:sz w:val="18"/>
                <w:szCs w:val="18"/>
                <w:color w:val="auto"/>
              </w:rPr>
            </w:pPr>
          </w:p>
        </w:tc>
        <w:tc>
          <w:tcPr>
            <w:tcW w:w="660" w:type="dxa"/>
            <w:vAlign w:val="bottom"/>
            <w:shd w:val="clear" w:color="auto" w:fill="9AB956"/>
          </w:tcPr>
          <w:p>
            <w:pPr>
              <w:spacing w:after="0"/>
              <w:rPr>
                <w:sz w:val="18"/>
                <w:szCs w:val="18"/>
                <w:color w:val="auto"/>
              </w:rPr>
            </w:pPr>
          </w:p>
        </w:tc>
        <w:tc>
          <w:tcPr>
            <w:tcW w:w="840" w:type="dxa"/>
            <w:vAlign w:val="bottom"/>
            <w:shd w:val="clear" w:color="auto" w:fill="9AB956"/>
          </w:tcPr>
          <w:p>
            <w:pPr>
              <w:jc w:val="center"/>
              <w:spacing w:after="0"/>
              <w:rPr>
                <w:sz w:val="20"/>
                <w:szCs w:val="20"/>
                <w:color w:val="auto"/>
              </w:rPr>
            </w:pPr>
            <w:r>
              <w:rPr>
                <w:rFonts w:ascii="Arial" w:cs="Arial" w:eastAsia="Arial" w:hAnsi="Arial"/>
                <w:sz w:val="10"/>
                <w:szCs w:val="10"/>
                <w:b w:val="1"/>
                <w:bCs w:val="1"/>
                <w:color w:val="FFFFFF"/>
              </w:rPr>
              <w:t>(1)</w:t>
            </w:r>
          </w:p>
        </w:tc>
        <w:tc>
          <w:tcPr>
            <w:tcW w:w="840" w:type="dxa"/>
            <w:vAlign w:val="bottom"/>
            <w:shd w:val="clear" w:color="auto" w:fill="9AB956"/>
          </w:tcPr>
          <w:p>
            <w:pPr>
              <w:jc w:val="center"/>
              <w:ind w:right="28"/>
              <w:spacing w:after="0"/>
              <w:rPr>
                <w:sz w:val="20"/>
                <w:szCs w:val="20"/>
                <w:color w:val="auto"/>
              </w:rPr>
            </w:pPr>
            <w:r>
              <w:rPr>
                <w:rFonts w:ascii="Arial" w:cs="Arial" w:eastAsia="Arial" w:hAnsi="Arial"/>
                <w:sz w:val="10"/>
                <w:szCs w:val="10"/>
                <w:b w:val="1"/>
                <w:bCs w:val="1"/>
                <w:color w:val="FFFFFF"/>
                <w:w w:val="97"/>
              </w:rPr>
              <w:t>(2)</w:t>
            </w:r>
          </w:p>
        </w:tc>
        <w:tc>
          <w:tcPr>
            <w:tcW w:w="960" w:type="dxa"/>
            <w:vAlign w:val="bottom"/>
            <w:shd w:val="clear" w:color="auto" w:fill="9AB956"/>
          </w:tcPr>
          <w:p>
            <w:pPr>
              <w:jc w:val="center"/>
              <w:ind w:right="28"/>
              <w:spacing w:after="0"/>
              <w:rPr>
                <w:sz w:val="20"/>
                <w:szCs w:val="20"/>
                <w:color w:val="auto"/>
              </w:rPr>
            </w:pPr>
            <w:r>
              <w:rPr>
                <w:rFonts w:ascii="Arial" w:cs="Arial" w:eastAsia="Arial" w:hAnsi="Arial"/>
                <w:sz w:val="10"/>
                <w:szCs w:val="10"/>
                <w:b w:val="1"/>
                <w:bCs w:val="1"/>
                <w:color w:val="FFFFFF"/>
                <w:w w:val="97"/>
              </w:rPr>
              <w:t>(3)</w:t>
            </w:r>
          </w:p>
        </w:tc>
        <w:tc>
          <w:tcPr>
            <w:tcW w:w="840" w:type="dxa"/>
            <w:vAlign w:val="bottom"/>
            <w:shd w:val="clear" w:color="auto" w:fill="9AB956"/>
          </w:tcPr>
          <w:p>
            <w:pPr>
              <w:jc w:val="right"/>
              <w:ind w:right="328"/>
              <w:spacing w:after="0"/>
              <w:rPr>
                <w:sz w:val="20"/>
                <w:szCs w:val="20"/>
                <w:color w:val="auto"/>
              </w:rPr>
            </w:pPr>
            <w:r>
              <w:rPr>
                <w:rFonts w:ascii="Arial" w:cs="Arial" w:eastAsia="Arial" w:hAnsi="Arial"/>
                <w:sz w:val="10"/>
                <w:szCs w:val="10"/>
                <w:b w:val="1"/>
                <w:bCs w:val="1"/>
                <w:color w:val="FFFFFF"/>
              </w:rPr>
              <w:t>(4)</w:t>
            </w:r>
          </w:p>
        </w:tc>
        <w:tc>
          <w:tcPr>
            <w:tcW w:w="840" w:type="dxa"/>
            <w:vAlign w:val="bottom"/>
            <w:shd w:val="clear" w:color="auto" w:fill="9AB956"/>
          </w:tcPr>
          <w:p>
            <w:pPr>
              <w:jc w:val="right"/>
              <w:ind w:right="328"/>
              <w:spacing w:after="0"/>
              <w:rPr>
                <w:sz w:val="20"/>
                <w:szCs w:val="20"/>
                <w:color w:val="auto"/>
              </w:rPr>
            </w:pPr>
            <w:r>
              <w:rPr>
                <w:rFonts w:ascii="Arial" w:cs="Arial" w:eastAsia="Arial" w:hAnsi="Arial"/>
                <w:sz w:val="10"/>
                <w:szCs w:val="10"/>
                <w:b w:val="1"/>
                <w:bCs w:val="1"/>
                <w:color w:val="FFFFFF"/>
              </w:rPr>
              <w:t>(4)</w:t>
            </w:r>
          </w:p>
        </w:tc>
        <w:tc>
          <w:tcPr>
            <w:tcW w:w="680" w:type="dxa"/>
            <w:vAlign w:val="bottom"/>
            <w:shd w:val="clear" w:color="auto" w:fill="9AB956"/>
          </w:tcPr>
          <w:p>
            <w:pPr>
              <w:jc w:val="right"/>
              <w:ind w:right="288"/>
              <w:spacing w:after="0"/>
              <w:rPr>
                <w:sz w:val="20"/>
                <w:szCs w:val="20"/>
                <w:color w:val="auto"/>
              </w:rPr>
            </w:pPr>
            <w:r>
              <w:rPr>
                <w:rFonts w:ascii="Arial" w:cs="Arial" w:eastAsia="Arial" w:hAnsi="Arial"/>
                <w:sz w:val="10"/>
                <w:szCs w:val="10"/>
                <w:b w:val="1"/>
                <w:bCs w:val="1"/>
                <w:color w:val="FFFFFF"/>
              </w:rPr>
              <w:t>(5)</w:t>
            </w:r>
          </w:p>
        </w:tc>
        <w:tc>
          <w:tcPr>
            <w:tcW w:w="640" w:type="dxa"/>
            <w:vAlign w:val="bottom"/>
            <w:tcBorders>
              <w:right w:val="single" w:sz="8" w:color="auto"/>
            </w:tcBorders>
            <w:shd w:val="clear" w:color="auto" w:fill="9AB956"/>
          </w:tcPr>
          <w:p>
            <w:pPr>
              <w:spacing w:after="0"/>
              <w:rPr>
                <w:sz w:val="18"/>
                <w:szCs w:val="18"/>
                <w:color w:val="auto"/>
              </w:rPr>
            </w:pPr>
          </w:p>
        </w:tc>
      </w:tr>
      <w:tr>
        <w:trPr>
          <w:trHeight w:val="257"/>
        </w:trPr>
        <w:tc>
          <w:tcPr>
            <w:tcW w:w="2380" w:type="dxa"/>
            <w:vAlign w:val="bottom"/>
            <w:tcBorders>
              <w:left w:val="single" w:sz="8" w:color="auto"/>
              <w:bottom w:val="single" w:sz="8" w:color="9AB956"/>
            </w:tcBorders>
            <w:shd w:val="clear" w:color="auto" w:fill="9AB956"/>
          </w:tcPr>
          <w:p>
            <w:pPr>
              <w:spacing w:after="0"/>
              <w:rPr>
                <w:sz w:val="21"/>
                <w:szCs w:val="21"/>
                <w:color w:val="auto"/>
              </w:rPr>
            </w:pPr>
          </w:p>
        </w:tc>
        <w:tc>
          <w:tcPr>
            <w:tcW w:w="660" w:type="dxa"/>
            <w:vAlign w:val="bottom"/>
            <w:tcBorders>
              <w:bottom w:val="single" w:sz="8" w:color="9AB956"/>
            </w:tcBorders>
            <w:shd w:val="clear" w:color="auto" w:fill="9AB956"/>
          </w:tcPr>
          <w:p>
            <w:pPr>
              <w:spacing w:after="0"/>
              <w:rPr>
                <w:sz w:val="21"/>
                <w:szCs w:val="21"/>
                <w:color w:val="auto"/>
              </w:rPr>
            </w:pPr>
          </w:p>
        </w:tc>
        <w:tc>
          <w:tcPr>
            <w:tcW w:w="840" w:type="dxa"/>
            <w:vAlign w:val="bottom"/>
            <w:tcBorders>
              <w:bottom w:val="single" w:sz="8" w:color="9AB956"/>
            </w:tcBorders>
            <w:shd w:val="clear" w:color="auto" w:fill="9AB956"/>
          </w:tcPr>
          <w:p>
            <w:pPr>
              <w:jc w:val="center"/>
              <w:spacing w:after="0"/>
              <w:rPr>
                <w:sz w:val="20"/>
                <w:szCs w:val="20"/>
                <w:color w:val="auto"/>
              </w:rPr>
            </w:pPr>
            <w:r>
              <w:rPr>
                <w:rFonts w:ascii="Arial" w:cs="Arial" w:eastAsia="Arial" w:hAnsi="Arial"/>
                <w:sz w:val="10"/>
                <w:szCs w:val="10"/>
                <w:b w:val="1"/>
                <w:bCs w:val="1"/>
                <w:color w:val="FFFFFF"/>
              </w:rPr>
              <w:t>($)</w:t>
            </w:r>
          </w:p>
        </w:tc>
        <w:tc>
          <w:tcPr>
            <w:tcW w:w="840" w:type="dxa"/>
            <w:vAlign w:val="bottom"/>
            <w:tcBorders>
              <w:bottom w:val="single" w:sz="8" w:color="9AB956"/>
            </w:tcBorders>
            <w:shd w:val="clear" w:color="auto" w:fill="9AB956"/>
          </w:tcPr>
          <w:p>
            <w:pPr>
              <w:jc w:val="center"/>
              <w:ind w:right="28"/>
              <w:spacing w:after="0"/>
              <w:rPr>
                <w:sz w:val="20"/>
                <w:szCs w:val="20"/>
                <w:color w:val="auto"/>
              </w:rPr>
            </w:pPr>
            <w:r>
              <w:rPr>
                <w:rFonts w:ascii="Arial" w:cs="Arial" w:eastAsia="Arial" w:hAnsi="Arial"/>
                <w:sz w:val="10"/>
                <w:szCs w:val="10"/>
                <w:b w:val="1"/>
                <w:bCs w:val="1"/>
                <w:color w:val="FFFFFF"/>
                <w:w w:val="97"/>
              </w:rPr>
              <w:t>($)</w:t>
            </w:r>
          </w:p>
        </w:tc>
        <w:tc>
          <w:tcPr>
            <w:tcW w:w="960" w:type="dxa"/>
            <w:vAlign w:val="bottom"/>
            <w:tcBorders>
              <w:bottom w:val="single" w:sz="8" w:color="9AB956"/>
            </w:tcBorders>
            <w:shd w:val="clear" w:color="auto" w:fill="9AB956"/>
          </w:tcPr>
          <w:p>
            <w:pPr>
              <w:jc w:val="center"/>
              <w:ind w:right="28"/>
              <w:spacing w:after="0"/>
              <w:rPr>
                <w:sz w:val="20"/>
                <w:szCs w:val="20"/>
                <w:color w:val="auto"/>
              </w:rPr>
            </w:pPr>
            <w:r>
              <w:rPr>
                <w:rFonts w:ascii="Arial" w:cs="Arial" w:eastAsia="Arial" w:hAnsi="Arial"/>
                <w:sz w:val="10"/>
                <w:szCs w:val="10"/>
                <w:b w:val="1"/>
                <w:bCs w:val="1"/>
                <w:color w:val="FFFFFF"/>
                <w:w w:val="97"/>
              </w:rPr>
              <w:t>($)</w:t>
            </w:r>
          </w:p>
        </w:tc>
        <w:tc>
          <w:tcPr>
            <w:tcW w:w="840" w:type="dxa"/>
            <w:vAlign w:val="bottom"/>
            <w:tcBorders>
              <w:bottom w:val="single" w:sz="8" w:color="9AB956"/>
            </w:tcBorders>
            <w:shd w:val="clear" w:color="auto" w:fill="9AB956"/>
          </w:tcPr>
          <w:p>
            <w:pPr>
              <w:jc w:val="right"/>
              <w:ind w:right="328"/>
              <w:spacing w:after="0"/>
              <w:rPr>
                <w:sz w:val="20"/>
                <w:szCs w:val="20"/>
                <w:color w:val="auto"/>
              </w:rPr>
            </w:pPr>
            <w:r>
              <w:rPr>
                <w:rFonts w:ascii="Arial" w:cs="Arial" w:eastAsia="Arial" w:hAnsi="Arial"/>
                <w:sz w:val="10"/>
                <w:szCs w:val="10"/>
                <w:b w:val="1"/>
                <w:bCs w:val="1"/>
                <w:color w:val="FFFFFF"/>
              </w:rPr>
              <w:t>($)</w:t>
            </w:r>
          </w:p>
        </w:tc>
        <w:tc>
          <w:tcPr>
            <w:tcW w:w="840" w:type="dxa"/>
            <w:vAlign w:val="bottom"/>
            <w:tcBorders>
              <w:bottom w:val="single" w:sz="8" w:color="9AB956"/>
            </w:tcBorders>
            <w:shd w:val="clear" w:color="auto" w:fill="9AB956"/>
          </w:tcPr>
          <w:p>
            <w:pPr>
              <w:jc w:val="right"/>
              <w:ind w:right="328"/>
              <w:spacing w:after="0"/>
              <w:rPr>
                <w:sz w:val="20"/>
                <w:szCs w:val="20"/>
                <w:color w:val="auto"/>
              </w:rPr>
            </w:pPr>
            <w:r>
              <w:rPr>
                <w:rFonts w:ascii="Arial" w:cs="Arial" w:eastAsia="Arial" w:hAnsi="Arial"/>
                <w:sz w:val="10"/>
                <w:szCs w:val="10"/>
                <w:b w:val="1"/>
                <w:bCs w:val="1"/>
                <w:color w:val="FFFFFF"/>
              </w:rPr>
              <w:t>($)</w:t>
            </w:r>
          </w:p>
        </w:tc>
        <w:tc>
          <w:tcPr>
            <w:tcW w:w="680" w:type="dxa"/>
            <w:vAlign w:val="bottom"/>
            <w:tcBorders>
              <w:bottom w:val="single" w:sz="8" w:color="9AB956"/>
            </w:tcBorders>
            <w:shd w:val="clear" w:color="auto" w:fill="9AB956"/>
          </w:tcPr>
          <w:p>
            <w:pPr>
              <w:jc w:val="right"/>
              <w:ind w:right="288"/>
              <w:spacing w:after="0"/>
              <w:rPr>
                <w:sz w:val="20"/>
                <w:szCs w:val="20"/>
                <w:color w:val="auto"/>
              </w:rPr>
            </w:pPr>
            <w:r>
              <w:rPr>
                <w:rFonts w:ascii="Arial" w:cs="Arial" w:eastAsia="Arial" w:hAnsi="Arial"/>
                <w:sz w:val="10"/>
                <w:szCs w:val="10"/>
                <w:b w:val="1"/>
                <w:bCs w:val="1"/>
                <w:color w:val="FFFFFF"/>
              </w:rPr>
              <w:t>($)</w:t>
            </w:r>
          </w:p>
        </w:tc>
        <w:tc>
          <w:tcPr>
            <w:tcW w:w="640" w:type="dxa"/>
            <w:vAlign w:val="bottom"/>
            <w:tcBorders>
              <w:bottom w:val="single" w:sz="8" w:color="9AB956"/>
              <w:right w:val="single" w:sz="8" w:color="auto"/>
            </w:tcBorders>
            <w:shd w:val="clear" w:color="auto" w:fill="9AB956"/>
          </w:tcPr>
          <w:p>
            <w:pPr>
              <w:jc w:val="right"/>
              <w:ind w:right="248"/>
              <w:spacing w:after="0"/>
              <w:rPr>
                <w:sz w:val="20"/>
                <w:szCs w:val="20"/>
                <w:color w:val="auto"/>
              </w:rPr>
            </w:pPr>
            <w:r>
              <w:rPr>
                <w:rFonts w:ascii="Arial" w:cs="Arial" w:eastAsia="Arial" w:hAnsi="Arial"/>
                <w:sz w:val="10"/>
                <w:szCs w:val="10"/>
                <w:b w:val="1"/>
                <w:bCs w:val="1"/>
                <w:color w:val="FFFFFF"/>
              </w:rPr>
              <w:t>($)</w:t>
            </w:r>
          </w:p>
        </w:tc>
      </w:tr>
      <w:tr>
        <w:trPr>
          <w:trHeight w:val="143"/>
        </w:trPr>
        <w:tc>
          <w:tcPr>
            <w:tcW w:w="238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0"/>
                <w:szCs w:val="10"/>
                <w:b w:val="1"/>
                <w:bCs w:val="1"/>
                <w:color w:val="auto"/>
              </w:rPr>
              <w:t>Mr. Patrick S. Williams</w:t>
            </w: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0"/>
                <w:szCs w:val="10"/>
                <w:color w:val="auto"/>
              </w:rPr>
              <w:t>2025</w:t>
            </w: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0</w:t>
            </w: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0</w:t>
            </w: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rPr>
              <w:t>84,498</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rPr>
              <w:t>31,964</w:t>
            </w: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rPr>
              <w:t>1,328</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color w:val="auto"/>
              </w:rPr>
              <w:t>103,450</w:t>
            </w:r>
          </w:p>
        </w:tc>
        <w:tc>
          <w:tcPr>
            <w:tcW w:w="640" w:type="dxa"/>
            <w:vAlign w:val="bottom"/>
            <w:tcBorders>
              <w:top w:val="single" w:sz="8" w:color="auto"/>
              <w:right w:val="single" w:sz="8" w:color="auto"/>
            </w:tcBorders>
          </w:tcPr>
          <w:p>
            <w:pPr>
              <w:jc w:val="right"/>
              <w:ind w:right="48"/>
              <w:spacing w:after="0"/>
              <w:rPr>
                <w:sz w:val="20"/>
                <w:szCs w:val="20"/>
                <w:color w:val="auto"/>
              </w:rPr>
            </w:pPr>
            <w:r>
              <w:rPr>
                <w:rFonts w:ascii="Arial" w:cs="Arial" w:eastAsia="Arial" w:hAnsi="Arial"/>
                <w:sz w:val="10"/>
                <w:szCs w:val="10"/>
                <w:color w:val="auto"/>
              </w:rPr>
              <w:t>221,240</w:t>
            </w:r>
          </w:p>
        </w:tc>
      </w:tr>
      <w:tr>
        <w:trPr>
          <w:trHeight w:val="136"/>
        </w:trPr>
        <w:tc>
          <w:tcPr>
            <w:tcW w:w="238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President and Chief Executive Officer</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r>
      <w:tr>
        <w:trPr>
          <w:trHeight w:val="46"/>
        </w:trPr>
        <w:tc>
          <w:tcPr>
            <w:tcW w:w="23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r>
      <w:tr>
        <w:trPr>
          <w:trHeight w:val="143"/>
        </w:trPr>
        <w:tc>
          <w:tcPr>
            <w:tcW w:w="2380" w:type="dxa"/>
            <w:vAlign w:val="bottom"/>
            <w:tcBorders>
              <w:left w:val="single" w:sz="8" w:color="auto"/>
            </w:tcBorders>
            <w:shd w:val="clear" w:color="auto" w:fill="F4F8EE"/>
          </w:tcPr>
          <w:p>
            <w:pPr>
              <w:ind w:left="100"/>
              <w:spacing w:after="0"/>
              <w:rPr>
                <w:sz w:val="20"/>
                <w:szCs w:val="20"/>
                <w:color w:val="auto"/>
              </w:rPr>
            </w:pPr>
            <w:r>
              <w:rPr>
                <w:rFonts w:ascii="Arial" w:cs="Arial" w:eastAsia="Arial" w:hAnsi="Arial"/>
                <w:sz w:val="10"/>
                <w:szCs w:val="10"/>
                <w:b w:val="1"/>
                <w:bCs w:val="1"/>
                <w:color w:val="auto"/>
              </w:rPr>
              <w:t>Mr. Ian P. Cleminson</w:t>
            </w:r>
          </w:p>
        </w:tc>
        <w:tc>
          <w:tcPr>
            <w:tcW w:w="660" w:type="dxa"/>
            <w:vAlign w:val="bottom"/>
            <w:shd w:val="clear" w:color="auto" w:fill="F4F8EE"/>
          </w:tcPr>
          <w:p>
            <w:pPr>
              <w:jc w:val="right"/>
              <w:ind w:right="168"/>
              <w:spacing w:after="0"/>
              <w:rPr>
                <w:sz w:val="20"/>
                <w:szCs w:val="20"/>
                <w:color w:val="auto"/>
              </w:rPr>
            </w:pPr>
            <w:r>
              <w:rPr>
                <w:rFonts w:ascii="Arial" w:cs="Arial" w:eastAsia="Arial" w:hAnsi="Arial"/>
                <w:sz w:val="10"/>
                <w:szCs w:val="10"/>
                <w:color w:val="auto"/>
              </w:rPr>
              <w:t>2025</w:t>
            </w:r>
          </w:p>
        </w:tc>
        <w:tc>
          <w:tcPr>
            <w:tcW w:w="840" w:type="dxa"/>
            <w:vAlign w:val="bottom"/>
            <w:shd w:val="clear" w:color="auto" w:fill="F4F8EE"/>
          </w:tcPr>
          <w:p>
            <w:pPr>
              <w:jc w:val="right"/>
              <w:ind w:right="68"/>
              <w:spacing w:after="0"/>
              <w:rPr>
                <w:sz w:val="20"/>
                <w:szCs w:val="20"/>
                <w:color w:val="auto"/>
              </w:rPr>
            </w:pPr>
            <w:r>
              <w:rPr>
                <w:rFonts w:ascii="Arial" w:cs="Arial" w:eastAsia="Arial" w:hAnsi="Arial"/>
                <w:sz w:val="10"/>
                <w:szCs w:val="10"/>
                <w:color w:val="auto"/>
              </w:rPr>
              <w:t>17,881</w:t>
            </w:r>
          </w:p>
        </w:tc>
        <w:tc>
          <w:tcPr>
            <w:tcW w:w="840" w:type="dxa"/>
            <w:vAlign w:val="bottom"/>
            <w:shd w:val="clear" w:color="auto" w:fill="F4F8EE"/>
          </w:tcPr>
          <w:p>
            <w:pPr>
              <w:jc w:val="right"/>
              <w:ind w:right="68"/>
              <w:spacing w:after="0"/>
              <w:rPr>
                <w:sz w:val="20"/>
                <w:szCs w:val="20"/>
                <w:color w:val="auto"/>
              </w:rPr>
            </w:pPr>
            <w:r>
              <w:rPr>
                <w:rFonts w:ascii="Arial" w:cs="Arial" w:eastAsia="Arial" w:hAnsi="Arial"/>
                <w:sz w:val="10"/>
                <w:szCs w:val="10"/>
                <w:color w:val="auto"/>
              </w:rPr>
              <w:t>108,229</w:t>
            </w:r>
          </w:p>
        </w:tc>
        <w:tc>
          <w:tcPr>
            <w:tcW w:w="960" w:type="dxa"/>
            <w:vAlign w:val="bottom"/>
            <w:shd w:val="clear" w:color="auto" w:fill="F4F8EE"/>
          </w:tcPr>
          <w:p>
            <w:pPr>
              <w:jc w:val="right"/>
              <w:ind w:right="88"/>
              <w:spacing w:after="0"/>
              <w:rPr>
                <w:sz w:val="20"/>
                <w:szCs w:val="20"/>
                <w:color w:val="auto"/>
              </w:rPr>
            </w:pPr>
            <w:r>
              <w:rPr>
                <w:rFonts w:ascii="Arial" w:cs="Arial" w:eastAsia="Arial" w:hAnsi="Arial"/>
                <w:sz w:val="10"/>
                <w:szCs w:val="10"/>
                <w:color w:val="auto"/>
              </w:rPr>
              <w:t>0</w:t>
            </w:r>
          </w:p>
        </w:tc>
        <w:tc>
          <w:tcPr>
            <w:tcW w:w="840" w:type="dxa"/>
            <w:vAlign w:val="bottom"/>
            <w:shd w:val="clear" w:color="auto" w:fill="F4F8EE"/>
          </w:tcPr>
          <w:p>
            <w:pPr>
              <w:jc w:val="right"/>
              <w:ind w:right="48"/>
              <w:spacing w:after="0"/>
              <w:rPr>
                <w:sz w:val="20"/>
                <w:szCs w:val="20"/>
                <w:color w:val="auto"/>
              </w:rPr>
            </w:pPr>
            <w:r>
              <w:rPr>
                <w:rFonts w:ascii="Arial" w:cs="Arial" w:eastAsia="Arial" w:hAnsi="Arial"/>
                <w:sz w:val="10"/>
                <w:szCs w:val="10"/>
                <w:color w:val="auto"/>
              </w:rPr>
              <w:t>2,538</w:t>
            </w:r>
          </w:p>
        </w:tc>
        <w:tc>
          <w:tcPr>
            <w:tcW w:w="840" w:type="dxa"/>
            <w:vAlign w:val="bottom"/>
            <w:shd w:val="clear" w:color="auto" w:fill="F4F8EE"/>
          </w:tcPr>
          <w:p>
            <w:pPr>
              <w:jc w:val="right"/>
              <w:ind w:right="88"/>
              <w:spacing w:after="0"/>
              <w:rPr>
                <w:sz w:val="20"/>
                <w:szCs w:val="20"/>
                <w:color w:val="auto"/>
              </w:rPr>
            </w:pPr>
            <w:r>
              <w:rPr>
                <w:rFonts w:ascii="Arial" w:cs="Arial" w:eastAsia="Arial" w:hAnsi="Arial"/>
                <w:sz w:val="10"/>
                <w:szCs w:val="10"/>
                <w:color w:val="auto"/>
              </w:rPr>
              <w:t>26,550</w:t>
            </w:r>
          </w:p>
        </w:tc>
        <w:tc>
          <w:tcPr>
            <w:tcW w:w="680" w:type="dxa"/>
            <w:vAlign w:val="bottom"/>
            <w:shd w:val="clear" w:color="auto" w:fill="F4F8EE"/>
          </w:tcPr>
          <w:p>
            <w:pPr>
              <w:jc w:val="right"/>
              <w:ind w:right="108"/>
              <w:spacing w:after="0"/>
              <w:rPr>
                <w:sz w:val="20"/>
                <w:szCs w:val="20"/>
                <w:color w:val="auto"/>
              </w:rPr>
            </w:pPr>
            <w:r>
              <w:rPr>
                <w:rFonts w:ascii="Arial" w:cs="Arial" w:eastAsia="Arial" w:hAnsi="Arial"/>
                <w:sz w:val="10"/>
                <w:szCs w:val="10"/>
                <w:color w:val="auto"/>
              </w:rPr>
              <w:t>0</w:t>
            </w:r>
          </w:p>
        </w:tc>
        <w:tc>
          <w:tcPr>
            <w:tcW w:w="640" w:type="dxa"/>
            <w:vAlign w:val="bottom"/>
            <w:tcBorders>
              <w:right w:val="single" w:sz="8" w:color="auto"/>
            </w:tcBorders>
            <w:shd w:val="clear" w:color="auto" w:fill="F4F8EE"/>
          </w:tcPr>
          <w:p>
            <w:pPr>
              <w:jc w:val="right"/>
              <w:ind w:right="48"/>
              <w:spacing w:after="0"/>
              <w:rPr>
                <w:sz w:val="20"/>
                <w:szCs w:val="20"/>
                <w:color w:val="auto"/>
              </w:rPr>
            </w:pPr>
            <w:r>
              <w:rPr>
                <w:rFonts w:ascii="Arial" w:cs="Arial" w:eastAsia="Arial" w:hAnsi="Arial"/>
                <w:sz w:val="10"/>
                <w:szCs w:val="10"/>
                <w:color w:val="auto"/>
              </w:rPr>
              <w:t>155,198</w:t>
            </w:r>
          </w:p>
        </w:tc>
      </w:tr>
      <w:tr>
        <w:trPr>
          <w:trHeight w:val="122"/>
        </w:trPr>
        <w:tc>
          <w:tcPr>
            <w:tcW w:w="2380" w:type="dxa"/>
            <w:vAlign w:val="bottom"/>
            <w:tcBorders>
              <w:left w:val="single" w:sz="8" w:color="auto"/>
            </w:tcBorders>
            <w:shd w:val="clear" w:color="auto" w:fill="F4F8EE"/>
          </w:tcPr>
          <w:p>
            <w:pPr>
              <w:ind w:left="100"/>
              <w:spacing w:after="0"/>
              <w:rPr>
                <w:sz w:val="20"/>
                <w:szCs w:val="20"/>
                <w:color w:val="auto"/>
              </w:rPr>
            </w:pPr>
            <w:r>
              <w:rPr>
                <w:rFonts w:ascii="Arial" w:cs="Arial" w:eastAsia="Arial" w:hAnsi="Arial"/>
                <w:sz w:val="10"/>
                <w:szCs w:val="10"/>
                <w:color w:val="auto"/>
              </w:rPr>
              <w:t>Executive Vice President and</w:t>
            </w:r>
          </w:p>
        </w:tc>
        <w:tc>
          <w:tcPr>
            <w:tcW w:w="660" w:type="dxa"/>
            <w:vAlign w:val="bottom"/>
            <w:shd w:val="clear" w:color="auto" w:fill="F4F8EE"/>
          </w:tcPr>
          <w:p>
            <w:pPr>
              <w:spacing w:after="0"/>
              <w:rPr>
                <w:sz w:val="10"/>
                <w:szCs w:val="10"/>
                <w:color w:val="auto"/>
              </w:rPr>
            </w:pPr>
          </w:p>
        </w:tc>
        <w:tc>
          <w:tcPr>
            <w:tcW w:w="840" w:type="dxa"/>
            <w:vAlign w:val="bottom"/>
            <w:shd w:val="clear" w:color="auto" w:fill="F4F8EE"/>
          </w:tcPr>
          <w:p>
            <w:pPr>
              <w:spacing w:after="0"/>
              <w:rPr>
                <w:sz w:val="10"/>
                <w:szCs w:val="10"/>
                <w:color w:val="auto"/>
              </w:rPr>
            </w:pPr>
          </w:p>
        </w:tc>
        <w:tc>
          <w:tcPr>
            <w:tcW w:w="840" w:type="dxa"/>
            <w:vAlign w:val="bottom"/>
            <w:shd w:val="clear" w:color="auto" w:fill="F4F8EE"/>
          </w:tcPr>
          <w:p>
            <w:pPr>
              <w:spacing w:after="0"/>
              <w:rPr>
                <w:sz w:val="10"/>
                <w:szCs w:val="10"/>
                <w:color w:val="auto"/>
              </w:rPr>
            </w:pPr>
          </w:p>
        </w:tc>
        <w:tc>
          <w:tcPr>
            <w:tcW w:w="960" w:type="dxa"/>
            <w:vAlign w:val="bottom"/>
            <w:shd w:val="clear" w:color="auto" w:fill="F4F8EE"/>
          </w:tcPr>
          <w:p>
            <w:pPr>
              <w:spacing w:after="0"/>
              <w:rPr>
                <w:sz w:val="10"/>
                <w:szCs w:val="10"/>
                <w:color w:val="auto"/>
              </w:rPr>
            </w:pPr>
          </w:p>
        </w:tc>
        <w:tc>
          <w:tcPr>
            <w:tcW w:w="840" w:type="dxa"/>
            <w:vAlign w:val="bottom"/>
            <w:shd w:val="clear" w:color="auto" w:fill="F4F8EE"/>
          </w:tcPr>
          <w:p>
            <w:pPr>
              <w:spacing w:after="0"/>
              <w:rPr>
                <w:sz w:val="10"/>
                <w:szCs w:val="10"/>
                <w:color w:val="auto"/>
              </w:rPr>
            </w:pPr>
          </w:p>
        </w:tc>
        <w:tc>
          <w:tcPr>
            <w:tcW w:w="840" w:type="dxa"/>
            <w:vAlign w:val="bottom"/>
            <w:shd w:val="clear" w:color="auto" w:fill="F4F8EE"/>
          </w:tcPr>
          <w:p>
            <w:pPr>
              <w:spacing w:after="0"/>
              <w:rPr>
                <w:sz w:val="10"/>
                <w:szCs w:val="10"/>
                <w:color w:val="auto"/>
              </w:rPr>
            </w:pPr>
          </w:p>
        </w:tc>
        <w:tc>
          <w:tcPr>
            <w:tcW w:w="680" w:type="dxa"/>
            <w:vAlign w:val="bottom"/>
            <w:shd w:val="clear" w:color="auto" w:fill="F4F8EE"/>
          </w:tcPr>
          <w:p>
            <w:pPr>
              <w:spacing w:after="0"/>
              <w:rPr>
                <w:sz w:val="10"/>
                <w:szCs w:val="10"/>
                <w:color w:val="auto"/>
              </w:rPr>
            </w:pPr>
          </w:p>
        </w:tc>
        <w:tc>
          <w:tcPr>
            <w:tcW w:w="640" w:type="dxa"/>
            <w:vAlign w:val="bottom"/>
            <w:tcBorders>
              <w:right w:val="single" w:sz="8" w:color="auto"/>
            </w:tcBorders>
            <w:shd w:val="clear" w:color="auto" w:fill="F4F8EE"/>
          </w:tcPr>
          <w:p>
            <w:pPr>
              <w:spacing w:after="0"/>
              <w:rPr>
                <w:sz w:val="10"/>
                <w:szCs w:val="10"/>
                <w:color w:val="auto"/>
              </w:rPr>
            </w:pPr>
          </w:p>
        </w:tc>
      </w:tr>
      <w:tr>
        <w:trPr>
          <w:trHeight w:val="198"/>
        </w:trPr>
        <w:tc>
          <w:tcPr>
            <w:tcW w:w="2380" w:type="dxa"/>
            <w:vAlign w:val="bottom"/>
            <w:tcBorders>
              <w:left w:val="single" w:sz="8" w:color="auto"/>
              <w:bottom w:val="single" w:sz="8" w:color="F4F8EE"/>
            </w:tcBorders>
            <w:shd w:val="clear" w:color="auto" w:fill="F4F8EE"/>
          </w:tcPr>
          <w:p>
            <w:pPr>
              <w:ind w:left="100"/>
              <w:spacing w:after="0"/>
              <w:rPr>
                <w:sz w:val="20"/>
                <w:szCs w:val="20"/>
                <w:color w:val="auto"/>
              </w:rPr>
            </w:pPr>
            <w:r>
              <w:rPr>
                <w:rFonts w:ascii="Arial" w:cs="Arial" w:eastAsia="Arial" w:hAnsi="Arial"/>
                <w:sz w:val="10"/>
                <w:szCs w:val="10"/>
                <w:color w:val="auto"/>
              </w:rPr>
              <w:t>Chief Financial Officer</w:t>
            </w:r>
          </w:p>
        </w:tc>
        <w:tc>
          <w:tcPr>
            <w:tcW w:w="660" w:type="dxa"/>
            <w:vAlign w:val="bottom"/>
            <w:tcBorders>
              <w:bottom w:val="single" w:sz="8" w:color="F4F8EE"/>
            </w:tcBorders>
            <w:shd w:val="clear" w:color="auto" w:fill="F4F8EE"/>
          </w:tcPr>
          <w:p>
            <w:pPr>
              <w:spacing w:after="0"/>
              <w:rPr>
                <w:sz w:val="16"/>
                <w:szCs w:val="16"/>
                <w:color w:val="auto"/>
              </w:rPr>
            </w:pPr>
          </w:p>
        </w:tc>
        <w:tc>
          <w:tcPr>
            <w:tcW w:w="840" w:type="dxa"/>
            <w:vAlign w:val="bottom"/>
            <w:tcBorders>
              <w:bottom w:val="single" w:sz="8" w:color="F4F8EE"/>
            </w:tcBorders>
            <w:shd w:val="clear" w:color="auto" w:fill="F4F8EE"/>
          </w:tcPr>
          <w:p>
            <w:pPr>
              <w:spacing w:after="0"/>
              <w:rPr>
                <w:sz w:val="16"/>
                <w:szCs w:val="16"/>
                <w:color w:val="auto"/>
              </w:rPr>
            </w:pPr>
          </w:p>
        </w:tc>
        <w:tc>
          <w:tcPr>
            <w:tcW w:w="840" w:type="dxa"/>
            <w:vAlign w:val="bottom"/>
            <w:tcBorders>
              <w:bottom w:val="single" w:sz="8" w:color="F4F8EE"/>
            </w:tcBorders>
            <w:shd w:val="clear" w:color="auto" w:fill="F4F8EE"/>
          </w:tcPr>
          <w:p>
            <w:pPr>
              <w:spacing w:after="0"/>
              <w:rPr>
                <w:sz w:val="16"/>
                <w:szCs w:val="16"/>
                <w:color w:val="auto"/>
              </w:rPr>
            </w:pPr>
          </w:p>
        </w:tc>
        <w:tc>
          <w:tcPr>
            <w:tcW w:w="960" w:type="dxa"/>
            <w:vAlign w:val="bottom"/>
            <w:tcBorders>
              <w:bottom w:val="single" w:sz="8" w:color="F4F8EE"/>
            </w:tcBorders>
            <w:shd w:val="clear" w:color="auto" w:fill="F4F8EE"/>
          </w:tcPr>
          <w:p>
            <w:pPr>
              <w:spacing w:after="0"/>
              <w:rPr>
                <w:sz w:val="16"/>
                <w:szCs w:val="16"/>
                <w:color w:val="auto"/>
              </w:rPr>
            </w:pPr>
          </w:p>
        </w:tc>
        <w:tc>
          <w:tcPr>
            <w:tcW w:w="840" w:type="dxa"/>
            <w:vAlign w:val="bottom"/>
            <w:tcBorders>
              <w:bottom w:val="single" w:sz="8" w:color="F4F8EE"/>
            </w:tcBorders>
            <w:shd w:val="clear" w:color="auto" w:fill="F4F8EE"/>
          </w:tcPr>
          <w:p>
            <w:pPr>
              <w:spacing w:after="0"/>
              <w:rPr>
                <w:sz w:val="16"/>
                <w:szCs w:val="16"/>
                <w:color w:val="auto"/>
              </w:rPr>
            </w:pPr>
          </w:p>
        </w:tc>
        <w:tc>
          <w:tcPr>
            <w:tcW w:w="840" w:type="dxa"/>
            <w:vAlign w:val="bottom"/>
            <w:tcBorders>
              <w:bottom w:val="single" w:sz="8" w:color="F4F8EE"/>
            </w:tcBorders>
            <w:shd w:val="clear" w:color="auto" w:fill="F4F8EE"/>
          </w:tcPr>
          <w:p>
            <w:pPr>
              <w:spacing w:after="0"/>
              <w:rPr>
                <w:sz w:val="16"/>
                <w:szCs w:val="16"/>
                <w:color w:val="auto"/>
              </w:rPr>
            </w:pPr>
          </w:p>
        </w:tc>
        <w:tc>
          <w:tcPr>
            <w:tcW w:w="680" w:type="dxa"/>
            <w:vAlign w:val="bottom"/>
            <w:tcBorders>
              <w:bottom w:val="single" w:sz="8" w:color="F4F8EE"/>
            </w:tcBorders>
            <w:shd w:val="clear" w:color="auto" w:fill="F4F8EE"/>
          </w:tcPr>
          <w:p>
            <w:pPr>
              <w:spacing w:after="0"/>
              <w:rPr>
                <w:sz w:val="16"/>
                <w:szCs w:val="16"/>
                <w:color w:val="auto"/>
              </w:rPr>
            </w:pPr>
          </w:p>
        </w:tc>
        <w:tc>
          <w:tcPr>
            <w:tcW w:w="640" w:type="dxa"/>
            <w:vAlign w:val="bottom"/>
            <w:tcBorders>
              <w:bottom w:val="single" w:sz="8" w:color="F4F8EE"/>
              <w:right w:val="single" w:sz="8" w:color="auto"/>
            </w:tcBorders>
            <w:shd w:val="clear" w:color="auto" w:fill="F4F8EE"/>
          </w:tcPr>
          <w:p>
            <w:pPr>
              <w:spacing w:after="0"/>
              <w:rPr>
                <w:sz w:val="16"/>
                <w:szCs w:val="16"/>
                <w:color w:val="auto"/>
              </w:rPr>
            </w:pPr>
          </w:p>
        </w:tc>
      </w:tr>
      <w:tr>
        <w:trPr>
          <w:trHeight w:val="143"/>
        </w:trPr>
        <w:tc>
          <w:tcPr>
            <w:tcW w:w="238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0"/>
                <w:szCs w:val="10"/>
                <w:b w:val="1"/>
                <w:bCs w:val="1"/>
                <w:color w:val="auto"/>
              </w:rPr>
              <w:t>Dr. Ian M. McRobbie</w:t>
            </w: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0"/>
                <w:szCs w:val="10"/>
                <w:color w:val="auto"/>
              </w:rPr>
              <w:t>2025</w:t>
            </w: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17,881</w:t>
            </w: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61,929</w:t>
            </w: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rPr>
              <w:t>0</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rPr>
              <w:t>2,030</w:t>
            </w: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rPr>
              <w:t>280</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color w:val="auto"/>
              </w:rPr>
              <w:t>0</w:t>
            </w:r>
          </w:p>
        </w:tc>
        <w:tc>
          <w:tcPr>
            <w:tcW w:w="640" w:type="dxa"/>
            <w:vAlign w:val="bottom"/>
            <w:tcBorders>
              <w:top w:val="single" w:sz="8" w:color="auto"/>
              <w:right w:val="single" w:sz="8" w:color="auto"/>
            </w:tcBorders>
          </w:tcPr>
          <w:p>
            <w:pPr>
              <w:jc w:val="right"/>
              <w:ind w:right="48"/>
              <w:spacing w:after="0"/>
              <w:rPr>
                <w:sz w:val="20"/>
                <w:szCs w:val="20"/>
                <w:color w:val="auto"/>
              </w:rPr>
            </w:pPr>
            <w:r>
              <w:rPr>
                <w:rFonts w:ascii="Arial" w:cs="Arial" w:eastAsia="Arial" w:hAnsi="Arial"/>
                <w:sz w:val="10"/>
                <w:szCs w:val="10"/>
                <w:color w:val="auto"/>
              </w:rPr>
              <w:t>82,120</w:t>
            </w:r>
          </w:p>
        </w:tc>
      </w:tr>
      <w:tr>
        <w:trPr>
          <w:trHeight w:val="122"/>
        </w:trPr>
        <w:tc>
          <w:tcPr>
            <w:tcW w:w="238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Senior Vice President and</w:t>
            </w: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r>
      <w:tr>
        <w:trPr>
          <w:trHeight w:val="136"/>
        </w:trPr>
        <w:tc>
          <w:tcPr>
            <w:tcW w:w="238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Chief Technology Officer</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r>
      <w:tr>
        <w:trPr>
          <w:trHeight w:val="57"/>
        </w:trPr>
        <w:tc>
          <w:tcPr>
            <w:tcW w:w="238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r>
      <w:tr>
        <w:trPr>
          <w:trHeight w:val="143"/>
        </w:trPr>
        <w:tc>
          <w:tcPr>
            <w:tcW w:w="2380" w:type="dxa"/>
            <w:vAlign w:val="bottom"/>
            <w:tcBorders>
              <w:left w:val="single" w:sz="8" w:color="auto"/>
            </w:tcBorders>
            <w:shd w:val="clear" w:color="auto" w:fill="F4F8EE"/>
          </w:tcPr>
          <w:p>
            <w:pPr>
              <w:ind w:left="100"/>
              <w:spacing w:after="0"/>
              <w:rPr>
                <w:sz w:val="20"/>
                <w:szCs w:val="20"/>
                <w:color w:val="auto"/>
              </w:rPr>
            </w:pPr>
            <w:r>
              <w:rPr>
                <w:rFonts w:ascii="Arial" w:cs="Arial" w:eastAsia="Arial" w:hAnsi="Arial"/>
                <w:sz w:val="10"/>
                <w:szCs w:val="10"/>
                <w:b w:val="1"/>
                <w:bCs w:val="1"/>
                <w:color w:val="auto"/>
              </w:rPr>
              <w:t>Mr. Corbin Barnes</w:t>
            </w:r>
          </w:p>
        </w:tc>
        <w:tc>
          <w:tcPr>
            <w:tcW w:w="660" w:type="dxa"/>
            <w:vAlign w:val="bottom"/>
            <w:shd w:val="clear" w:color="auto" w:fill="F4F8EE"/>
          </w:tcPr>
          <w:p>
            <w:pPr>
              <w:jc w:val="right"/>
              <w:ind w:right="168"/>
              <w:spacing w:after="0"/>
              <w:rPr>
                <w:sz w:val="20"/>
                <w:szCs w:val="20"/>
                <w:color w:val="auto"/>
              </w:rPr>
            </w:pPr>
            <w:r>
              <w:rPr>
                <w:rFonts w:ascii="Arial" w:cs="Arial" w:eastAsia="Arial" w:hAnsi="Arial"/>
                <w:sz w:val="10"/>
                <w:szCs w:val="10"/>
                <w:color w:val="auto"/>
              </w:rPr>
              <w:t>2025</w:t>
            </w:r>
          </w:p>
        </w:tc>
        <w:tc>
          <w:tcPr>
            <w:tcW w:w="840" w:type="dxa"/>
            <w:vAlign w:val="bottom"/>
            <w:shd w:val="clear" w:color="auto" w:fill="F4F8EE"/>
          </w:tcPr>
          <w:p>
            <w:pPr>
              <w:jc w:val="right"/>
              <w:ind w:right="68"/>
              <w:spacing w:after="0"/>
              <w:rPr>
                <w:sz w:val="20"/>
                <w:szCs w:val="20"/>
                <w:color w:val="auto"/>
              </w:rPr>
            </w:pPr>
            <w:r>
              <w:rPr>
                <w:rFonts w:ascii="Arial" w:cs="Arial" w:eastAsia="Arial" w:hAnsi="Arial"/>
                <w:sz w:val="10"/>
                <w:szCs w:val="10"/>
                <w:color w:val="auto"/>
              </w:rPr>
              <w:t>0</w:t>
            </w:r>
          </w:p>
        </w:tc>
        <w:tc>
          <w:tcPr>
            <w:tcW w:w="840" w:type="dxa"/>
            <w:vAlign w:val="bottom"/>
            <w:shd w:val="clear" w:color="auto" w:fill="F4F8EE"/>
          </w:tcPr>
          <w:p>
            <w:pPr>
              <w:jc w:val="right"/>
              <w:ind w:right="68"/>
              <w:spacing w:after="0"/>
              <w:rPr>
                <w:sz w:val="20"/>
                <w:szCs w:val="20"/>
                <w:color w:val="auto"/>
              </w:rPr>
            </w:pPr>
            <w:r>
              <w:rPr>
                <w:rFonts w:ascii="Arial" w:cs="Arial" w:eastAsia="Arial" w:hAnsi="Arial"/>
                <w:sz w:val="10"/>
                <w:szCs w:val="10"/>
                <w:color w:val="auto"/>
              </w:rPr>
              <w:t>0</w:t>
            </w:r>
          </w:p>
        </w:tc>
        <w:tc>
          <w:tcPr>
            <w:tcW w:w="960" w:type="dxa"/>
            <w:vAlign w:val="bottom"/>
            <w:shd w:val="clear" w:color="auto" w:fill="F4F8EE"/>
          </w:tcPr>
          <w:p>
            <w:pPr>
              <w:jc w:val="right"/>
              <w:ind w:right="88"/>
              <w:spacing w:after="0"/>
              <w:rPr>
                <w:sz w:val="20"/>
                <w:szCs w:val="20"/>
                <w:color w:val="auto"/>
              </w:rPr>
            </w:pPr>
            <w:r>
              <w:rPr>
                <w:rFonts w:ascii="Arial" w:cs="Arial" w:eastAsia="Arial" w:hAnsi="Arial"/>
                <w:sz w:val="10"/>
                <w:szCs w:val="10"/>
                <w:color w:val="auto"/>
              </w:rPr>
              <w:t>46,500</w:t>
            </w:r>
          </w:p>
        </w:tc>
        <w:tc>
          <w:tcPr>
            <w:tcW w:w="840" w:type="dxa"/>
            <w:vAlign w:val="bottom"/>
            <w:shd w:val="clear" w:color="auto" w:fill="F4F8EE"/>
          </w:tcPr>
          <w:p>
            <w:pPr>
              <w:jc w:val="right"/>
              <w:ind w:right="48"/>
              <w:spacing w:after="0"/>
              <w:rPr>
                <w:sz w:val="20"/>
                <w:szCs w:val="20"/>
                <w:color w:val="auto"/>
              </w:rPr>
            </w:pPr>
            <w:r>
              <w:rPr>
                <w:rFonts w:ascii="Arial" w:cs="Arial" w:eastAsia="Arial" w:hAnsi="Arial"/>
                <w:sz w:val="10"/>
                <w:szCs w:val="10"/>
                <w:color w:val="auto"/>
              </w:rPr>
              <w:t>29,549</w:t>
            </w:r>
          </w:p>
        </w:tc>
        <w:tc>
          <w:tcPr>
            <w:tcW w:w="840" w:type="dxa"/>
            <w:vAlign w:val="bottom"/>
            <w:shd w:val="clear" w:color="auto" w:fill="F4F8EE"/>
          </w:tcPr>
          <w:p>
            <w:pPr>
              <w:jc w:val="right"/>
              <w:ind w:right="88"/>
              <w:spacing w:after="0"/>
              <w:rPr>
                <w:sz w:val="20"/>
                <w:szCs w:val="20"/>
                <w:color w:val="auto"/>
              </w:rPr>
            </w:pPr>
            <w:r>
              <w:rPr>
                <w:rFonts w:ascii="Arial" w:cs="Arial" w:eastAsia="Arial" w:hAnsi="Arial"/>
                <w:sz w:val="10"/>
                <w:szCs w:val="10"/>
                <w:color w:val="auto"/>
              </w:rPr>
              <w:t>1,990</w:t>
            </w:r>
          </w:p>
        </w:tc>
        <w:tc>
          <w:tcPr>
            <w:tcW w:w="680" w:type="dxa"/>
            <w:vAlign w:val="bottom"/>
            <w:shd w:val="clear" w:color="auto" w:fill="F4F8EE"/>
          </w:tcPr>
          <w:p>
            <w:pPr>
              <w:jc w:val="right"/>
              <w:ind w:right="108"/>
              <w:spacing w:after="0"/>
              <w:rPr>
                <w:sz w:val="20"/>
                <w:szCs w:val="20"/>
                <w:color w:val="auto"/>
              </w:rPr>
            </w:pPr>
            <w:r>
              <w:rPr>
                <w:rFonts w:ascii="Arial" w:cs="Arial" w:eastAsia="Arial" w:hAnsi="Arial"/>
                <w:sz w:val="10"/>
                <w:szCs w:val="10"/>
                <w:color w:val="auto"/>
              </w:rPr>
              <w:t>0</w:t>
            </w:r>
          </w:p>
        </w:tc>
        <w:tc>
          <w:tcPr>
            <w:tcW w:w="640" w:type="dxa"/>
            <w:vAlign w:val="bottom"/>
            <w:tcBorders>
              <w:right w:val="single" w:sz="8" w:color="auto"/>
            </w:tcBorders>
            <w:shd w:val="clear" w:color="auto" w:fill="F4F8EE"/>
          </w:tcPr>
          <w:p>
            <w:pPr>
              <w:jc w:val="right"/>
              <w:ind w:right="48"/>
              <w:spacing w:after="0"/>
              <w:rPr>
                <w:sz w:val="20"/>
                <w:szCs w:val="20"/>
                <w:color w:val="auto"/>
              </w:rPr>
            </w:pPr>
            <w:r>
              <w:rPr>
                <w:rFonts w:ascii="Arial" w:cs="Arial" w:eastAsia="Arial" w:hAnsi="Arial"/>
                <w:sz w:val="10"/>
                <w:szCs w:val="10"/>
                <w:color w:val="auto"/>
              </w:rPr>
              <w:t>78,039</w:t>
            </w:r>
          </w:p>
        </w:tc>
      </w:tr>
      <w:tr>
        <w:trPr>
          <w:trHeight w:val="122"/>
        </w:trPr>
        <w:tc>
          <w:tcPr>
            <w:tcW w:w="2380" w:type="dxa"/>
            <w:vAlign w:val="bottom"/>
            <w:tcBorders>
              <w:left w:val="single" w:sz="8" w:color="auto"/>
            </w:tcBorders>
            <w:shd w:val="clear" w:color="auto" w:fill="F4F8EE"/>
          </w:tcPr>
          <w:p>
            <w:pPr>
              <w:ind w:left="100"/>
              <w:spacing w:after="0"/>
              <w:rPr>
                <w:sz w:val="20"/>
                <w:szCs w:val="20"/>
                <w:color w:val="auto"/>
              </w:rPr>
            </w:pPr>
            <w:r>
              <w:rPr>
                <w:rFonts w:ascii="Arial" w:cs="Arial" w:eastAsia="Arial" w:hAnsi="Arial"/>
                <w:sz w:val="10"/>
                <w:szCs w:val="10"/>
                <w:color w:val="auto"/>
              </w:rPr>
              <w:t>Senior Vice President, Corporate Development</w:t>
            </w:r>
          </w:p>
        </w:tc>
        <w:tc>
          <w:tcPr>
            <w:tcW w:w="660" w:type="dxa"/>
            <w:vAlign w:val="bottom"/>
            <w:shd w:val="clear" w:color="auto" w:fill="F4F8EE"/>
          </w:tcPr>
          <w:p>
            <w:pPr>
              <w:spacing w:after="0"/>
              <w:rPr>
                <w:sz w:val="10"/>
                <w:szCs w:val="10"/>
                <w:color w:val="auto"/>
              </w:rPr>
            </w:pPr>
          </w:p>
        </w:tc>
        <w:tc>
          <w:tcPr>
            <w:tcW w:w="840" w:type="dxa"/>
            <w:vAlign w:val="bottom"/>
            <w:shd w:val="clear" w:color="auto" w:fill="F4F8EE"/>
          </w:tcPr>
          <w:p>
            <w:pPr>
              <w:spacing w:after="0"/>
              <w:rPr>
                <w:sz w:val="10"/>
                <w:szCs w:val="10"/>
                <w:color w:val="auto"/>
              </w:rPr>
            </w:pPr>
          </w:p>
        </w:tc>
        <w:tc>
          <w:tcPr>
            <w:tcW w:w="840" w:type="dxa"/>
            <w:vAlign w:val="bottom"/>
            <w:shd w:val="clear" w:color="auto" w:fill="F4F8EE"/>
          </w:tcPr>
          <w:p>
            <w:pPr>
              <w:spacing w:after="0"/>
              <w:rPr>
                <w:sz w:val="10"/>
                <w:szCs w:val="10"/>
                <w:color w:val="auto"/>
              </w:rPr>
            </w:pPr>
          </w:p>
        </w:tc>
        <w:tc>
          <w:tcPr>
            <w:tcW w:w="960" w:type="dxa"/>
            <w:vAlign w:val="bottom"/>
            <w:shd w:val="clear" w:color="auto" w:fill="F4F8EE"/>
          </w:tcPr>
          <w:p>
            <w:pPr>
              <w:spacing w:after="0"/>
              <w:rPr>
                <w:sz w:val="10"/>
                <w:szCs w:val="10"/>
                <w:color w:val="auto"/>
              </w:rPr>
            </w:pPr>
          </w:p>
        </w:tc>
        <w:tc>
          <w:tcPr>
            <w:tcW w:w="840" w:type="dxa"/>
            <w:vAlign w:val="bottom"/>
            <w:shd w:val="clear" w:color="auto" w:fill="F4F8EE"/>
          </w:tcPr>
          <w:p>
            <w:pPr>
              <w:spacing w:after="0"/>
              <w:rPr>
                <w:sz w:val="10"/>
                <w:szCs w:val="10"/>
                <w:color w:val="auto"/>
              </w:rPr>
            </w:pPr>
          </w:p>
        </w:tc>
        <w:tc>
          <w:tcPr>
            <w:tcW w:w="840" w:type="dxa"/>
            <w:vAlign w:val="bottom"/>
            <w:shd w:val="clear" w:color="auto" w:fill="F4F8EE"/>
          </w:tcPr>
          <w:p>
            <w:pPr>
              <w:spacing w:after="0"/>
              <w:rPr>
                <w:sz w:val="10"/>
                <w:szCs w:val="10"/>
                <w:color w:val="auto"/>
              </w:rPr>
            </w:pPr>
          </w:p>
        </w:tc>
        <w:tc>
          <w:tcPr>
            <w:tcW w:w="680" w:type="dxa"/>
            <w:vAlign w:val="bottom"/>
            <w:shd w:val="clear" w:color="auto" w:fill="F4F8EE"/>
          </w:tcPr>
          <w:p>
            <w:pPr>
              <w:spacing w:after="0"/>
              <w:rPr>
                <w:sz w:val="10"/>
                <w:szCs w:val="10"/>
                <w:color w:val="auto"/>
              </w:rPr>
            </w:pPr>
          </w:p>
        </w:tc>
        <w:tc>
          <w:tcPr>
            <w:tcW w:w="640" w:type="dxa"/>
            <w:vAlign w:val="bottom"/>
            <w:tcBorders>
              <w:right w:val="single" w:sz="8" w:color="auto"/>
            </w:tcBorders>
            <w:shd w:val="clear" w:color="auto" w:fill="F4F8EE"/>
          </w:tcPr>
          <w:p>
            <w:pPr>
              <w:spacing w:after="0"/>
              <w:rPr>
                <w:sz w:val="10"/>
                <w:szCs w:val="10"/>
                <w:color w:val="auto"/>
              </w:rPr>
            </w:pPr>
          </w:p>
        </w:tc>
      </w:tr>
      <w:tr>
        <w:trPr>
          <w:trHeight w:val="198"/>
        </w:trPr>
        <w:tc>
          <w:tcPr>
            <w:tcW w:w="2380" w:type="dxa"/>
            <w:vAlign w:val="bottom"/>
            <w:tcBorders>
              <w:left w:val="single" w:sz="8" w:color="auto"/>
              <w:bottom w:val="single" w:sz="8" w:color="F4F8EE"/>
            </w:tcBorders>
            <w:shd w:val="clear" w:color="auto" w:fill="F4F8EE"/>
          </w:tcPr>
          <w:p>
            <w:pPr>
              <w:ind w:left="100"/>
              <w:spacing w:after="0"/>
              <w:rPr>
                <w:sz w:val="20"/>
                <w:szCs w:val="20"/>
                <w:color w:val="auto"/>
              </w:rPr>
            </w:pPr>
            <w:r>
              <w:rPr>
                <w:rFonts w:ascii="Arial" w:cs="Arial" w:eastAsia="Arial" w:hAnsi="Arial"/>
                <w:sz w:val="10"/>
                <w:szCs w:val="10"/>
                <w:color w:val="auto"/>
              </w:rPr>
              <w:t>and Investor Relations</w:t>
            </w:r>
          </w:p>
        </w:tc>
        <w:tc>
          <w:tcPr>
            <w:tcW w:w="660" w:type="dxa"/>
            <w:vAlign w:val="bottom"/>
            <w:tcBorders>
              <w:bottom w:val="single" w:sz="8" w:color="F4F8EE"/>
            </w:tcBorders>
            <w:shd w:val="clear" w:color="auto" w:fill="F4F8EE"/>
          </w:tcPr>
          <w:p>
            <w:pPr>
              <w:spacing w:after="0"/>
              <w:rPr>
                <w:sz w:val="16"/>
                <w:szCs w:val="16"/>
                <w:color w:val="auto"/>
              </w:rPr>
            </w:pPr>
          </w:p>
        </w:tc>
        <w:tc>
          <w:tcPr>
            <w:tcW w:w="840" w:type="dxa"/>
            <w:vAlign w:val="bottom"/>
            <w:tcBorders>
              <w:bottom w:val="single" w:sz="8" w:color="F4F8EE"/>
            </w:tcBorders>
            <w:shd w:val="clear" w:color="auto" w:fill="F4F8EE"/>
          </w:tcPr>
          <w:p>
            <w:pPr>
              <w:spacing w:after="0"/>
              <w:rPr>
                <w:sz w:val="16"/>
                <w:szCs w:val="16"/>
                <w:color w:val="auto"/>
              </w:rPr>
            </w:pPr>
          </w:p>
        </w:tc>
        <w:tc>
          <w:tcPr>
            <w:tcW w:w="840" w:type="dxa"/>
            <w:vAlign w:val="bottom"/>
            <w:tcBorders>
              <w:bottom w:val="single" w:sz="8" w:color="F4F8EE"/>
            </w:tcBorders>
            <w:shd w:val="clear" w:color="auto" w:fill="F4F8EE"/>
          </w:tcPr>
          <w:p>
            <w:pPr>
              <w:spacing w:after="0"/>
              <w:rPr>
                <w:sz w:val="16"/>
                <w:szCs w:val="16"/>
                <w:color w:val="auto"/>
              </w:rPr>
            </w:pPr>
          </w:p>
        </w:tc>
        <w:tc>
          <w:tcPr>
            <w:tcW w:w="960" w:type="dxa"/>
            <w:vAlign w:val="bottom"/>
            <w:tcBorders>
              <w:bottom w:val="single" w:sz="8" w:color="F4F8EE"/>
            </w:tcBorders>
            <w:shd w:val="clear" w:color="auto" w:fill="F4F8EE"/>
          </w:tcPr>
          <w:p>
            <w:pPr>
              <w:spacing w:after="0"/>
              <w:rPr>
                <w:sz w:val="16"/>
                <w:szCs w:val="16"/>
                <w:color w:val="auto"/>
              </w:rPr>
            </w:pPr>
          </w:p>
        </w:tc>
        <w:tc>
          <w:tcPr>
            <w:tcW w:w="840" w:type="dxa"/>
            <w:vAlign w:val="bottom"/>
            <w:tcBorders>
              <w:bottom w:val="single" w:sz="8" w:color="F4F8EE"/>
            </w:tcBorders>
            <w:shd w:val="clear" w:color="auto" w:fill="F4F8EE"/>
          </w:tcPr>
          <w:p>
            <w:pPr>
              <w:spacing w:after="0"/>
              <w:rPr>
                <w:sz w:val="16"/>
                <w:szCs w:val="16"/>
                <w:color w:val="auto"/>
              </w:rPr>
            </w:pPr>
          </w:p>
        </w:tc>
        <w:tc>
          <w:tcPr>
            <w:tcW w:w="840" w:type="dxa"/>
            <w:vAlign w:val="bottom"/>
            <w:tcBorders>
              <w:bottom w:val="single" w:sz="8" w:color="F4F8EE"/>
            </w:tcBorders>
            <w:shd w:val="clear" w:color="auto" w:fill="F4F8EE"/>
          </w:tcPr>
          <w:p>
            <w:pPr>
              <w:spacing w:after="0"/>
              <w:rPr>
                <w:sz w:val="16"/>
                <w:szCs w:val="16"/>
                <w:color w:val="auto"/>
              </w:rPr>
            </w:pPr>
          </w:p>
        </w:tc>
        <w:tc>
          <w:tcPr>
            <w:tcW w:w="680" w:type="dxa"/>
            <w:vAlign w:val="bottom"/>
            <w:tcBorders>
              <w:bottom w:val="single" w:sz="8" w:color="F4F8EE"/>
            </w:tcBorders>
            <w:shd w:val="clear" w:color="auto" w:fill="F4F8EE"/>
          </w:tcPr>
          <w:p>
            <w:pPr>
              <w:spacing w:after="0"/>
              <w:rPr>
                <w:sz w:val="16"/>
                <w:szCs w:val="16"/>
                <w:color w:val="auto"/>
              </w:rPr>
            </w:pPr>
          </w:p>
        </w:tc>
        <w:tc>
          <w:tcPr>
            <w:tcW w:w="640" w:type="dxa"/>
            <w:vAlign w:val="bottom"/>
            <w:tcBorders>
              <w:bottom w:val="single" w:sz="8" w:color="F4F8EE"/>
              <w:right w:val="single" w:sz="8" w:color="auto"/>
            </w:tcBorders>
            <w:shd w:val="clear" w:color="auto" w:fill="F4F8EE"/>
          </w:tcPr>
          <w:p>
            <w:pPr>
              <w:spacing w:after="0"/>
              <w:rPr>
                <w:sz w:val="16"/>
                <w:szCs w:val="16"/>
                <w:color w:val="auto"/>
              </w:rPr>
            </w:pPr>
          </w:p>
        </w:tc>
      </w:tr>
      <w:tr>
        <w:trPr>
          <w:trHeight w:val="143"/>
        </w:trPr>
        <w:tc>
          <w:tcPr>
            <w:tcW w:w="238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0"/>
                <w:szCs w:val="10"/>
                <w:b w:val="1"/>
                <w:bCs w:val="1"/>
                <w:color w:val="auto"/>
              </w:rPr>
              <w:t>Mr. David B. Jones</w:t>
            </w: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0"/>
                <w:szCs w:val="10"/>
                <w:color w:val="auto"/>
              </w:rPr>
              <w:t>2025</w:t>
            </w: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0</w:t>
            </w: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0"/>
                <w:szCs w:val="10"/>
                <w:color w:val="auto"/>
              </w:rPr>
              <w:t>0</w:t>
            </w: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rPr>
              <w:t>84,498</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rPr>
              <w:t>29,529</w:t>
            </w: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color w:val="auto"/>
              </w:rPr>
              <w:t>2,061</w:t>
            </w:r>
          </w:p>
        </w:tc>
        <w:tc>
          <w:tcPr>
            <w:tcW w:w="680" w:type="dxa"/>
            <w:vAlign w:val="bottom"/>
            <w:tcBorders>
              <w:top w:val="single" w:sz="8" w:color="auto"/>
            </w:tcBorders>
          </w:tcPr>
          <w:p>
            <w:pPr>
              <w:jc w:val="right"/>
              <w:ind w:right="108"/>
              <w:spacing w:after="0"/>
              <w:rPr>
                <w:sz w:val="20"/>
                <w:szCs w:val="20"/>
                <w:color w:val="auto"/>
              </w:rPr>
            </w:pPr>
            <w:r>
              <w:rPr>
                <w:rFonts w:ascii="Arial" w:cs="Arial" w:eastAsia="Arial" w:hAnsi="Arial"/>
                <w:sz w:val="10"/>
                <w:szCs w:val="10"/>
                <w:color w:val="auto"/>
              </w:rPr>
              <w:t>0</w:t>
            </w:r>
          </w:p>
        </w:tc>
        <w:tc>
          <w:tcPr>
            <w:tcW w:w="640" w:type="dxa"/>
            <w:vAlign w:val="bottom"/>
            <w:tcBorders>
              <w:top w:val="single" w:sz="8" w:color="auto"/>
              <w:right w:val="single" w:sz="8" w:color="auto"/>
            </w:tcBorders>
          </w:tcPr>
          <w:p>
            <w:pPr>
              <w:jc w:val="right"/>
              <w:ind w:right="48"/>
              <w:spacing w:after="0"/>
              <w:rPr>
                <w:sz w:val="20"/>
                <w:szCs w:val="20"/>
                <w:color w:val="auto"/>
              </w:rPr>
            </w:pPr>
            <w:r>
              <w:rPr>
                <w:rFonts w:ascii="Arial" w:cs="Arial" w:eastAsia="Arial" w:hAnsi="Arial"/>
                <w:sz w:val="10"/>
                <w:szCs w:val="10"/>
                <w:color w:val="auto"/>
              </w:rPr>
              <w:t>116,088</w:t>
            </w:r>
          </w:p>
        </w:tc>
      </w:tr>
      <w:tr>
        <w:trPr>
          <w:trHeight w:val="122"/>
        </w:trPr>
        <w:tc>
          <w:tcPr>
            <w:tcW w:w="238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Senior Vice President, General Counsel, Chief</w:t>
            </w: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r>
      <w:tr>
        <w:trPr>
          <w:trHeight w:val="134"/>
        </w:trPr>
        <w:tc>
          <w:tcPr>
            <w:tcW w:w="238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Compliance Officer and</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r>
      <w:tr>
        <w:trPr>
          <w:trHeight w:val="136"/>
        </w:trPr>
        <w:tc>
          <w:tcPr>
            <w:tcW w:w="2380" w:type="dxa"/>
            <w:vAlign w:val="bottom"/>
            <w:tcBorders>
              <w:left w:val="single" w:sz="8" w:color="auto"/>
            </w:tcBorders>
          </w:tcPr>
          <w:p>
            <w:pPr>
              <w:ind w:left="100"/>
              <w:spacing w:after="0"/>
              <w:rPr>
                <w:sz w:val="20"/>
                <w:szCs w:val="20"/>
                <w:color w:val="auto"/>
              </w:rPr>
            </w:pPr>
            <w:r>
              <w:rPr>
                <w:rFonts w:ascii="Arial" w:cs="Arial" w:eastAsia="Arial" w:hAnsi="Arial"/>
                <w:sz w:val="10"/>
                <w:szCs w:val="10"/>
                <w:color w:val="auto"/>
              </w:rPr>
              <w:t>Corporate Secretary</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r>
      <w:tr>
        <w:trPr>
          <w:trHeight w:val="46"/>
        </w:trPr>
        <w:tc>
          <w:tcPr>
            <w:tcW w:w="238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r>
    </w:tbl>
    <w:p>
      <w:pPr>
        <w:spacing w:after="0" w:line="10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Footnotes to “All Other Compensation” table:</w:t>
      </w:r>
    </w:p>
    <w:p>
      <w:pPr>
        <w:spacing w:after="0" w:line="117" w:lineRule="exact"/>
        <w:rPr>
          <w:sz w:val="20"/>
          <w:szCs w:val="20"/>
          <w:color w:val="auto"/>
        </w:rPr>
      </w:pPr>
    </w:p>
    <w:p>
      <w:pPr>
        <w:ind w:left="540" w:right="119" w:hanging="335"/>
        <w:spacing w:after="0" w:line="281"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NEOs based in the U.K. are entitled to a leased company car or an allowance in lieu of a car. The allowance is set at £13,650 ($17,881) per annum. Mr. Cleminson and Dr. McRobbie elected to receive the allowance in 2025.</w:t>
      </w:r>
    </w:p>
    <w:p>
      <w:pPr>
        <w:spacing w:after="0" w:line="74" w:lineRule="exact"/>
        <w:rPr>
          <w:rFonts w:ascii="Arial" w:cs="Arial" w:eastAsia="Arial" w:hAnsi="Arial"/>
          <w:sz w:val="15"/>
          <w:szCs w:val="15"/>
          <w:color w:val="auto"/>
        </w:rPr>
      </w:pPr>
    </w:p>
    <w:p>
      <w:pPr>
        <w:jc w:val="both"/>
        <w:ind w:left="540" w:right="139" w:hanging="335"/>
        <w:spacing w:after="0" w:line="264"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Mr. Cleminson and Dr. McRobbie did not participate in any pension plan due to U.K. government limits on total pension provision, and as a result received a salary supplement of 20% of their base salary in lieu of any pension provision. The amounts paid to individuals are detailed under “Pension Allowance” in the “All Other Compensation” table.</w:t>
      </w:r>
    </w:p>
    <w:p>
      <w:pPr>
        <w:spacing w:after="0" w:line="87" w:lineRule="exact"/>
        <w:rPr>
          <w:rFonts w:ascii="Arial" w:cs="Arial" w:eastAsia="Arial" w:hAnsi="Arial"/>
          <w:sz w:val="15"/>
          <w:szCs w:val="15"/>
          <w:color w:val="auto"/>
        </w:rPr>
      </w:pPr>
    </w:p>
    <w:p>
      <w:pPr>
        <w:jc w:val="both"/>
        <w:ind w:left="540" w:right="139" w:hanging="335"/>
        <w:spacing w:after="0" w:line="264" w:lineRule="auto"/>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Company provides a number of defined contribution retirement plans for employees. The amount paid into these defined contribution retirement plans in 2025 for Mr. Williams, Mr. Jones and Mr. Barnes is detailed above under “Retirement Contribution” in the “All Other Compensation” table. No other NEOs received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1967230</wp:posOffset>
            </wp:positionV>
            <wp:extent cx="297180" cy="290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0" w:name="page81"/>
    <w:bookmarkEnd w:id="80"/>
    <w:p>
      <w:pPr>
        <w:spacing w:after="0" w:line="100" w:lineRule="exact"/>
        <w:rPr>
          <w:sz w:val="20"/>
          <w:szCs w:val="20"/>
          <w:color w:val="auto"/>
        </w:rPr>
      </w:pPr>
    </w:p>
    <w:p>
      <w:pPr>
        <w:jc w:val="both"/>
        <w:ind w:left="540" w:right="119"/>
        <w:spacing w:after="0" w:line="269" w:lineRule="auto"/>
        <w:rPr>
          <w:sz w:val="20"/>
          <w:szCs w:val="20"/>
          <w:color w:val="auto"/>
        </w:rPr>
      </w:pPr>
      <w:r>
        <w:rPr>
          <w:rFonts w:ascii="Arial" w:cs="Arial" w:eastAsia="Arial" w:hAnsi="Arial"/>
          <w:sz w:val="14"/>
          <w:szCs w:val="14"/>
          <w:color w:val="auto"/>
        </w:rPr>
        <w:t>in such plans. In the case of Mr. Williams, Mr. Jones, and Mr. Barnes there is a limit set by the IRS for the amount that can be paid into a qualified 401(k) plan and as a result, the amount paid into the 401(k) plan by the Company for Mr. Williams, Mr. Jones and Mr. Barnes was capped at this limit. In 2025, the amount paid by the Company into Mr. Williams’s 401(k) plan account was $46,500, and $46,500 was also paid by the Company into both Mr. Jones’s and Mr. Barnes’s 401(k) plan accounts. The Company offers a nonqualified deferred compensation retirement plan in the U.S. for a select group of U.S. based highly compensated employees, to include eligible NEOs based in the U.S. In 2025, Mr. Williams and Mr. Jones were the only NEOs who were eligible to participate in this plan. Consistent with the approach taken for all impacted employees who were eligible to participate in this plan, in the case of Mr. Williams, the Company made an employer discretionary payment in the amount of $37,998 into the non-qualified deferred compensation plan, which was equal to the excess amount over the IRS limit which would otherwise have been paid into the 401(K) plan by the Company. In the case of Mr. Jones, the company also made an employer discretionary payment in the amount of $37,998 into the non-qualified deferred compensation plan, which was equal to the excess amount over the IRS limit which would otherwise have been paid into the 401(K) plans by the Company. The amount of $84,498 paid to Mr. Williams, $46,500 paid to Mr. Barnes and $84,498 paid to Mr. Jones detailed under “Retirement Contribution” in the “All Other Compensation Table” are the total amounts contributed by the Company into the 401(k) plan and the non-qualified deferred compensation plan for Mr. Williams, Mr. Barnes and Mr. Jones.</w:t>
      </w:r>
    </w:p>
    <w:p>
      <w:pPr>
        <w:spacing w:after="0" w:line="88" w:lineRule="exact"/>
        <w:rPr>
          <w:sz w:val="20"/>
          <w:szCs w:val="20"/>
          <w:color w:val="auto"/>
        </w:rPr>
      </w:pPr>
    </w:p>
    <w:p>
      <w:pPr>
        <w:jc w:val="both"/>
        <w:ind w:left="540" w:right="139" w:hanging="335"/>
        <w:spacing w:after="0" w:line="264"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NEOs are eligible for healthcare insurance and life and disability insurance through programs which are available to salaried employees in the relevant business unit. The cost of programs is detailed under “Healthcare” and “Insurances”, respectively, in the “All Other Compensation” table.</w:t>
      </w:r>
    </w:p>
    <w:p>
      <w:pPr>
        <w:spacing w:after="0" w:line="76" w:lineRule="exact"/>
        <w:rPr>
          <w:rFonts w:ascii="Arial" w:cs="Arial" w:eastAsia="Arial" w:hAnsi="Arial"/>
          <w:sz w:val="15"/>
          <w:szCs w:val="15"/>
          <w:color w:val="auto"/>
        </w:rPr>
      </w:pPr>
    </w:p>
    <w:p>
      <w:pPr>
        <w:jc w:val="both"/>
        <w:ind w:left="540" w:right="139" w:hanging="335"/>
        <w:spacing w:after="0" w:line="264"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Mr. Williams received payments of $9,120 for business cell phone and work-from-home internet services, $8,500 for medical concierge services, $40,000 for college alma mater suite for home games, $750 for clothing, and $45,080 relating to 50% of the cost of country/golf club memberships.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8"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Each of the NEOs has a rolling twelve-month employment agreement with the Company. Under these agreements, the Company can terminate the agreement without cause by giving one year’s notice to the NEO. In the case of Mr. Williams, he can terminate the agreement by giving the Company one year’s notice, while the other NEOs are required to give the Company six months’ notice if they wish to terminate the agreement. The employment agreement for each of the NEOs also includes a “Change of Control” clause which is described in more detail in the narrative following the “Post Employment Payments” table.</w:t>
      </w:r>
    </w:p>
    <w:p>
      <w:pPr>
        <w:spacing w:after="0" w:line="93"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In addition, under the employment agreement, Mr. Williams is entitled to a target bonus under the MICP of 120% of his base salary, with a potential maximum MICP bonus of 276%. In 2025, all the other NEOs were entitled to a target bonus under the MICP of 60% of their base salary, with a maximum potential MICP bonus of 138%. Each NEO is also entitled to participate in long-term incentive plans which have been described in more detail, including grant policy for different NEOs, in the Compensation Discussion and Analysis section above.</w:t>
      </w:r>
    </w:p>
    <w:p>
      <w:pPr>
        <w:spacing w:after="0" w:line="82" w:lineRule="exact"/>
        <w:rPr>
          <w:sz w:val="20"/>
          <w:szCs w:val="20"/>
          <w:color w:val="auto"/>
        </w:rPr>
      </w:pPr>
    </w:p>
    <w:p>
      <w:pPr>
        <w:jc w:val="both"/>
        <w:ind w:left="200" w:right="119"/>
        <w:spacing w:after="0" w:line="252" w:lineRule="auto"/>
        <w:rPr>
          <w:sz w:val="20"/>
          <w:szCs w:val="20"/>
          <w:color w:val="auto"/>
        </w:rPr>
      </w:pPr>
      <w:r>
        <w:rPr>
          <w:rFonts w:ascii="Arial" w:cs="Arial" w:eastAsia="Arial" w:hAnsi="Arial"/>
          <w:sz w:val="15"/>
          <w:szCs w:val="15"/>
          <w:color w:val="auto"/>
        </w:rPr>
        <w:t>Each NEO is also able to participate in the pension arrangements relevant for the business unit and country where they are based. In the case of Mr. Williams, Mr. Barnes and Mr. Jones, they participate in a Defined Contribution plan in line with other U.S. based employees and details of the amount paid into the plan are provided in the “Summary Compensation Table”. They are also eligible to participate in a non-qualified deferred compensation retirement plan, in line with other eligible employees in the U.S. Details of the amount paid into this plan are included in the “All Other Compensation” table and further information is provided in the Non-Qualified Deferred Compensation table on page 83. Mr. Cleminson and Dr. McRobbie do not participate in the defined contribution plan for U.K. based employees due to limits on pension provision set by the U.K. government and in line with the approach for other impacted U.K. employees, they receive a 20% salary supplement in lieu of pension provision. Details of the amounts of salary supplements paid are provided in the “All Other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2234565</wp:posOffset>
            </wp:positionV>
            <wp:extent cx="297180" cy="290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1" w:name="page82"/>
    <w:bookmarkEnd w:id="81"/>
    <w:p>
      <w:pPr>
        <w:spacing w:after="0" w:line="100"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The employment agreements for each NEO also provide medical insurance and life and disability insurance through programs, which are available to most salaried employees in the relevant part of the business unit. The costs of these insurances are provided in the “All Other Compensation” table.</w:t>
      </w:r>
    </w:p>
    <w:p>
      <w:pPr>
        <w:spacing w:after="0" w:line="8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In addition, under his employment agreement, each of the NEOs, including the CEO and the CFO, is subject to a twelve-month non-solicitation period, with respect to customers and employees, and a twelve-month non-compete period, from the date their employment with the Company ends.</w:t>
      </w:r>
    </w:p>
    <w:p>
      <w:pPr>
        <w:spacing w:after="0" w:line="75"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9AB956"/>
        </w:rPr>
        <w:t>GRANTS OF PLAN-BASED AWARDS IN FISCAL 2025</w:t>
      </w:r>
    </w:p>
    <w:p>
      <w:pPr>
        <w:spacing w:after="0" w:line="190" w:lineRule="exact"/>
        <w:rPr>
          <w:sz w:val="20"/>
          <w:szCs w:val="20"/>
          <w:color w:val="auto"/>
        </w:rPr>
      </w:pPr>
    </w:p>
    <w:tbl>
      <w:tblPr>
        <w:tblLayout w:type="fixed"/>
        <w:tblInd w:w="210" w:type="dxa"/>
        <w:tblCellMar>
          <w:top w:w="0" w:type="dxa"/>
          <w:left w:w="0" w:type="dxa"/>
          <w:bottom w:w="0" w:type="dxa"/>
          <w:right w:w="0" w:type="dxa"/>
        </w:tblCellMar>
      </w:tblPr>
      <w:tr>
        <w:trPr>
          <w:trHeight w:val="134"/>
        </w:trPr>
        <w:tc>
          <w:tcPr>
            <w:tcW w:w="1460" w:type="dxa"/>
            <w:vAlign w:val="bottom"/>
            <w:tcBorders>
              <w:top w:val="single" w:sz="8" w:color="auto"/>
              <w:left w:val="single" w:sz="8" w:color="auto"/>
            </w:tcBorders>
            <w:shd w:val="clear" w:color="auto" w:fill="9AB956"/>
          </w:tcPr>
          <w:p>
            <w:pPr>
              <w:ind w:left="60"/>
              <w:spacing w:after="0"/>
              <w:rPr>
                <w:sz w:val="20"/>
                <w:szCs w:val="20"/>
                <w:color w:val="auto"/>
              </w:rPr>
            </w:pPr>
            <w:r>
              <w:rPr>
                <w:rFonts w:ascii="Arial" w:cs="Arial" w:eastAsia="Arial" w:hAnsi="Arial"/>
                <w:sz w:val="9"/>
                <w:szCs w:val="9"/>
                <w:b w:val="1"/>
                <w:bCs w:val="1"/>
                <w:color w:val="FFFFFF"/>
              </w:rPr>
              <w:t>Name and Principal Position</w:t>
            </w:r>
          </w:p>
        </w:tc>
        <w:tc>
          <w:tcPr>
            <w:tcW w:w="280" w:type="dxa"/>
            <w:vAlign w:val="bottom"/>
            <w:tcBorders>
              <w:top w:val="single" w:sz="8" w:color="auto"/>
            </w:tcBorders>
            <w:shd w:val="clear" w:color="auto" w:fill="9AB956"/>
          </w:tcPr>
          <w:p>
            <w:pPr>
              <w:spacing w:after="0"/>
              <w:rPr>
                <w:sz w:val="11"/>
                <w:szCs w:val="11"/>
                <w:color w:val="auto"/>
              </w:rPr>
            </w:pPr>
          </w:p>
        </w:tc>
        <w:tc>
          <w:tcPr>
            <w:tcW w:w="260" w:type="dxa"/>
            <w:vAlign w:val="bottom"/>
            <w:tcBorders>
              <w:top w:val="single" w:sz="8" w:color="auto"/>
            </w:tcBorders>
            <w:shd w:val="clear" w:color="auto" w:fill="9AB956"/>
          </w:tcPr>
          <w:p>
            <w:pPr>
              <w:spacing w:after="0"/>
              <w:rPr>
                <w:sz w:val="11"/>
                <w:szCs w:val="11"/>
                <w:color w:val="auto"/>
              </w:rPr>
            </w:pPr>
          </w:p>
        </w:tc>
        <w:tc>
          <w:tcPr>
            <w:tcW w:w="620" w:type="dxa"/>
            <w:vAlign w:val="bottom"/>
            <w:tcBorders>
              <w:top w:val="single" w:sz="8" w:color="auto"/>
            </w:tcBorders>
            <w:shd w:val="clear" w:color="auto" w:fill="9AB956"/>
          </w:tcPr>
          <w:p>
            <w:pPr>
              <w:jc w:val="right"/>
              <w:ind w:right="35"/>
              <w:spacing w:after="0"/>
              <w:rPr>
                <w:sz w:val="20"/>
                <w:szCs w:val="20"/>
                <w:color w:val="auto"/>
              </w:rPr>
            </w:pPr>
            <w:r>
              <w:rPr>
                <w:rFonts w:ascii="Arial" w:cs="Arial" w:eastAsia="Arial" w:hAnsi="Arial"/>
                <w:sz w:val="9"/>
                <w:szCs w:val="9"/>
                <w:b w:val="1"/>
                <w:bCs w:val="1"/>
                <w:color w:val="FFFFFF"/>
              </w:rPr>
              <w:t>Grant Date</w:t>
            </w:r>
          </w:p>
        </w:tc>
        <w:tc>
          <w:tcPr>
            <w:tcW w:w="1820" w:type="dxa"/>
            <w:vAlign w:val="bottom"/>
            <w:tcBorders>
              <w:top w:val="single" w:sz="8" w:color="auto"/>
            </w:tcBorders>
            <w:gridSpan w:val="3"/>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Estimated Future Payouts Under Non-</w:t>
            </w:r>
          </w:p>
        </w:tc>
        <w:tc>
          <w:tcPr>
            <w:tcW w:w="1800" w:type="dxa"/>
            <w:vAlign w:val="bottom"/>
            <w:tcBorders>
              <w:top w:val="single" w:sz="8" w:color="auto"/>
            </w:tcBorders>
            <w:gridSpan w:val="3"/>
            <w:shd w:val="clear" w:color="auto" w:fill="9AB956"/>
          </w:tcPr>
          <w:p>
            <w:pPr>
              <w:jc w:val="right"/>
              <w:ind w:right="15"/>
              <w:spacing w:after="0"/>
              <w:rPr>
                <w:sz w:val="20"/>
                <w:szCs w:val="20"/>
                <w:color w:val="auto"/>
              </w:rPr>
            </w:pPr>
            <w:r>
              <w:rPr>
                <w:rFonts w:ascii="Arial" w:cs="Arial" w:eastAsia="Arial" w:hAnsi="Arial"/>
                <w:sz w:val="9"/>
                <w:szCs w:val="9"/>
                <w:b w:val="1"/>
                <w:bCs w:val="1"/>
                <w:color w:val="FFFFFF"/>
              </w:rPr>
              <w:t>Estimated Future Payouts Under Equity</w:t>
            </w:r>
          </w:p>
        </w:tc>
        <w:tc>
          <w:tcPr>
            <w:tcW w:w="76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All other Stock</w:t>
            </w:r>
          </w:p>
        </w:tc>
        <w:tc>
          <w:tcPr>
            <w:tcW w:w="64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All other</w:t>
            </w:r>
          </w:p>
        </w:tc>
        <w:tc>
          <w:tcPr>
            <w:tcW w:w="54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Exercise</w:t>
            </w:r>
          </w:p>
        </w:tc>
        <w:tc>
          <w:tcPr>
            <w:tcW w:w="580" w:type="dxa"/>
            <w:vAlign w:val="bottom"/>
            <w:tcBorders>
              <w:top w:val="single" w:sz="8" w:color="auto"/>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Grant Date</w:t>
            </w:r>
          </w:p>
        </w:tc>
        <w:tc>
          <w:tcPr>
            <w:tcW w:w="0" w:type="dxa"/>
            <w:vAlign w:val="bottom"/>
          </w:tcPr>
          <w:p>
            <w:pPr>
              <w:spacing w:after="0"/>
              <w:rPr>
                <w:sz w:val="1"/>
                <w:szCs w:val="1"/>
                <w:color w:val="auto"/>
              </w:rPr>
            </w:pPr>
          </w:p>
        </w:tc>
      </w:tr>
      <w:tr>
        <w:trPr>
          <w:trHeight w:val="111"/>
        </w:trPr>
        <w:tc>
          <w:tcPr>
            <w:tcW w:w="1460" w:type="dxa"/>
            <w:vAlign w:val="bottom"/>
            <w:tcBorders>
              <w:left w:val="single" w:sz="8" w:color="auto"/>
            </w:tcBorders>
            <w:shd w:val="clear" w:color="auto" w:fill="9AB956"/>
          </w:tcPr>
          <w:p>
            <w:pPr>
              <w:spacing w:after="0"/>
              <w:rPr>
                <w:sz w:val="9"/>
                <w:szCs w:val="9"/>
                <w:color w:val="auto"/>
              </w:rPr>
            </w:pPr>
          </w:p>
        </w:tc>
        <w:tc>
          <w:tcPr>
            <w:tcW w:w="280" w:type="dxa"/>
            <w:vAlign w:val="bottom"/>
            <w:shd w:val="clear" w:color="auto" w:fill="9AB956"/>
          </w:tcPr>
          <w:p>
            <w:pPr>
              <w:spacing w:after="0"/>
              <w:rPr>
                <w:sz w:val="9"/>
                <w:szCs w:val="9"/>
                <w:color w:val="auto"/>
              </w:rPr>
            </w:pPr>
          </w:p>
        </w:tc>
        <w:tc>
          <w:tcPr>
            <w:tcW w:w="260" w:type="dxa"/>
            <w:vAlign w:val="bottom"/>
            <w:shd w:val="clear" w:color="auto" w:fill="9AB956"/>
          </w:tcPr>
          <w:p>
            <w:pPr>
              <w:spacing w:after="0"/>
              <w:rPr>
                <w:sz w:val="9"/>
                <w:szCs w:val="9"/>
                <w:color w:val="auto"/>
              </w:rPr>
            </w:pPr>
          </w:p>
        </w:tc>
        <w:tc>
          <w:tcPr>
            <w:tcW w:w="620" w:type="dxa"/>
            <w:vAlign w:val="bottom"/>
            <w:shd w:val="clear" w:color="auto" w:fill="9AB956"/>
          </w:tcPr>
          <w:p>
            <w:pPr>
              <w:spacing w:after="0"/>
              <w:rPr>
                <w:sz w:val="9"/>
                <w:szCs w:val="9"/>
                <w:color w:val="auto"/>
              </w:rPr>
            </w:pPr>
          </w:p>
        </w:tc>
        <w:tc>
          <w:tcPr>
            <w:tcW w:w="1820" w:type="dxa"/>
            <w:vAlign w:val="bottom"/>
            <w:gridSpan w:val="3"/>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Equity Incentive Plan Awards</w:t>
            </w:r>
          </w:p>
        </w:tc>
        <w:tc>
          <w:tcPr>
            <w:tcW w:w="620" w:type="dxa"/>
            <w:vAlign w:val="bottom"/>
            <w:shd w:val="clear" w:color="auto" w:fill="9AB956"/>
          </w:tcPr>
          <w:p>
            <w:pPr>
              <w:spacing w:after="0"/>
              <w:rPr>
                <w:sz w:val="9"/>
                <w:szCs w:val="9"/>
                <w:color w:val="auto"/>
              </w:rPr>
            </w:pPr>
          </w:p>
        </w:tc>
        <w:tc>
          <w:tcPr>
            <w:tcW w:w="620" w:type="dxa"/>
            <w:vAlign w:val="bottom"/>
            <w:shd w:val="clear" w:color="auto" w:fill="9AB956"/>
          </w:tcPr>
          <w:p>
            <w:pPr>
              <w:jc w:val="right"/>
              <w:ind w:right="35"/>
              <w:spacing w:after="0"/>
              <w:rPr>
                <w:sz w:val="20"/>
                <w:szCs w:val="20"/>
                <w:color w:val="auto"/>
              </w:rPr>
            </w:pPr>
            <w:r>
              <w:rPr>
                <w:rFonts w:ascii="Arial" w:cs="Arial" w:eastAsia="Arial" w:hAnsi="Arial"/>
                <w:sz w:val="9"/>
                <w:szCs w:val="9"/>
                <w:b w:val="1"/>
                <w:bCs w:val="1"/>
                <w:color w:val="FFFFFF"/>
                <w:w w:val="96"/>
              </w:rPr>
              <w:t>Plan Awards</w:t>
            </w:r>
          </w:p>
        </w:tc>
        <w:tc>
          <w:tcPr>
            <w:tcW w:w="560" w:type="dxa"/>
            <w:vAlign w:val="bottom"/>
            <w:shd w:val="clear" w:color="auto" w:fill="9AB956"/>
          </w:tcPr>
          <w:p>
            <w:pPr>
              <w:spacing w:after="0"/>
              <w:rPr>
                <w:sz w:val="9"/>
                <w:szCs w:val="9"/>
                <w:color w:val="auto"/>
              </w:rPr>
            </w:pPr>
          </w:p>
        </w:tc>
        <w:tc>
          <w:tcPr>
            <w:tcW w:w="760" w:type="dxa"/>
            <w:vAlign w:val="bottom"/>
            <w:shd w:val="clear" w:color="auto" w:fill="9AB956"/>
          </w:tcPr>
          <w:p>
            <w:pPr>
              <w:jc w:val="center"/>
              <w:spacing w:after="0"/>
              <w:rPr>
                <w:sz w:val="20"/>
                <w:szCs w:val="20"/>
                <w:color w:val="auto"/>
              </w:rPr>
            </w:pPr>
            <w:r>
              <w:rPr>
                <w:rFonts w:ascii="Arial" w:cs="Arial" w:eastAsia="Arial" w:hAnsi="Arial"/>
                <w:sz w:val="9"/>
                <w:szCs w:val="9"/>
                <w:b w:val="1"/>
                <w:bCs w:val="1"/>
                <w:color w:val="FFFFFF"/>
              </w:rPr>
              <w:t>Awards: No. of</w:t>
            </w:r>
          </w:p>
        </w:tc>
        <w:tc>
          <w:tcPr>
            <w:tcW w:w="640" w:type="dxa"/>
            <w:vAlign w:val="bottom"/>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Options</w:t>
            </w:r>
          </w:p>
        </w:tc>
        <w:tc>
          <w:tcPr>
            <w:tcW w:w="540" w:type="dxa"/>
            <w:vAlign w:val="bottom"/>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or Base</w:t>
            </w:r>
          </w:p>
        </w:tc>
        <w:tc>
          <w:tcPr>
            <w:tcW w:w="58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Fair Value</w:t>
            </w:r>
          </w:p>
        </w:tc>
        <w:tc>
          <w:tcPr>
            <w:tcW w:w="0" w:type="dxa"/>
            <w:vAlign w:val="bottom"/>
          </w:tcPr>
          <w:p>
            <w:pPr>
              <w:spacing w:after="0"/>
              <w:rPr>
                <w:sz w:val="1"/>
                <w:szCs w:val="1"/>
                <w:color w:val="auto"/>
              </w:rPr>
            </w:pPr>
          </w:p>
        </w:tc>
      </w:tr>
      <w:tr>
        <w:trPr>
          <w:trHeight w:val="100"/>
        </w:trPr>
        <w:tc>
          <w:tcPr>
            <w:tcW w:w="1460" w:type="dxa"/>
            <w:vAlign w:val="bottom"/>
            <w:tcBorders>
              <w:left w:val="single" w:sz="8" w:color="auto"/>
            </w:tcBorders>
            <w:shd w:val="clear" w:color="auto" w:fill="9AB956"/>
          </w:tcPr>
          <w:p>
            <w:pPr>
              <w:spacing w:after="0"/>
              <w:rPr>
                <w:sz w:val="8"/>
                <w:szCs w:val="8"/>
                <w:color w:val="auto"/>
              </w:rPr>
            </w:pPr>
          </w:p>
        </w:tc>
        <w:tc>
          <w:tcPr>
            <w:tcW w:w="280" w:type="dxa"/>
            <w:vAlign w:val="bottom"/>
            <w:shd w:val="clear" w:color="auto" w:fill="9AB956"/>
          </w:tcPr>
          <w:p>
            <w:pPr>
              <w:spacing w:after="0"/>
              <w:rPr>
                <w:sz w:val="8"/>
                <w:szCs w:val="8"/>
                <w:color w:val="auto"/>
              </w:rPr>
            </w:pPr>
          </w:p>
        </w:tc>
        <w:tc>
          <w:tcPr>
            <w:tcW w:w="260" w:type="dxa"/>
            <w:vAlign w:val="bottom"/>
            <w:shd w:val="clear" w:color="auto" w:fill="9AB956"/>
          </w:tcPr>
          <w:p>
            <w:pPr>
              <w:spacing w:after="0"/>
              <w:rPr>
                <w:sz w:val="8"/>
                <w:szCs w:val="8"/>
                <w:color w:val="auto"/>
              </w:rPr>
            </w:pPr>
          </w:p>
        </w:tc>
        <w:tc>
          <w:tcPr>
            <w:tcW w:w="620" w:type="dxa"/>
            <w:vAlign w:val="bottom"/>
            <w:shd w:val="clear" w:color="auto" w:fill="9AB956"/>
          </w:tcPr>
          <w:p>
            <w:pPr>
              <w:spacing w:after="0"/>
              <w:rPr>
                <w:sz w:val="8"/>
                <w:szCs w:val="8"/>
                <w:color w:val="auto"/>
              </w:rPr>
            </w:pPr>
          </w:p>
        </w:tc>
        <w:tc>
          <w:tcPr>
            <w:tcW w:w="660" w:type="dxa"/>
            <w:vAlign w:val="bottom"/>
            <w:shd w:val="clear" w:color="auto" w:fill="9AB956"/>
          </w:tcPr>
          <w:p>
            <w:pPr>
              <w:spacing w:after="0"/>
              <w:rPr>
                <w:sz w:val="8"/>
                <w:szCs w:val="8"/>
                <w:color w:val="auto"/>
              </w:rPr>
            </w:pPr>
          </w:p>
        </w:tc>
        <w:tc>
          <w:tcPr>
            <w:tcW w:w="580" w:type="dxa"/>
            <w:vAlign w:val="bottom"/>
            <w:shd w:val="clear" w:color="auto" w:fill="9AB956"/>
          </w:tcPr>
          <w:p>
            <w:pPr>
              <w:spacing w:after="0"/>
              <w:rPr>
                <w:sz w:val="8"/>
                <w:szCs w:val="8"/>
                <w:color w:val="auto"/>
              </w:rPr>
            </w:pPr>
          </w:p>
        </w:tc>
        <w:tc>
          <w:tcPr>
            <w:tcW w:w="580" w:type="dxa"/>
            <w:vAlign w:val="bottom"/>
            <w:shd w:val="clear" w:color="auto" w:fill="9AB956"/>
          </w:tcPr>
          <w:p>
            <w:pPr>
              <w:spacing w:after="0"/>
              <w:rPr>
                <w:sz w:val="8"/>
                <w:szCs w:val="8"/>
                <w:color w:val="auto"/>
              </w:rPr>
            </w:pPr>
          </w:p>
        </w:tc>
        <w:tc>
          <w:tcPr>
            <w:tcW w:w="620" w:type="dxa"/>
            <w:vAlign w:val="bottom"/>
            <w:shd w:val="clear" w:color="auto" w:fill="9AB956"/>
          </w:tcPr>
          <w:p>
            <w:pPr>
              <w:spacing w:after="0"/>
              <w:rPr>
                <w:sz w:val="8"/>
                <w:szCs w:val="8"/>
                <w:color w:val="auto"/>
              </w:rPr>
            </w:pPr>
          </w:p>
        </w:tc>
        <w:tc>
          <w:tcPr>
            <w:tcW w:w="620" w:type="dxa"/>
            <w:vAlign w:val="bottom"/>
            <w:shd w:val="clear" w:color="auto" w:fill="9AB956"/>
          </w:tcPr>
          <w:p>
            <w:pPr>
              <w:spacing w:after="0"/>
              <w:rPr>
                <w:sz w:val="8"/>
                <w:szCs w:val="8"/>
                <w:color w:val="auto"/>
              </w:rPr>
            </w:pPr>
          </w:p>
        </w:tc>
        <w:tc>
          <w:tcPr>
            <w:tcW w:w="560" w:type="dxa"/>
            <w:vAlign w:val="bottom"/>
            <w:shd w:val="clear" w:color="auto" w:fill="9AB956"/>
          </w:tcPr>
          <w:p>
            <w:pPr>
              <w:spacing w:after="0"/>
              <w:rPr>
                <w:sz w:val="8"/>
                <w:szCs w:val="8"/>
                <w:color w:val="auto"/>
              </w:rPr>
            </w:pPr>
          </w:p>
        </w:tc>
        <w:tc>
          <w:tcPr>
            <w:tcW w:w="760" w:type="dxa"/>
            <w:vAlign w:val="bottom"/>
            <w:shd w:val="clear" w:color="auto" w:fill="9AB956"/>
          </w:tcPr>
          <w:p>
            <w:pPr>
              <w:jc w:val="center"/>
              <w:spacing w:after="0" w:line="101" w:lineRule="exact"/>
              <w:rPr>
                <w:sz w:val="20"/>
                <w:szCs w:val="20"/>
                <w:color w:val="auto"/>
              </w:rPr>
            </w:pPr>
            <w:r>
              <w:rPr>
                <w:rFonts w:ascii="Arial" w:cs="Arial" w:eastAsia="Arial" w:hAnsi="Arial"/>
                <w:sz w:val="9"/>
                <w:szCs w:val="9"/>
                <w:b w:val="1"/>
                <w:bCs w:val="1"/>
                <w:color w:val="FFFFFF"/>
                <w:w w:val="96"/>
              </w:rPr>
              <w:t>Securities,</w:t>
            </w:r>
          </w:p>
        </w:tc>
        <w:tc>
          <w:tcPr>
            <w:tcW w:w="640" w:type="dxa"/>
            <w:vAlign w:val="bottom"/>
            <w:shd w:val="clear" w:color="auto" w:fill="9AB956"/>
          </w:tcPr>
          <w:p>
            <w:pPr>
              <w:jc w:val="center"/>
              <w:spacing w:after="0" w:line="101" w:lineRule="exact"/>
              <w:rPr>
                <w:sz w:val="20"/>
                <w:szCs w:val="20"/>
                <w:color w:val="auto"/>
              </w:rPr>
            </w:pPr>
            <w:r>
              <w:rPr>
                <w:rFonts w:ascii="Arial" w:cs="Arial" w:eastAsia="Arial" w:hAnsi="Arial"/>
                <w:sz w:val="9"/>
                <w:szCs w:val="9"/>
                <w:b w:val="1"/>
                <w:bCs w:val="1"/>
                <w:color w:val="FFFFFF"/>
                <w:w w:val="95"/>
              </w:rPr>
              <w:t>Awards: No.</w:t>
            </w:r>
          </w:p>
        </w:tc>
        <w:tc>
          <w:tcPr>
            <w:tcW w:w="540" w:type="dxa"/>
            <w:vAlign w:val="bottom"/>
            <w:shd w:val="clear" w:color="auto" w:fill="9AB956"/>
          </w:tcPr>
          <w:p>
            <w:pPr>
              <w:jc w:val="center"/>
              <w:spacing w:after="0" w:line="101" w:lineRule="exact"/>
              <w:rPr>
                <w:sz w:val="20"/>
                <w:szCs w:val="20"/>
                <w:color w:val="auto"/>
              </w:rPr>
            </w:pPr>
            <w:r>
              <w:rPr>
                <w:rFonts w:ascii="Arial" w:cs="Arial" w:eastAsia="Arial" w:hAnsi="Arial"/>
                <w:sz w:val="9"/>
                <w:szCs w:val="9"/>
                <w:b w:val="1"/>
                <w:bCs w:val="1"/>
                <w:color w:val="FFFFFF"/>
                <w:w w:val="96"/>
              </w:rPr>
              <w:t>Price of</w:t>
            </w:r>
          </w:p>
        </w:tc>
        <w:tc>
          <w:tcPr>
            <w:tcW w:w="580" w:type="dxa"/>
            <w:vAlign w:val="bottom"/>
            <w:tcBorders>
              <w:right w:val="single" w:sz="8" w:color="auto"/>
            </w:tcBorders>
            <w:shd w:val="clear" w:color="auto" w:fill="9AB956"/>
          </w:tcPr>
          <w:p>
            <w:pPr>
              <w:jc w:val="center"/>
              <w:spacing w:after="0" w:line="101" w:lineRule="exact"/>
              <w:rPr>
                <w:sz w:val="20"/>
                <w:szCs w:val="20"/>
                <w:color w:val="auto"/>
              </w:rPr>
            </w:pPr>
            <w:r>
              <w:rPr>
                <w:rFonts w:ascii="Arial" w:cs="Arial" w:eastAsia="Arial" w:hAnsi="Arial"/>
                <w:sz w:val="9"/>
                <w:szCs w:val="9"/>
                <w:b w:val="1"/>
                <w:bCs w:val="1"/>
                <w:color w:val="FFFFFF"/>
              </w:rPr>
              <w:t>of Stock</w:t>
            </w:r>
          </w:p>
        </w:tc>
        <w:tc>
          <w:tcPr>
            <w:tcW w:w="0" w:type="dxa"/>
            <w:vAlign w:val="bottom"/>
          </w:tcPr>
          <w:p>
            <w:pPr>
              <w:spacing w:after="0"/>
              <w:rPr>
                <w:sz w:val="1"/>
                <w:szCs w:val="1"/>
                <w:color w:val="auto"/>
              </w:rPr>
            </w:pPr>
          </w:p>
        </w:tc>
      </w:tr>
      <w:tr>
        <w:trPr>
          <w:trHeight w:val="111"/>
        </w:trPr>
        <w:tc>
          <w:tcPr>
            <w:tcW w:w="1460" w:type="dxa"/>
            <w:vAlign w:val="bottom"/>
            <w:tcBorders>
              <w:left w:val="single" w:sz="8" w:color="auto"/>
            </w:tcBorders>
            <w:shd w:val="clear" w:color="auto" w:fill="9AB956"/>
          </w:tcPr>
          <w:p>
            <w:pPr>
              <w:spacing w:after="0"/>
              <w:rPr>
                <w:sz w:val="9"/>
                <w:szCs w:val="9"/>
                <w:color w:val="auto"/>
              </w:rPr>
            </w:pPr>
          </w:p>
        </w:tc>
        <w:tc>
          <w:tcPr>
            <w:tcW w:w="280" w:type="dxa"/>
            <w:vAlign w:val="bottom"/>
            <w:shd w:val="clear" w:color="auto" w:fill="9AB956"/>
          </w:tcPr>
          <w:p>
            <w:pPr>
              <w:spacing w:after="0"/>
              <w:rPr>
                <w:sz w:val="9"/>
                <w:szCs w:val="9"/>
                <w:color w:val="auto"/>
              </w:rPr>
            </w:pPr>
          </w:p>
        </w:tc>
        <w:tc>
          <w:tcPr>
            <w:tcW w:w="260" w:type="dxa"/>
            <w:vAlign w:val="bottom"/>
            <w:shd w:val="clear" w:color="auto" w:fill="9AB956"/>
          </w:tcPr>
          <w:p>
            <w:pPr>
              <w:spacing w:after="0"/>
              <w:rPr>
                <w:sz w:val="9"/>
                <w:szCs w:val="9"/>
                <w:color w:val="auto"/>
              </w:rPr>
            </w:pPr>
          </w:p>
        </w:tc>
        <w:tc>
          <w:tcPr>
            <w:tcW w:w="620" w:type="dxa"/>
            <w:vAlign w:val="bottom"/>
            <w:shd w:val="clear" w:color="auto" w:fill="9AB956"/>
          </w:tcPr>
          <w:p>
            <w:pPr>
              <w:spacing w:after="0"/>
              <w:rPr>
                <w:sz w:val="9"/>
                <w:szCs w:val="9"/>
                <w:color w:val="auto"/>
              </w:rPr>
            </w:pPr>
          </w:p>
        </w:tc>
        <w:tc>
          <w:tcPr>
            <w:tcW w:w="660" w:type="dxa"/>
            <w:vAlign w:val="bottom"/>
            <w:shd w:val="clear" w:color="auto" w:fill="9AB956"/>
          </w:tcPr>
          <w:p>
            <w:pPr>
              <w:spacing w:after="0"/>
              <w:rPr>
                <w:sz w:val="9"/>
                <w:szCs w:val="9"/>
                <w:color w:val="auto"/>
              </w:rPr>
            </w:pPr>
          </w:p>
        </w:tc>
        <w:tc>
          <w:tcPr>
            <w:tcW w:w="580" w:type="dxa"/>
            <w:vAlign w:val="bottom"/>
            <w:shd w:val="clear" w:color="auto" w:fill="9AB956"/>
          </w:tcPr>
          <w:p>
            <w:pPr>
              <w:spacing w:after="0"/>
              <w:rPr>
                <w:sz w:val="9"/>
                <w:szCs w:val="9"/>
                <w:color w:val="auto"/>
              </w:rPr>
            </w:pPr>
          </w:p>
        </w:tc>
        <w:tc>
          <w:tcPr>
            <w:tcW w:w="580" w:type="dxa"/>
            <w:vAlign w:val="bottom"/>
            <w:shd w:val="clear" w:color="auto" w:fill="9AB956"/>
          </w:tcPr>
          <w:p>
            <w:pPr>
              <w:spacing w:after="0"/>
              <w:rPr>
                <w:sz w:val="9"/>
                <w:szCs w:val="9"/>
                <w:color w:val="auto"/>
              </w:rPr>
            </w:pPr>
          </w:p>
        </w:tc>
        <w:tc>
          <w:tcPr>
            <w:tcW w:w="620" w:type="dxa"/>
            <w:vAlign w:val="bottom"/>
            <w:shd w:val="clear" w:color="auto" w:fill="9AB956"/>
          </w:tcPr>
          <w:p>
            <w:pPr>
              <w:spacing w:after="0"/>
              <w:rPr>
                <w:sz w:val="9"/>
                <w:szCs w:val="9"/>
                <w:color w:val="auto"/>
              </w:rPr>
            </w:pPr>
          </w:p>
        </w:tc>
        <w:tc>
          <w:tcPr>
            <w:tcW w:w="620" w:type="dxa"/>
            <w:vAlign w:val="bottom"/>
            <w:shd w:val="clear" w:color="auto" w:fill="9AB956"/>
          </w:tcPr>
          <w:p>
            <w:pPr>
              <w:spacing w:after="0"/>
              <w:rPr>
                <w:sz w:val="9"/>
                <w:szCs w:val="9"/>
                <w:color w:val="auto"/>
              </w:rPr>
            </w:pPr>
          </w:p>
        </w:tc>
        <w:tc>
          <w:tcPr>
            <w:tcW w:w="560" w:type="dxa"/>
            <w:vAlign w:val="bottom"/>
            <w:shd w:val="clear" w:color="auto" w:fill="9AB956"/>
          </w:tcPr>
          <w:p>
            <w:pPr>
              <w:spacing w:after="0"/>
              <w:rPr>
                <w:sz w:val="9"/>
                <w:szCs w:val="9"/>
                <w:color w:val="auto"/>
              </w:rPr>
            </w:pPr>
          </w:p>
        </w:tc>
        <w:tc>
          <w:tcPr>
            <w:tcW w:w="760" w:type="dxa"/>
            <w:vAlign w:val="bottom"/>
            <w:shd w:val="clear" w:color="auto" w:fill="9AB956"/>
          </w:tcPr>
          <w:p>
            <w:pPr>
              <w:jc w:val="center"/>
              <w:spacing w:after="0"/>
              <w:rPr>
                <w:sz w:val="20"/>
                <w:szCs w:val="20"/>
                <w:color w:val="auto"/>
              </w:rPr>
            </w:pPr>
            <w:r>
              <w:rPr>
                <w:rFonts w:ascii="Arial" w:cs="Arial" w:eastAsia="Arial" w:hAnsi="Arial"/>
                <w:sz w:val="9"/>
                <w:szCs w:val="9"/>
                <w:b w:val="1"/>
                <w:bCs w:val="1"/>
                <w:color w:val="FFFFFF"/>
              </w:rPr>
              <w:t>Shares of stock</w:t>
            </w:r>
          </w:p>
        </w:tc>
        <w:tc>
          <w:tcPr>
            <w:tcW w:w="640" w:type="dxa"/>
            <w:vAlign w:val="bottom"/>
            <w:shd w:val="clear" w:color="auto" w:fill="9AB956"/>
          </w:tcPr>
          <w:p>
            <w:pPr>
              <w:jc w:val="right"/>
              <w:ind w:right="15"/>
              <w:spacing w:after="0"/>
              <w:rPr>
                <w:sz w:val="20"/>
                <w:szCs w:val="20"/>
                <w:color w:val="auto"/>
              </w:rPr>
            </w:pPr>
            <w:r>
              <w:rPr>
                <w:rFonts w:ascii="Arial" w:cs="Arial" w:eastAsia="Arial" w:hAnsi="Arial"/>
                <w:sz w:val="9"/>
                <w:szCs w:val="9"/>
                <w:b w:val="1"/>
                <w:bCs w:val="1"/>
                <w:color w:val="FFFFFF"/>
              </w:rPr>
              <w:t>of Securities</w:t>
            </w:r>
          </w:p>
        </w:tc>
        <w:tc>
          <w:tcPr>
            <w:tcW w:w="540" w:type="dxa"/>
            <w:vAlign w:val="bottom"/>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Option</w:t>
            </w:r>
          </w:p>
        </w:tc>
        <w:tc>
          <w:tcPr>
            <w:tcW w:w="58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and Option</w:t>
            </w:r>
          </w:p>
        </w:tc>
        <w:tc>
          <w:tcPr>
            <w:tcW w:w="0" w:type="dxa"/>
            <w:vAlign w:val="bottom"/>
          </w:tcPr>
          <w:p>
            <w:pPr>
              <w:spacing w:after="0"/>
              <w:rPr>
                <w:sz w:val="1"/>
                <w:szCs w:val="1"/>
                <w:color w:val="auto"/>
              </w:rPr>
            </w:pPr>
          </w:p>
        </w:tc>
      </w:tr>
      <w:tr>
        <w:trPr>
          <w:trHeight w:val="100"/>
        </w:trPr>
        <w:tc>
          <w:tcPr>
            <w:tcW w:w="1460" w:type="dxa"/>
            <w:vAlign w:val="bottom"/>
            <w:tcBorders>
              <w:left w:val="single" w:sz="8" w:color="auto"/>
            </w:tcBorders>
            <w:shd w:val="clear" w:color="auto" w:fill="9AB956"/>
          </w:tcPr>
          <w:p>
            <w:pPr>
              <w:spacing w:after="0"/>
              <w:rPr>
                <w:sz w:val="8"/>
                <w:szCs w:val="8"/>
                <w:color w:val="auto"/>
              </w:rPr>
            </w:pPr>
          </w:p>
        </w:tc>
        <w:tc>
          <w:tcPr>
            <w:tcW w:w="280" w:type="dxa"/>
            <w:vAlign w:val="bottom"/>
            <w:shd w:val="clear" w:color="auto" w:fill="9AB956"/>
          </w:tcPr>
          <w:p>
            <w:pPr>
              <w:spacing w:after="0"/>
              <w:rPr>
                <w:sz w:val="8"/>
                <w:szCs w:val="8"/>
                <w:color w:val="auto"/>
              </w:rPr>
            </w:pPr>
          </w:p>
        </w:tc>
        <w:tc>
          <w:tcPr>
            <w:tcW w:w="260" w:type="dxa"/>
            <w:vAlign w:val="bottom"/>
            <w:shd w:val="clear" w:color="auto" w:fill="9AB956"/>
          </w:tcPr>
          <w:p>
            <w:pPr>
              <w:spacing w:after="0"/>
              <w:rPr>
                <w:sz w:val="8"/>
                <w:szCs w:val="8"/>
                <w:color w:val="auto"/>
              </w:rPr>
            </w:pPr>
          </w:p>
        </w:tc>
        <w:tc>
          <w:tcPr>
            <w:tcW w:w="620" w:type="dxa"/>
            <w:vAlign w:val="bottom"/>
            <w:shd w:val="clear" w:color="auto" w:fill="9AB956"/>
          </w:tcPr>
          <w:p>
            <w:pPr>
              <w:spacing w:after="0"/>
              <w:rPr>
                <w:sz w:val="8"/>
                <w:szCs w:val="8"/>
                <w:color w:val="auto"/>
              </w:rPr>
            </w:pPr>
          </w:p>
        </w:tc>
        <w:tc>
          <w:tcPr>
            <w:tcW w:w="660" w:type="dxa"/>
            <w:vAlign w:val="bottom"/>
            <w:shd w:val="clear" w:color="auto" w:fill="9AB956"/>
          </w:tcPr>
          <w:p>
            <w:pPr>
              <w:spacing w:after="0"/>
              <w:rPr>
                <w:sz w:val="8"/>
                <w:szCs w:val="8"/>
                <w:color w:val="auto"/>
              </w:rPr>
            </w:pPr>
          </w:p>
        </w:tc>
        <w:tc>
          <w:tcPr>
            <w:tcW w:w="580" w:type="dxa"/>
            <w:vAlign w:val="bottom"/>
            <w:shd w:val="clear" w:color="auto" w:fill="9AB956"/>
          </w:tcPr>
          <w:p>
            <w:pPr>
              <w:spacing w:after="0"/>
              <w:rPr>
                <w:sz w:val="8"/>
                <w:szCs w:val="8"/>
                <w:color w:val="auto"/>
              </w:rPr>
            </w:pPr>
          </w:p>
        </w:tc>
        <w:tc>
          <w:tcPr>
            <w:tcW w:w="580" w:type="dxa"/>
            <w:vAlign w:val="bottom"/>
            <w:shd w:val="clear" w:color="auto" w:fill="9AB956"/>
          </w:tcPr>
          <w:p>
            <w:pPr>
              <w:spacing w:after="0"/>
              <w:rPr>
                <w:sz w:val="8"/>
                <w:szCs w:val="8"/>
                <w:color w:val="auto"/>
              </w:rPr>
            </w:pPr>
          </w:p>
        </w:tc>
        <w:tc>
          <w:tcPr>
            <w:tcW w:w="620" w:type="dxa"/>
            <w:vAlign w:val="bottom"/>
            <w:shd w:val="clear" w:color="auto" w:fill="9AB956"/>
          </w:tcPr>
          <w:p>
            <w:pPr>
              <w:spacing w:after="0"/>
              <w:rPr>
                <w:sz w:val="8"/>
                <w:szCs w:val="8"/>
                <w:color w:val="auto"/>
              </w:rPr>
            </w:pPr>
          </w:p>
        </w:tc>
        <w:tc>
          <w:tcPr>
            <w:tcW w:w="620" w:type="dxa"/>
            <w:vAlign w:val="bottom"/>
            <w:shd w:val="clear" w:color="auto" w:fill="9AB956"/>
          </w:tcPr>
          <w:p>
            <w:pPr>
              <w:spacing w:after="0"/>
              <w:rPr>
                <w:sz w:val="8"/>
                <w:szCs w:val="8"/>
                <w:color w:val="auto"/>
              </w:rPr>
            </w:pPr>
          </w:p>
        </w:tc>
        <w:tc>
          <w:tcPr>
            <w:tcW w:w="560" w:type="dxa"/>
            <w:vAlign w:val="bottom"/>
            <w:shd w:val="clear" w:color="auto" w:fill="9AB956"/>
          </w:tcPr>
          <w:p>
            <w:pPr>
              <w:spacing w:after="0"/>
              <w:rPr>
                <w:sz w:val="8"/>
                <w:szCs w:val="8"/>
                <w:color w:val="auto"/>
              </w:rPr>
            </w:pPr>
          </w:p>
        </w:tc>
        <w:tc>
          <w:tcPr>
            <w:tcW w:w="760" w:type="dxa"/>
            <w:vAlign w:val="bottom"/>
            <w:shd w:val="clear" w:color="auto" w:fill="9AB956"/>
          </w:tcPr>
          <w:p>
            <w:pPr>
              <w:jc w:val="center"/>
              <w:spacing w:after="0" w:line="101" w:lineRule="exact"/>
              <w:rPr>
                <w:sz w:val="20"/>
                <w:szCs w:val="20"/>
                <w:color w:val="auto"/>
              </w:rPr>
            </w:pPr>
            <w:r>
              <w:rPr>
                <w:rFonts w:ascii="Arial" w:cs="Arial" w:eastAsia="Arial" w:hAnsi="Arial"/>
                <w:sz w:val="9"/>
                <w:szCs w:val="9"/>
                <w:b w:val="1"/>
                <w:bCs w:val="1"/>
                <w:color w:val="FFFFFF"/>
                <w:w w:val="96"/>
              </w:rPr>
              <w:t>or units</w:t>
            </w:r>
          </w:p>
        </w:tc>
        <w:tc>
          <w:tcPr>
            <w:tcW w:w="640" w:type="dxa"/>
            <w:vAlign w:val="bottom"/>
            <w:shd w:val="clear" w:color="auto" w:fill="9AB956"/>
          </w:tcPr>
          <w:p>
            <w:pPr>
              <w:jc w:val="center"/>
              <w:spacing w:after="0" w:line="101" w:lineRule="exact"/>
              <w:rPr>
                <w:sz w:val="20"/>
                <w:szCs w:val="20"/>
                <w:color w:val="auto"/>
              </w:rPr>
            </w:pPr>
            <w:r>
              <w:rPr>
                <w:rFonts w:ascii="Arial" w:cs="Arial" w:eastAsia="Arial" w:hAnsi="Arial"/>
                <w:sz w:val="9"/>
                <w:szCs w:val="9"/>
                <w:b w:val="1"/>
                <w:bCs w:val="1"/>
                <w:color w:val="FFFFFF"/>
                <w:w w:val="99"/>
              </w:rPr>
              <w:t>underlying</w:t>
            </w:r>
          </w:p>
        </w:tc>
        <w:tc>
          <w:tcPr>
            <w:tcW w:w="540" w:type="dxa"/>
            <w:vAlign w:val="bottom"/>
            <w:shd w:val="clear" w:color="auto" w:fill="9AB956"/>
          </w:tcPr>
          <w:p>
            <w:pPr>
              <w:jc w:val="center"/>
              <w:spacing w:after="0" w:line="101" w:lineRule="exact"/>
              <w:rPr>
                <w:sz w:val="20"/>
                <w:szCs w:val="20"/>
                <w:color w:val="auto"/>
              </w:rPr>
            </w:pPr>
            <w:r>
              <w:rPr>
                <w:rFonts w:ascii="Arial" w:cs="Arial" w:eastAsia="Arial" w:hAnsi="Arial"/>
                <w:sz w:val="9"/>
                <w:szCs w:val="9"/>
                <w:b w:val="1"/>
                <w:bCs w:val="1"/>
                <w:color w:val="FFFFFF"/>
                <w:w w:val="98"/>
              </w:rPr>
              <w:t>Awards</w:t>
            </w:r>
          </w:p>
        </w:tc>
        <w:tc>
          <w:tcPr>
            <w:tcW w:w="580" w:type="dxa"/>
            <w:vAlign w:val="bottom"/>
            <w:tcBorders>
              <w:right w:val="single" w:sz="8" w:color="auto"/>
            </w:tcBorders>
            <w:shd w:val="clear" w:color="auto" w:fill="9AB956"/>
          </w:tcPr>
          <w:p>
            <w:pPr>
              <w:jc w:val="center"/>
              <w:spacing w:after="0" w:line="101" w:lineRule="exact"/>
              <w:rPr>
                <w:sz w:val="20"/>
                <w:szCs w:val="20"/>
                <w:color w:val="auto"/>
              </w:rPr>
            </w:pPr>
            <w:r>
              <w:rPr>
                <w:rFonts w:ascii="Arial" w:cs="Arial" w:eastAsia="Arial" w:hAnsi="Arial"/>
                <w:sz w:val="9"/>
                <w:szCs w:val="9"/>
                <w:b w:val="1"/>
                <w:bCs w:val="1"/>
                <w:color w:val="FFFFFF"/>
                <w:w w:val="98"/>
              </w:rPr>
              <w:t>Awards</w:t>
            </w:r>
          </w:p>
        </w:tc>
        <w:tc>
          <w:tcPr>
            <w:tcW w:w="0" w:type="dxa"/>
            <w:vAlign w:val="bottom"/>
          </w:tcPr>
          <w:p>
            <w:pPr>
              <w:spacing w:after="0"/>
              <w:rPr>
                <w:sz w:val="1"/>
                <w:szCs w:val="1"/>
                <w:color w:val="auto"/>
              </w:rPr>
            </w:pPr>
          </w:p>
        </w:tc>
      </w:tr>
      <w:tr>
        <w:trPr>
          <w:trHeight w:val="121"/>
        </w:trPr>
        <w:tc>
          <w:tcPr>
            <w:tcW w:w="1460" w:type="dxa"/>
            <w:vAlign w:val="bottom"/>
            <w:tcBorders>
              <w:left w:val="single" w:sz="8" w:color="auto"/>
            </w:tcBorders>
            <w:shd w:val="clear" w:color="auto" w:fill="9AB956"/>
          </w:tcPr>
          <w:p>
            <w:pPr>
              <w:spacing w:after="0"/>
              <w:rPr>
                <w:sz w:val="10"/>
                <w:szCs w:val="10"/>
                <w:color w:val="auto"/>
              </w:rPr>
            </w:pPr>
          </w:p>
        </w:tc>
        <w:tc>
          <w:tcPr>
            <w:tcW w:w="280" w:type="dxa"/>
            <w:vAlign w:val="bottom"/>
            <w:shd w:val="clear" w:color="auto" w:fill="9AB956"/>
          </w:tcPr>
          <w:p>
            <w:pPr>
              <w:spacing w:after="0"/>
              <w:rPr>
                <w:sz w:val="10"/>
                <w:szCs w:val="10"/>
                <w:color w:val="auto"/>
              </w:rPr>
            </w:pPr>
          </w:p>
        </w:tc>
        <w:tc>
          <w:tcPr>
            <w:tcW w:w="260" w:type="dxa"/>
            <w:vAlign w:val="bottom"/>
            <w:shd w:val="clear" w:color="auto" w:fill="9AB956"/>
          </w:tcPr>
          <w:p>
            <w:pPr>
              <w:spacing w:after="0"/>
              <w:rPr>
                <w:sz w:val="10"/>
                <w:szCs w:val="10"/>
                <w:color w:val="auto"/>
              </w:rPr>
            </w:pPr>
          </w:p>
        </w:tc>
        <w:tc>
          <w:tcPr>
            <w:tcW w:w="620" w:type="dxa"/>
            <w:vAlign w:val="bottom"/>
            <w:shd w:val="clear" w:color="auto" w:fill="9AB956"/>
          </w:tcPr>
          <w:p>
            <w:pPr>
              <w:spacing w:after="0"/>
              <w:rPr>
                <w:sz w:val="10"/>
                <w:szCs w:val="10"/>
                <w:color w:val="auto"/>
              </w:rPr>
            </w:pPr>
          </w:p>
        </w:tc>
        <w:tc>
          <w:tcPr>
            <w:tcW w:w="660" w:type="dxa"/>
            <w:vAlign w:val="bottom"/>
            <w:shd w:val="clear" w:color="auto" w:fill="9AB956"/>
          </w:tcPr>
          <w:p>
            <w:pPr>
              <w:spacing w:after="0"/>
              <w:rPr>
                <w:sz w:val="10"/>
                <w:szCs w:val="10"/>
                <w:color w:val="auto"/>
              </w:rPr>
            </w:pPr>
          </w:p>
        </w:tc>
        <w:tc>
          <w:tcPr>
            <w:tcW w:w="580" w:type="dxa"/>
            <w:vAlign w:val="bottom"/>
            <w:shd w:val="clear" w:color="auto" w:fill="9AB956"/>
          </w:tcPr>
          <w:p>
            <w:pPr>
              <w:spacing w:after="0"/>
              <w:rPr>
                <w:sz w:val="10"/>
                <w:szCs w:val="10"/>
                <w:color w:val="auto"/>
              </w:rPr>
            </w:pPr>
          </w:p>
        </w:tc>
        <w:tc>
          <w:tcPr>
            <w:tcW w:w="580" w:type="dxa"/>
            <w:vAlign w:val="bottom"/>
            <w:shd w:val="clear" w:color="auto" w:fill="9AB956"/>
          </w:tcPr>
          <w:p>
            <w:pPr>
              <w:spacing w:after="0"/>
              <w:rPr>
                <w:sz w:val="10"/>
                <w:szCs w:val="10"/>
                <w:color w:val="auto"/>
              </w:rPr>
            </w:pPr>
          </w:p>
        </w:tc>
        <w:tc>
          <w:tcPr>
            <w:tcW w:w="620" w:type="dxa"/>
            <w:vAlign w:val="bottom"/>
            <w:shd w:val="clear" w:color="auto" w:fill="9AB956"/>
          </w:tcPr>
          <w:p>
            <w:pPr>
              <w:spacing w:after="0"/>
              <w:rPr>
                <w:sz w:val="10"/>
                <w:szCs w:val="10"/>
                <w:color w:val="auto"/>
              </w:rPr>
            </w:pPr>
          </w:p>
        </w:tc>
        <w:tc>
          <w:tcPr>
            <w:tcW w:w="620" w:type="dxa"/>
            <w:vAlign w:val="bottom"/>
            <w:shd w:val="clear" w:color="auto" w:fill="9AB956"/>
          </w:tcPr>
          <w:p>
            <w:pPr>
              <w:spacing w:after="0"/>
              <w:rPr>
                <w:sz w:val="10"/>
                <w:szCs w:val="10"/>
                <w:color w:val="auto"/>
              </w:rPr>
            </w:pPr>
          </w:p>
        </w:tc>
        <w:tc>
          <w:tcPr>
            <w:tcW w:w="560" w:type="dxa"/>
            <w:vAlign w:val="bottom"/>
            <w:shd w:val="clear" w:color="auto" w:fill="9AB956"/>
          </w:tcPr>
          <w:p>
            <w:pPr>
              <w:spacing w:after="0"/>
              <w:rPr>
                <w:sz w:val="10"/>
                <w:szCs w:val="10"/>
                <w:color w:val="auto"/>
              </w:rPr>
            </w:pPr>
          </w:p>
        </w:tc>
        <w:tc>
          <w:tcPr>
            <w:tcW w:w="760" w:type="dxa"/>
            <w:vAlign w:val="bottom"/>
            <w:shd w:val="clear" w:color="auto" w:fill="9AB956"/>
          </w:tcPr>
          <w:p>
            <w:pPr>
              <w:spacing w:after="0"/>
              <w:rPr>
                <w:sz w:val="10"/>
                <w:szCs w:val="10"/>
                <w:color w:val="auto"/>
              </w:rPr>
            </w:pPr>
          </w:p>
        </w:tc>
        <w:tc>
          <w:tcPr>
            <w:tcW w:w="640" w:type="dxa"/>
            <w:vAlign w:val="bottom"/>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options</w:t>
            </w:r>
          </w:p>
        </w:tc>
        <w:tc>
          <w:tcPr>
            <w:tcW w:w="540" w:type="dxa"/>
            <w:vAlign w:val="bottom"/>
            <w:shd w:val="clear" w:color="auto" w:fill="9AB956"/>
          </w:tcPr>
          <w:p>
            <w:pPr>
              <w:spacing w:after="0"/>
              <w:rPr>
                <w:sz w:val="10"/>
                <w:szCs w:val="10"/>
                <w:color w:val="auto"/>
              </w:rPr>
            </w:pPr>
          </w:p>
        </w:tc>
        <w:tc>
          <w:tcPr>
            <w:tcW w:w="580" w:type="dxa"/>
            <w:vAlign w:val="bottom"/>
            <w:tcBorders>
              <w:right w:val="single" w:sz="8" w:color="auto"/>
            </w:tcBorders>
            <w:shd w:val="clear" w:color="auto" w:fill="9AB956"/>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460" w:type="dxa"/>
            <w:vAlign w:val="bottom"/>
            <w:tcBorders>
              <w:left w:val="single" w:sz="8" w:color="auto"/>
            </w:tcBorders>
            <w:shd w:val="clear" w:color="auto" w:fill="9AB956"/>
          </w:tcPr>
          <w:p>
            <w:pPr>
              <w:spacing w:after="0"/>
              <w:rPr>
                <w:sz w:val="13"/>
                <w:szCs w:val="13"/>
                <w:color w:val="auto"/>
              </w:rPr>
            </w:pPr>
          </w:p>
        </w:tc>
        <w:tc>
          <w:tcPr>
            <w:tcW w:w="280" w:type="dxa"/>
            <w:vAlign w:val="bottom"/>
            <w:shd w:val="clear" w:color="auto" w:fill="9AB956"/>
          </w:tcPr>
          <w:p>
            <w:pPr>
              <w:spacing w:after="0"/>
              <w:rPr>
                <w:sz w:val="13"/>
                <w:szCs w:val="13"/>
                <w:color w:val="auto"/>
              </w:rPr>
            </w:pPr>
          </w:p>
        </w:tc>
        <w:tc>
          <w:tcPr>
            <w:tcW w:w="260" w:type="dxa"/>
            <w:vAlign w:val="bottom"/>
            <w:shd w:val="clear" w:color="auto" w:fill="9AB956"/>
          </w:tcPr>
          <w:p>
            <w:pPr>
              <w:spacing w:after="0"/>
              <w:rPr>
                <w:sz w:val="13"/>
                <w:szCs w:val="13"/>
                <w:color w:val="auto"/>
              </w:rPr>
            </w:pPr>
          </w:p>
        </w:tc>
        <w:tc>
          <w:tcPr>
            <w:tcW w:w="620" w:type="dxa"/>
            <w:vAlign w:val="bottom"/>
            <w:shd w:val="clear" w:color="auto" w:fill="9AB956"/>
          </w:tcPr>
          <w:p>
            <w:pPr>
              <w:spacing w:after="0"/>
              <w:rPr>
                <w:sz w:val="13"/>
                <w:szCs w:val="13"/>
                <w:color w:val="auto"/>
              </w:rPr>
            </w:pPr>
          </w:p>
        </w:tc>
        <w:tc>
          <w:tcPr>
            <w:tcW w:w="660" w:type="dxa"/>
            <w:vAlign w:val="bottom"/>
            <w:shd w:val="clear" w:color="auto" w:fill="9AB956"/>
          </w:tcPr>
          <w:p>
            <w:pPr>
              <w:jc w:val="right"/>
              <w:ind w:right="115"/>
              <w:spacing w:after="0"/>
              <w:rPr>
                <w:sz w:val="20"/>
                <w:szCs w:val="20"/>
                <w:color w:val="auto"/>
              </w:rPr>
            </w:pPr>
            <w:r>
              <w:rPr>
                <w:rFonts w:ascii="Arial" w:cs="Arial" w:eastAsia="Arial" w:hAnsi="Arial"/>
                <w:sz w:val="9"/>
                <w:szCs w:val="9"/>
                <w:b w:val="1"/>
                <w:bCs w:val="1"/>
                <w:color w:val="FFFFFF"/>
              </w:rPr>
              <w:t>Threshold</w:t>
            </w:r>
          </w:p>
        </w:tc>
        <w:tc>
          <w:tcPr>
            <w:tcW w:w="580" w:type="dxa"/>
            <w:vAlign w:val="bottom"/>
            <w:shd w:val="clear" w:color="auto" w:fill="9AB956"/>
          </w:tcPr>
          <w:p>
            <w:pPr>
              <w:jc w:val="center"/>
              <w:ind w:right="55"/>
              <w:spacing w:after="0"/>
              <w:rPr>
                <w:sz w:val="20"/>
                <w:szCs w:val="20"/>
                <w:color w:val="auto"/>
              </w:rPr>
            </w:pPr>
            <w:r>
              <w:rPr>
                <w:rFonts w:ascii="Arial" w:cs="Arial" w:eastAsia="Arial" w:hAnsi="Arial"/>
                <w:sz w:val="9"/>
                <w:szCs w:val="9"/>
                <w:b w:val="1"/>
                <w:bCs w:val="1"/>
                <w:color w:val="FFFFFF"/>
              </w:rPr>
              <w:t>Target</w:t>
            </w:r>
          </w:p>
        </w:tc>
        <w:tc>
          <w:tcPr>
            <w:tcW w:w="580" w:type="dxa"/>
            <w:vAlign w:val="bottom"/>
            <w:shd w:val="clear" w:color="auto" w:fill="9AB956"/>
          </w:tcPr>
          <w:p>
            <w:pPr>
              <w:jc w:val="right"/>
              <w:ind w:right="55"/>
              <w:spacing w:after="0"/>
              <w:rPr>
                <w:sz w:val="20"/>
                <w:szCs w:val="20"/>
                <w:color w:val="auto"/>
              </w:rPr>
            </w:pPr>
            <w:r>
              <w:rPr>
                <w:rFonts w:ascii="Arial" w:cs="Arial" w:eastAsia="Arial" w:hAnsi="Arial"/>
                <w:sz w:val="9"/>
                <w:szCs w:val="9"/>
                <w:b w:val="1"/>
                <w:bCs w:val="1"/>
                <w:color w:val="FFFFFF"/>
              </w:rPr>
              <w:t>Maximum</w:t>
            </w:r>
          </w:p>
        </w:tc>
        <w:tc>
          <w:tcPr>
            <w:tcW w:w="620" w:type="dxa"/>
            <w:vAlign w:val="bottom"/>
            <w:shd w:val="clear" w:color="auto" w:fill="9AB956"/>
          </w:tcPr>
          <w:p>
            <w:pPr>
              <w:jc w:val="right"/>
              <w:ind w:right="35"/>
              <w:spacing w:after="0"/>
              <w:rPr>
                <w:sz w:val="20"/>
                <w:szCs w:val="20"/>
                <w:color w:val="auto"/>
              </w:rPr>
            </w:pPr>
            <w:r>
              <w:rPr>
                <w:rFonts w:ascii="Arial" w:cs="Arial" w:eastAsia="Arial" w:hAnsi="Arial"/>
                <w:sz w:val="9"/>
                <w:szCs w:val="9"/>
                <w:b w:val="1"/>
                <w:bCs w:val="1"/>
                <w:color w:val="FFFFFF"/>
              </w:rPr>
              <w:t>Threshold</w:t>
            </w:r>
          </w:p>
        </w:tc>
        <w:tc>
          <w:tcPr>
            <w:tcW w:w="620" w:type="dxa"/>
            <w:vAlign w:val="bottom"/>
            <w:shd w:val="clear" w:color="auto" w:fill="9AB956"/>
          </w:tcPr>
          <w:p>
            <w:pPr>
              <w:jc w:val="right"/>
              <w:ind w:right="115"/>
              <w:spacing w:after="0"/>
              <w:rPr>
                <w:sz w:val="20"/>
                <w:szCs w:val="20"/>
                <w:color w:val="auto"/>
              </w:rPr>
            </w:pPr>
            <w:r>
              <w:rPr>
                <w:rFonts w:ascii="Arial" w:cs="Arial" w:eastAsia="Arial" w:hAnsi="Arial"/>
                <w:sz w:val="9"/>
                <w:szCs w:val="9"/>
                <w:b w:val="1"/>
                <w:bCs w:val="1"/>
                <w:color w:val="FFFFFF"/>
              </w:rPr>
              <w:t>Target</w:t>
            </w:r>
          </w:p>
        </w:tc>
        <w:tc>
          <w:tcPr>
            <w:tcW w:w="560" w:type="dxa"/>
            <w:vAlign w:val="bottom"/>
            <w:shd w:val="clear" w:color="auto" w:fill="9AB956"/>
          </w:tcPr>
          <w:p>
            <w:pPr>
              <w:jc w:val="right"/>
              <w:ind w:right="35"/>
              <w:spacing w:after="0"/>
              <w:rPr>
                <w:sz w:val="20"/>
                <w:szCs w:val="20"/>
                <w:color w:val="auto"/>
              </w:rPr>
            </w:pPr>
            <w:r>
              <w:rPr>
                <w:rFonts w:ascii="Arial" w:cs="Arial" w:eastAsia="Arial" w:hAnsi="Arial"/>
                <w:sz w:val="9"/>
                <w:szCs w:val="9"/>
                <w:b w:val="1"/>
                <w:bCs w:val="1"/>
                <w:color w:val="FFFFFF"/>
              </w:rPr>
              <w:t>Maximum</w:t>
            </w:r>
          </w:p>
        </w:tc>
        <w:tc>
          <w:tcPr>
            <w:tcW w:w="760" w:type="dxa"/>
            <w:vAlign w:val="bottom"/>
            <w:shd w:val="clear" w:color="auto" w:fill="9AB956"/>
          </w:tcPr>
          <w:p>
            <w:pPr>
              <w:spacing w:after="0"/>
              <w:rPr>
                <w:sz w:val="13"/>
                <w:szCs w:val="13"/>
                <w:color w:val="auto"/>
              </w:rPr>
            </w:pPr>
          </w:p>
        </w:tc>
        <w:tc>
          <w:tcPr>
            <w:tcW w:w="640" w:type="dxa"/>
            <w:vAlign w:val="bottom"/>
            <w:shd w:val="clear" w:color="auto" w:fill="9AB956"/>
          </w:tcPr>
          <w:p>
            <w:pPr>
              <w:spacing w:after="0"/>
              <w:rPr>
                <w:sz w:val="13"/>
                <w:szCs w:val="13"/>
                <w:color w:val="auto"/>
              </w:rPr>
            </w:pPr>
          </w:p>
        </w:tc>
        <w:tc>
          <w:tcPr>
            <w:tcW w:w="540" w:type="dxa"/>
            <w:vAlign w:val="bottom"/>
            <w:shd w:val="clear" w:color="auto" w:fill="9AB956"/>
          </w:tcPr>
          <w:p>
            <w:pPr>
              <w:spacing w:after="0"/>
              <w:rPr>
                <w:sz w:val="13"/>
                <w:szCs w:val="13"/>
                <w:color w:val="auto"/>
              </w:rPr>
            </w:pPr>
          </w:p>
        </w:tc>
        <w:tc>
          <w:tcPr>
            <w:tcW w:w="580" w:type="dxa"/>
            <w:vAlign w:val="bottom"/>
            <w:tcBorders>
              <w:right w:val="single" w:sz="8" w:color="auto"/>
            </w:tcBorders>
            <w:shd w:val="clear" w:color="auto" w:fill="9AB956"/>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460" w:type="dxa"/>
            <w:vAlign w:val="bottom"/>
            <w:tcBorders>
              <w:left w:val="single" w:sz="8" w:color="auto"/>
              <w:bottom w:val="single" w:sz="8" w:color="9AB956"/>
            </w:tcBorders>
            <w:shd w:val="clear" w:color="auto" w:fill="9AB956"/>
          </w:tcPr>
          <w:p>
            <w:pPr>
              <w:spacing w:after="0"/>
              <w:rPr>
                <w:sz w:val="15"/>
                <w:szCs w:val="15"/>
                <w:color w:val="auto"/>
              </w:rPr>
            </w:pPr>
          </w:p>
        </w:tc>
        <w:tc>
          <w:tcPr>
            <w:tcW w:w="280" w:type="dxa"/>
            <w:vAlign w:val="bottom"/>
            <w:tcBorders>
              <w:bottom w:val="single" w:sz="8" w:color="9AB956"/>
            </w:tcBorders>
            <w:shd w:val="clear" w:color="auto" w:fill="9AB956"/>
          </w:tcPr>
          <w:p>
            <w:pPr>
              <w:spacing w:after="0"/>
              <w:rPr>
                <w:sz w:val="15"/>
                <w:szCs w:val="15"/>
                <w:color w:val="auto"/>
              </w:rPr>
            </w:pPr>
          </w:p>
        </w:tc>
        <w:tc>
          <w:tcPr>
            <w:tcW w:w="260" w:type="dxa"/>
            <w:vAlign w:val="bottom"/>
            <w:tcBorders>
              <w:bottom w:val="single" w:sz="8" w:color="9AB956"/>
            </w:tcBorders>
            <w:shd w:val="clear" w:color="auto" w:fill="9AB956"/>
          </w:tcPr>
          <w:p>
            <w:pPr>
              <w:spacing w:after="0"/>
              <w:rPr>
                <w:sz w:val="15"/>
                <w:szCs w:val="15"/>
                <w:color w:val="auto"/>
              </w:rPr>
            </w:pPr>
          </w:p>
        </w:tc>
        <w:tc>
          <w:tcPr>
            <w:tcW w:w="620" w:type="dxa"/>
            <w:vAlign w:val="bottom"/>
            <w:tcBorders>
              <w:bottom w:val="single" w:sz="8" w:color="9AB956"/>
            </w:tcBorders>
            <w:shd w:val="clear" w:color="auto" w:fill="9AB956"/>
          </w:tcPr>
          <w:p>
            <w:pPr>
              <w:spacing w:after="0"/>
              <w:rPr>
                <w:sz w:val="15"/>
                <w:szCs w:val="15"/>
                <w:color w:val="auto"/>
              </w:rPr>
            </w:pPr>
          </w:p>
        </w:tc>
        <w:tc>
          <w:tcPr>
            <w:tcW w:w="660" w:type="dxa"/>
            <w:vAlign w:val="bottom"/>
            <w:tcBorders>
              <w:bottom w:val="single" w:sz="8" w:color="9AB956"/>
            </w:tcBorders>
            <w:shd w:val="clear" w:color="auto" w:fill="9AB956"/>
          </w:tcPr>
          <w:p>
            <w:pPr>
              <w:jc w:val="right"/>
              <w:ind w:right="275"/>
              <w:spacing w:after="0"/>
              <w:rPr>
                <w:sz w:val="20"/>
                <w:szCs w:val="20"/>
                <w:color w:val="auto"/>
              </w:rPr>
            </w:pPr>
            <w:r>
              <w:rPr>
                <w:rFonts w:ascii="Arial" w:cs="Arial" w:eastAsia="Arial" w:hAnsi="Arial"/>
                <w:sz w:val="9"/>
                <w:szCs w:val="9"/>
                <w:b w:val="1"/>
                <w:bCs w:val="1"/>
                <w:color w:val="FFFFFF"/>
              </w:rPr>
              <w:t>($)</w:t>
            </w:r>
          </w:p>
        </w:tc>
        <w:tc>
          <w:tcPr>
            <w:tcW w:w="580" w:type="dxa"/>
            <w:vAlign w:val="bottom"/>
            <w:tcBorders>
              <w:bottom w:val="single" w:sz="8" w:color="9AB956"/>
            </w:tcBorders>
            <w:shd w:val="clear" w:color="auto" w:fill="9AB956"/>
          </w:tcPr>
          <w:p>
            <w:pPr>
              <w:jc w:val="center"/>
              <w:ind w:right="55"/>
              <w:spacing w:after="0"/>
              <w:rPr>
                <w:sz w:val="20"/>
                <w:szCs w:val="20"/>
                <w:color w:val="auto"/>
              </w:rPr>
            </w:pPr>
            <w:r>
              <w:rPr>
                <w:rFonts w:ascii="Arial" w:cs="Arial" w:eastAsia="Arial" w:hAnsi="Arial"/>
                <w:sz w:val="9"/>
                <w:szCs w:val="9"/>
                <w:b w:val="1"/>
                <w:bCs w:val="1"/>
                <w:color w:val="FFFFFF"/>
              </w:rPr>
              <w:t>($)</w:t>
            </w:r>
          </w:p>
        </w:tc>
        <w:tc>
          <w:tcPr>
            <w:tcW w:w="580" w:type="dxa"/>
            <w:vAlign w:val="bottom"/>
            <w:tcBorders>
              <w:bottom w:val="single" w:sz="8" w:color="9AB956"/>
            </w:tcBorders>
            <w:shd w:val="clear" w:color="auto" w:fill="9AB956"/>
          </w:tcPr>
          <w:p>
            <w:pPr>
              <w:jc w:val="right"/>
              <w:ind w:right="215"/>
              <w:spacing w:after="0"/>
              <w:rPr>
                <w:sz w:val="20"/>
                <w:szCs w:val="20"/>
                <w:color w:val="auto"/>
              </w:rPr>
            </w:pPr>
            <w:r>
              <w:rPr>
                <w:rFonts w:ascii="Arial" w:cs="Arial" w:eastAsia="Arial" w:hAnsi="Arial"/>
                <w:sz w:val="9"/>
                <w:szCs w:val="9"/>
                <w:b w:val="1"/>
                <w:bCs w:val="1"/>
                <w:color w:val="FFFFFF"/>
              </w:rPr>
              <w:t>($)</w:t>
            </w:r>
          </w:p>
        </w:tc>
        <w:tc>
          <w:tcPr>
            <w:tcW w:w="620" w:type="dxa"/>
            <w:vAlign w:val="bottom"/>
            <w:tcBorders>
              <w:bottom w:val="single" w:sz="8" w:color="9AB956"/>
            </w:tcBorders>
            <w:shd w:val="clear" w:color="auto" w:fill="9AB956"/>
          </w:tcPr>
          <w:p>
            <w:pPr>
              <w:spacing w:after="0"/>
              <w:rPr>
                <w:sz w:val="15"/>
                <w:szCs w:val="15"/>
                <w:color w:val="auto"/>
              </w:rPr>
            </w:pPr>
          </w:p>
        </w:tc>
        <w:tc>
          <w:tcPr>
            <w:tcW w:w="620" w:type="dxa"/>
            <w:vAlign w:val="bottom"/>
            <w:tcBorders>
              <w:bottom w:val="single" w:sz="8" w:color="9AB956"/>
            </w:tcBorders>
            <w:shd w:val="clear" w:color="auto" w:fill="9AB956"/>
          </w:tcPr>
          <w:p>
            <w:pPr>
              <w:spacing w:after="0"/>
              <w:rPr>
                <w:sz w:val="15"/>
                <w:szCs w:val="15"/>
                <w:color w:val="auto"/>
              </w:rPr>
            </w:pPr>
          </w:p>
        </w:tc>
        <w:tc>
          <w:tcPr>
            <w:tcW w:w="560" w:type="dxa"/>
            <w:vAlign w:val="bottom"/>
            <w:tcBorders>
              <w:bottom w:val="single" w:sz="8" w:color="9AB956"/>
            </w:tcBorders>
            <w:shd w:val="clear" w:color="auto" w:fill="9AB956"/>
          </w:tcPr>
          <w:p>
            <w:pPr>
              <w:spacing w:after="0"/>
              <w:rPr>
                <w:sz w:val="15"/>
                <w:szCs w:val="15"/>
                <w:color w:val="auto"/>
              </w:rPr>
            </w:pPr>
          </w:p>
        </w:tc>
        <w:tc>
          <w:tcPr>
            <w:tcW w:w="760" w:type="dxa"/>
            <w:vAlign w:val="bottom"/>
            <w:tcBorders>
              <w:bottom w:val="single" w:sz="8" w:color="9AB956"/>
            </w:tcBorders>
            <w:shd w:val="clear" w:color="auto" w:fill="9AB956"/>
          </w:tcPr>
          <w:p>
            <w:pPr>
              <w:spacing w:after="0"/>
              <w:rPr>
                <w:sz w:val="15"/>
                <w:szCs w:val="15"/>
                <w:color w:val="auto"/>
              </w:rPr>
            </w:pPr>
          </w:p>
        </w:tc>
        <w:tc>
          <w:tcPr>
            <w:tcW w:w="640" w:type="dxa"/>
            <w:vAlign w:val="bottom"/>
            <w:tcBorders>
              <w:bottom w:val="single" w:sz="8" w:color="9AB956"/>
            </w:tcBorders>
            <w:shd w:val="clear" w:color="auto" w:fill="9AB956"/>
          </w:tcPr>
          <w:p>
            <w:pPr>
              <w:spacing w:after="0"/>
              <w:rPr>
                <w:sz w:val="15"/>
                <w:szCs w:val="15"/>
                <w:color w:val="auto"/>
              </w:rPr>
            </w:pPr>
          </w:p>
        </w:tc>
        <w:tc>
          <w:tcPr>
            <w:tcW w:w="540" w:type="dxa"/>
            <w:vAlign w:val="bottom"/>
            <w:tcBorders>
              <w:bottom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w:t>
            </w:r>
          </w:p>
        </w:tc>
        <w:tc>
          <w:tcPr>
            <w:tcW w:w="580" w:type="dxa"/>
            <w:vAlign w:val="bottom"/>
            <w:tcBorders>
              <w:bottom w:val="single" w:sz="8" w:color="9AB956"/>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w:t>
            </w:r>
          </w:p>
        </w:tc>
        <w:tc>
          <w:tcPr>
            <w:tcW w:w="0" w:type="dxa"/>
            <w:vAlign w:val="bottom"/>
          </w:tcPr>
          <w:p>
            <w:pPr>
              <w:spacing w:after="0"/>
              <w:rPr>
                <w:sz w:val="1"/>
                <w:szCs w:val="1"/>
                <w:color w:val="auto"/>
              </w:rPr>
            </w:pPr>
          </w:p>
        </w:tc>
      </w:tr>
      <w:tr>
        <w:trPr>
          <w:trHeight w:val="114"/>
        </w:trPr>
        <w:tc>
          <w:tcPr>
            <w:tcW w:w="14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9"/>
                <w:szCs w:val="9"/>
                <w:b w:val="1"/>
                <w:bCs w:val="1"/>
                <w:color w:val="auto"/>
              </w:rPr>
              <w:t>Mr. Patrick S. Williams</w:t>
            </w:r>
          </w:p>
        </w:tc>
        <w:tc>
          <w:tcPr>
            <w:tcW w:w="280" w:type="dxa"/>
            <w:vAlign w:val="bottom"/>
            <w:tcBorders>
              <w:top w:val="single" w:sz="8" w:color="auto"/>
            </w:tcBorders>
          </w:tcPr>
          <w:p>
            <w:pPr>
              <w:jc w:val="right"/>
              <w:ind w:right="35"/>
              <w:spacing w:after="0"/>
              <w:rPr>
                <w:sz w:val="20"/>
                <w:szCs w:val="20"/>
                <w:color w:val="auto"/>
              </w:rPr>
            </w:pPr>
            <w:r>
              <w:rPr>
                <w:rFonts w:ascii="Arial" w:cs="Arial" w:eastAsia="Arial" w:hAnsi="Arial"/>
                <w:sz w:val="9"/>
                <w:szCs w:val="9"/>
                <w:color w:val="auto"/>
              </w:rPr>
              <w:t>(1)</w:t>
            </w:r>
          </w:p>
        </w:tc>
        <w:tc>
          <w:tcPr>
            <w:tcW w:w="260" w:type="dxa"/>
            <w:vAlign w:val="bottom"/>
            <w:tcBorders>
              <w:top w:val="single" w:sz="8" w:color="auto"/>
            </w:tcBorders>
          </w:tcPr>
          <w:p>
            <w:pPr>
              <w:jc w:val="right"/>
              <w:ind w:right="35"/>
              <w:spacing w:after="0"/>
              <w:rPr>
                <w:sz w:val="20"/>
                <w:szCs w:val="20"/>
                <w:color w:val="auto"/>
              </w:rPr>
            </w:pPr>
            <w:r>
              <w:rPr>
                <w:rFonts w:ascii="Arial" w:cs="Arial" w:eastAsia="Arial" w:hAnsi="Arial"/>
                <w:sz w:val="9"/>
                <w:szCs w:val="9"/>
                <w:color w:val="auto"/>
              </w:rPr>
              <w:t>(1)</w:t>
            </w:r>
          </w:p>
        </w:tc>
        <w:tc>
          <w:tcPr>
            <w:tcW w:w="62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tcBorders>
              <w:top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10,320</w:t>
            </w: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9"/>
                <w:szCs w:val="9"/>
                <w:color w:val="auto"/>
              </w:rPr>
              <w:t>25,800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51,600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w:t>
            </w:r>
          </w:p>
        </w:tc>
        <w:tc>
          <w:tcPr>
            <w:tcW w:w="64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tcBorders>
              <w:top w:val="single" w:sz="8" w:color="auto"/>
            </w:tcBorders>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9"/>
                <w:szCs w:val="9"/>
                <w:color w:val="auto"/>
              </w:rPr>
              <w:t>2,883,924</w:t>
            </w:r>
          </w:p>
        </w:tc>
        <w:tc>
          <w:tcPr>
            <w:tcW w:w="0" w:type="dxa"/>
            <w:vAlign w:val="bottom"/>
          </w:tcPr>
          <w:p>
            <w:pPr>
              <w:spacing w:after="0"/>
              <w:rPr>
                <w:sz w:val="1"/>
                <w:szCs w:val="1"/>
                <w:color w:val="auto"/>
              </w:rPr>
            </w:pPr>
          </w:p>
        </w:tc>
      </w:tr>
      <w:tr>
        <w:trPr>
          <w:trHeight w:val="111"/>
        </w:trPr>
        <w:tc>
          <w:tcPr>
            <w:tcW w:w="1460" w:type="dxa"/>
            <w:vAlign w:val="bottom"/>
            <w:tcBorders>
              <w:left w:val="single" w:sz="8" w:color="auto"/>
            </w:tcBorders>
          </w:tcPr>
          <w:p>
            <w:pPr>
              <w:ind w:left="60"/>
              <w:spacing w:after="0"/>
              <w:rPr>
                <w:sz w:val="20"/>
                <w:szCs w:val="20"/>
                <w:color w:val="auto"/>
              </w:rPr>
            </w:pPr>
            <w:r>
              <w:rPr>
                <w:rFonts w:ascii="Arial" w:cs="Arial" w:eastAsia="Arial" w:hAnsi="Arial"/>
                <w:sz w:val="9"/>
                <w:szCs w:val="9"/>
                <w:color w:val="auto"/>
              </w:rPr>
              <w:t>President and Chief</w:t>
            </w:r>
          </w:p>
        </w:tc>
        <w:tc>
          <w:tcPr>
            <w:tcW w:w="280" w:type="dxa"/>
            <w:vAlign w:val="bottom"/>
            <w:vMerge w:val="restart"/>
          </w:tcPr>
          <w:p>
            <w:pPr>
              <w:jc w:val="right"/>
              <w:ind w:right="35"/>
              <w:spacing w:after="0"/>
              <w:rPr>
                <w:sz w:val="20"/>
                <w:szCs w:val="20"/>
                <w:color w:val="auto"/>
              </w:rPr>
            </w:pPr>
            <w:r>
              <w:rPr>
                <w:rFonts w:ascii="Arial" w:cs="Arial" w:eastAsia="Arial" w:hAnsi="Arial"/>
                <w:sz w:val="9"/>
                <w:szCs w:val="9"/>
                <w:color w:val="auto"/>
              </w:rPr>
              <w:t>(2)</w:t>
            </w:r>
          </w:p>
        </w:tc>
        <w:tc>
          <w:tcPr>
            <w:tcW w:w="260" w:type="dxa"/>
            <w:vAlign w:val="bottom"/>
            <w:vMerge w:val="restart"/>
          </w:tcPr>
          <w:p>
            <w:pPr>
              <w:jc w:val="right"/>
              <w:ind w:right="35"/>
              <w:spacing w:after="0"/>
              <w:rPr>
                <w:sz w:val="20"/>
                <w:szCs w:val="20"/>
                <w:color w:val="auto"/>
              </w:rPr>
            </w:pPr>
            <w:r>
              <w:rPr>
                <w:rFonts w:ascii="Arial" w:cs="Arial" w:eastAsia="Arial" w:hAnsi="Arial"/>
                <w:sz w:val="9"/>
                <w:szCs w:val="9"/>
                <w:color w:val="auto"/>
              </w:rPr>
              <w:t>(2)</w:t>
            </w: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60" w:type="dxa"/>
            <w:vAlign w:val="bottom"/>
            <w:vMerge w:val="restart"/>
          </w:tcPr>
          <w:p>
            <w:pPr>
              <w:jc w:val="right"/>
              <w:spacing w:after="0"/>
              <w:rPr>
                <w:sz w:val="20"/>
                <w:szCs w:val="20"/>
                <w:color w:val="auto"/>
              </w:rPr>
            </w:pPr>
            <w:r>
              <w:rPr>
                <w:rFonts w:ascii="Arial" w:cs="Arial" w:eastAsia="Arial" w:hAnsi="Arial"/>
                <w:sz w:val="9"/>
                <w:szCs w:val="9"/>
                <w:color w:val="auto"/>
              </w:rPr>
              <w:t>14,743</w:t>
            </w: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1,440,391</w:t>
            </w:r>
          </w:p>
        </w:tc>
        <w:tc>
          <w:tcPr>
            <w:tcW w:w="0" w:type="dxa"/>
            <w:vAlign w:val="bottom"/>
          </w:tcPr>
          <w:p>
            <w:pPr>
              <w:spacing w:after="0"/>
              <w:rPr>
                <w:sz w:val="1"/>
                <w:szCs w:val="1"/>
                <w:color w:val="auto"/>
              </w:rPr>
            </w:pPr>
          </w:p>
        </w:tc>
      </w:tr>
      <w:tr>
        <w:trPr>
          <w:trHeight w:val="50"/>
        </w:trPr>
        <w:tc>
          <w:tcPr>
            <w:tcW w:w="1460" w:type="dxa"/>
            <w:vAlign w:val="bottom"/>
            <w:tcBorders>
              <w:left w:val="single" w:sz="8" w:color="auto"/>
            </w:tcBorders>
            <w:vMerge w:val="restart"/>
          </w:tcPr>
          <w:p>
            <w:pPr>
              <w:ind w:left="60"/>
              <w:spacing w:after="0"/>
              <w:rPr>
                <w:sz w:val="20"/>
                <w:szCs w:val="20"/>
                <w:color w:val="auto"/>
              </w:rPr>
            </w:pPr>
            <w:r>
              <w:rPr>
                <w:rFonts w:ascii="Arial" w:cs="Arial" w:eastAsia="Arial" w:hAnsi="Arial"/>
                <w:sz w:val="9"/>
                <w:szCs w:val="9"/>
                <w:color w:val="auto"/>
              </w:rPr>
              <w:t>Executive Officer</w:t>
            </w:r>
          </w:p>
        </w:tc>
        <w:tc>
          <w:tcPr>
            <w:tcW w:w="2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1460" w:type="dxa"/>
            <w:vAlign w:val="bottom"/>
            <w:tcBorders>
              <w:left w:val="single" w:sz="8" w:color="auto"/>
            </w:tcBorders>
            <w:vMerge w:val="continue"/>
          </w:tcPr>
          <w:p>
            <w:pPr>
              <w:spacing w:after="0"/>
              <w:rPr>
                <w:sz w:val="5"/>
                <w:szCs w:val="5"/>
                <w:color w:val="auto"/>
              </w:rPr>
            </w:pPr>
          </w:p>
        </w:tc>
        <w:tc>
          <w:tcPr>
            <w:tcW w:w="280" w:type="dxa"/>
            <w:vAlign w:val="bottom"/>
            <w:vMerge w:val="restart"/>
          </w:tcPr>
          <w:p>
            <w:pPr>
              <w:jc w:val="right"/>
              <w:ind w:right="35"/>
              <w:spacing w:after="0"/>
              <w:rPr>
                <w:sz w:val="20"/>
                <w:szCs w:val="20"/>
                <w:color w:val="auto"/>
              </w:rPr>
            </w:pPr>
            <w:r>
              <w:rPr>
                <w:rFonts w:ascii="Arial" w:cs="Arial" w:eastAsia="Arial" w:hAnsi="Arial"/>
                <w:sz w:val="9"/>
                <w:szCs w:val="9"/>
                <w:color w:val="auto"/>
              </w:rPr>
              <w:t>(3)</w:t>
            </w:r>
          </w:p>
        </w:tc>
        <w:tc>
          <w:tcPr>
            <w:tcW w:w="260" w:type="dxa"/>
            <w:vAlign w:val="bottom"/>
            <w:vMerge w:val="restart"/>
          </w:tcPr>
          <w:p>
            <w:pPr>
              <w:jc w:val="right"/>
              <w:ind w:right="35"/>
              <w:spacing w:after="0"/>
              <w:rPr>
                <w:sz w:val="20"/>
                <w:szCs w:val="20"/>
                <w:color w:val="auto"/>
              </w:rPr>
            </w:pPr>
            <w:r>
              <w:rPr>
                <w:rFonts w:ascii="Arial" w:cs="Arial" w:eastAsia="Arial" w:hAnsi="Arial"/>
                <w:sz w:val="9"/>
                <w:szCs w:val="9"/>
                <w:color w:val="auto"/>
              </w:rPr>
              <w:t>(3)</w:t>
            </w: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3,440</w:t>
            </w:r>
          </w:p>
        </w:tc>
        <w:tc>
          <w:tcPr>
            <w:tcW w:w="620" w:type="dxa"/>
            <w:vAlign w:val="bottom"/>
            <w:vMerge w:val="restart"/>
          </w:tcPr>
          <w:p>
            <w:pPr>
              <w:jc w:val="right"/>
              <w:ind w:right="35"/>
              <w:spacing w:after="0"/>
              <w:rPr>
                <w:sz w:val="20"/>
                <w:szCs w:val="20"/>
                <w:color w:val="auto"/>
              </w:rPr>
            </w:pPr>
            <w:r>
              <w:rPr>
                <w:rFonts w:ascii="Arial" w:cs="Arial" w:eastAsia="Arial" w:hAnsi="Arial"/>
                <w:sz w:val="9"/>
                <w:szCs w:val="9"/>
                <w:color w:val="auto"/>
              </w:rPr>
              <w:t>8,600</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17,200</w:t>
            </w:r>
          </w:p>
        </w:tc>
        <w:tc>
          <w:tcPr>
            <w:tcW w:w="7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961,308</w:t>
            </w:r>
          </w:p>
        </w:tc>
        <w:tc>
          <w:tcPr>
            <w:tcW w:w="0" w:type="dxa"/>
            <w:vAlign w:val="bottom"/>
          </w:tcPr>
          <w:p>
            <w:pPr>
              <w:spacing w:after="0"/>
              <w:rPr>
                <w:sz w:val="1"/>
                <w:szCs w:val="1"/>
                <w:color w:val="auto"/>
              </w:rPr>
            </w:pPr>
          </w:p>
        </w:tc>
      </w:tr>
      <w:tr>
        <w:trPr>
          <w:trHeight w:val="89"/>
        </w:trPr>
        <w:tc>
          <w:tcPr>
            <w:tcW w:w="1460" w:type="dxa"/>
            <w:vAlign w:val="bottom"/>
            <w:tcBorders>
              <w:left w:val="single" w:sz="8" w:color="auto"/>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460" w:type="dxa"/>
            <w:vAlign w:val="bottom"/>
            <w:tcBorders>
              <w:left w:val="single" w:sz="8" w:color="auto"/>
            </w:tcBorders>
          </w:tcPr>
          <w:p>
            <w:pPr>
              <w:spacing w:after="0"/>
              <w:rPr>
                <w:sz w:val="13"/>
                <w:szCs w:val="13"/>
                <w:color w:val="auto"/>
              </w:rPr>
            </w:pPr>
          </w:p>
        </w:tc>
        <w:tc>
          <w:tcPr>
            <w:tcW w:w="280" w:type="dxa"/>
            <w:vAlign w:val="bottom"/>
          </w:tcPr>
          <w:p>
            <w:pPr>
              <w:jc w:val="right"/>
              <w:ind w:right="35"/>
              <w:spacing w:after="0"/>
              <w:rPr>
                <w:sz w:val="20"/>
                <w:szCs w:val="20"/>
                <w:color w:val="auto"/>
              </w:rPr>
            </w:pPr>
            <w:r>
              <w:rPr>
                <w:rFonts w:ascii="Arial" w:cs="Arial" w:eastAsia="Arial" w:hAnsi="Arial"/>
                <w:sz w:val="9"/>
                <w:szCs w:val="9"/>
                <w:color w:val="auto"/>
              </w:rPr>
              <w:t>(4)</w:t>
            </w:r>
          </w:p>
        </w:tc>
        <w:tc>
          <w:tcPr>
            <w:tcW w:w="260" w:type="dxa"/>
            <w:vAlign w:val="bottom"/>
          </w:tcPr>
          <w:p>
            <w:pPr>
              <w:jc w:val="right"/>
              <w:ind w:right="35"/>
              <w:spacing w:after="0"/>
              <w:rPr>
                <w:sz w:val="20"/>
                <w:szCs w:val="20"/>
                <w:color w:val="auto"/>
              </w:rPr>
            </w:pPr>
            <w:r>
              <w:rPr>
                <w:rFonts w:ascii="Arial" w:cs="Arial" w:eastAsia="Arial" w:hAnsi="Arial"/>
                <w:sz w:val="9"/>
                <w:szCs w:val="9"/>
                <w:color w:val="auto"/>
              </w:rPr>
              <w:t>(4)</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75"/>
              <w:spacing w:after="0"/>
              <w:rPr>
                <w:sz w:val="20"/>
                <w:szCs w:val="20"/>
                <w:color w:val="auto"/>
              </w:rPr>
            </w:pPr>
            <w:r>
              <w:rPr>
                <w:rFonts w:ascii="Arial" w:cs="Arial" w:eastAsia="Arial" w:hAnsi="Arial"/>
                <w:sz w:val="9"/>
                <w:szCs w:val="9"/>
                <w:color w:val="auto"/>
              </w:rPr>
              <w:t>731,430</w:t>
            </w: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1,625,400</w:t>
            </w: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3,738,420</w:t>
            </w: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146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46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9"/>
                <w:szCs w:val="9"/>
                <w:b w:val="1"/>
                <w:bCs w:val="1"/>
                <w:color w:val="auto"/>
              </w:rPr>
              <w:t>Mr. Ian P. Cleminson</w:t>
            </w:r>
          </w:p>
        </w:tc>
        <w:tc>
          <w:tcPr>
            <w:tcW w:w="280" w:type="dxa"/>
            <w:vAlign w:val="bottom"/>
            <w:shd w:val="clear" w:color="auto" w:fill="F4F8EE"/>
          </w:tcPr>
          <w:p>
            <w:pPr>
              <w:jc w:val="right"/>
              <w:ind w:right="35"/>
              <w:spacing w:after="0"/>
              <w:rPr>
                <w:sz w:val="20"/>
                <w:szCs w:val="20"/>
                <w:color w:val="auto"/>
              </w:rPr>
            </w:pPr>
            <w:r>
              <w:rPr>
                <w:rFonts w:ascii="Arial" w:cs="Arial" w:eastAsia="Arial" w:hAnsi="Arial"/>
                <w:sz w:val="9"/>
                <w:szCs w:val="9"/>
                <w:color w:val="auto"/>
              </w:rPr>
              <w:t>(1)</w:t>
            </w:r>
          </w:p>
        </w:tc>
        <w:tc>
          <w:tcPr>
            <w:tcW w:w="260" w:type="dxa"/>
            <w:vAlign w:val="bottom"/>
            <w:shd w:val="clear" w:color="auto" w:fill="F4F8EE"/>
          </w:tcPr>
          <w:p>
            <w:pPr>
              <w:jc w:val="right"/>
              <w:ind w:right="35"/>
              <w:spacing w:after="0"/>
              <w:rPr>
                <w:sz w:val="20"/>
                <w:szCs w:val="20"/>
                <w:color w:val="auto"/>
              </w:rPr>
            </w:pPr>
            <w:r>
              <w:rPr>
                <w:rFonts w:ascii="Arial" w:cs="Arial" w:eastAsia="Arial" w:hAnsi="Arial"/>
                <w:sz w:val="9"/>
                <w:szCs w:val="9"/>
                <w:color w:val="auto"/>
              </w:rPr>
              <w:t>(1)</w:t>
            </w:r>
          </w:p>
        </w:tc>
        <w:tc>
          <w:tcPr>
            <w:tcW w:w="620" w:type="dxa"/>
            <w:vAlign w:val="bottom"/>
            <w:shd w:val="clear" w:color="auto" w:fill="F4F8EE"/>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shd w:val="clear" w:color="auto" w:fill="F4F8EE"/>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shd w:val="clear" w:color="auto" w:fill="F4F8EE"/>
          </w:tcPr>
          <w:p>
            <w:pPr>
              <w:jc w:val="right"/>
              <w:spacing w:after="0"/>
              <w:rPr>
                <w:sz w:val="20"/>
                <w:szCs w:val="20"/>
                <w:color w:val="auto"/>
              </w:rPr>
            </w:pPr>
            <w:r>
              <w:rPr>
                <w:rFonts w:ascii="Arial" w:cs="Arial" w:eastAsia="Arial" w:hAnsi="Arial"/>
                <w:sz w:val="9"/>
                <w:szCs w:val="9"/>
                <w:color w:val="auto"/>
              </w:rPr>
              <w:t>2,004</w:t>
            </w:r>
          </w:p>
        </w:tc>
        <w:tc>
          <w:tcPr>
            <w:tcW w:w="620" w:type="dxa"/>
            <w:vAlign w:val="bottom"/>
            <w:shd w:val="clear" w:color="auto" w:fill="F4F8EE"/>
          </w:tcPr>
          <w:p>
            <w:pPr>
              <w:jc w:val="right"/>
              <w:ind w:right="35"/>
              <w:spacing w:after="0"/>
              <w:rPr>
                <w:sz w:val="20"/>
                <w:szCs w:val="20"/>
                <w:color w:val="auto"/>
              </w:rPr>
            </w:pPr>
            <w:r>
              <w:rPr>
                <w:rFonts w:ascii="Arial" w:cs="Arial" w:eastAsia="Arial" w:hAnsi="Arial"/>
                <w:sz w:val="9"/>
                <w:szCs w:val="9"/>
                <w:color w:val="auto"/>
              </w:rPr>
              <w:t>5,009</w:t>
            </w:r>
          </w:p>
        </w:tc>
        <w:tc>
          <w:tcPr>
            <w:tcW w:w="560" w:type="dxa"/>
            <w:vAlign w:val="bottom"/>
            <w:shd w:val="clear" w:color="auto" w:fill="F4F8EE"/>
          </w:tcPr>
          <w:p>
            <w:pPr>
              <w:jc w:val="right"/>
              <w:spacing w:after="0"/>
              <w:rPr>
                <w:sz w:val="20"/>
                <w:szCs w:val="20"/>
                <w:color w:val="auto"/>
              </w:rPr>
            </w:pPr>
            <w:r>
              <w:rPr>
                <w:rFonts w:ascii="Arial" w:cs="Arial" w:eastAsia="Arial" w:hAnsi="Arial"/>
                <w:sz w:val="9"/>
                <w:szCs w:val="9"/>
                <w:color w:val="auto"/>
              </w:rPr>
              <w:t>10,018</w:t>
            </w:r>
          </w:p>
        </w:tc>
        <w:tc>
          <w:tcPr>
            <w:tcW w:w="760" w:type="dxa"/>
            <w:vAlign w:val="bottom"/>
            <w:shd w:val="clear" w:color="auto" w:fill="F4F8EE"/>
          </w:tcPr>
          <w:p>
            <w:pPr>
              <w:jc w:val="right"/>
              <w:spacing w:after="0"/>
              <w:rPr>
                <w:sz w:val="20"/>
                <w:szCs w:val="20"/>
                <w:color w:val="auto"/>
              </w:rPr>
            </w:pPr>
            <w:r>
              <w:rPr>
                <w:rFonts w:ascii="Arial" w:cs="Arial" w:eastAsia="Arial" w:hAnsi="Arial"/>
                <w:sz w:val="9"/>
                <w:szCs w:val="9"/>
                <w:color w:val="auto"/>
              </w:rPr>
              <w:t>—</w:t>
            </w:r>
          </w:p>
        </w:tc>
        <w:tc>
          <w:tcPr>
            <w:tcW w:w="640" w:type="dxa"/>
            <w:vAlign w:val="bottom"/>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shd w:val="clear" w:color="auto" w:fill="F4F8EE"/>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559,906</w:t>
            </w:r>
          </w:p>
        </w:tc>
        <w:tc>
          <w:tcPr>
            <w:tcW w:w="0" w:type="dxa"/>
            <w:vAlign w:val="bottom"/>
          </w:tcPr>
          <w:p>
            <w:pPr>
              <w:spacing w:after="0"/>
              <w:rPr>
                <w:sz w:val="1"/>
                <w:szCs w:val="1"/>
                <w:color w:val="auto"/>
              </w:rPr>
            </w:pPr>
          </w:p>
        </w:tc>
      </w:tr>
      <w:tr>
        <w:trPr>
          <w:trHeight w:val="111"/>
        </w:trPr>
        <w:tc>
          <w:tcPr>
            <w:tcW w:w="146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9"/>
                <w:szCs w:val="9"/>
                <w:color w:val="auto"/>
              </w:rPr>
              <w:t>Executive Vice President and</w:t>
            </w:r>
          </w:p>
        </w:tc>
        <w:tc>
          <w:tcPr>
            <w:tcW w:w="28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(2)</w:t>
            </w:r>
          </w:p>
        </w:tc>
        <w:tc>
          <w:tcPr>
            <w:tcW w:w="26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(2)</w:t>
            </w:r>
          </w:p>
        </w:tc>
        <w:tc>
          <w:tcPr>
            <w:tcW w:w="62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shd w:val="clear" w:color="auto" w:fill="F4F8EE"/>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w:t>
            </w:r>
          </w:p>
        </w:tc>
        <w:tc>
          <w:tcPr>
            <w:tcW w:w="76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2,862</w:t>
            </w:r>
          </w:p>
        </w:tc>
        <w:tc>
          <w:tcPr>
            <w:tcW w:w="64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F4F8EE"/>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279,617</w:t>
            </w:r>
          </w:p>
        </w:tc>
        <w:tc>
          <w:tcPr>
            <w:tcW w:w="0" w:type="dxa"/>
            <w:vAlign w:val="bottom"/>
          </w:tcPr>
          <w:p>
            <w:pPr>
              <w:spacing w:after="0"/>
              <w:rPr>
                <w:sz w:val="1"/>
                <w:szCs w:val="1"/>
                <w:color w:val="auto"/>
              </w:rPr>
            </w:pPr>
          </w:p>
        </w:tc>
      </w:tr>
      <w:tr>
        <w:trPr>
          <w:trHeight w:val="50"/>
        </w:trPr>
        <w:tc>
          <w:tcPr>
            <w:tcW w:w="1460" w:type="dxa"/>
            <w:vAlign w:val="bottom"/>
            <w:tcBorders>
              <w:left w:val="single" w:sz="8" w:color="auto"/>
            </w:tcBorders>
            <w:vMerge w:val="restart"/>
            <w:shd w:val="clear" w:color="auto" w:fill="F4F8EE"/>
          </w:tcPr>
          <w:p>
            <w:pPr>
              <w:ind w:left="60"/>
              <w:spacing w:after="0"/>
              <w:rPr>
                <w:sz w:val="20"/>
                <w:szCs w:val="20"/>
                <w:color w:val="auto"/>
              </w:rPr>
            </w:pPr>
            <w:r>
              <w:rPr>
                <w:rFonts w:ascii="Arial" w:cs="Arial" w:eastAsia="Arial" w:hAnsi="Arial"/>
                <w:sz w:val="9"/>
                <w:szCs w:val="9"/>
                <w:color w:val="auto"/>
              </w:rPr>
              <w:t>Chief Financial Officer</w:t>
            </w:r>
          </w:p>
        </w:tc>
        <w:tc>
          <w:tcPr>
            <w:tcW w:w="280" w:type="dxa"/>
            <w:vAlign w:val="bottom"/>
            <w:vMerge w:val="continue"/>
            <w:shd w:val="clear" w:color="auto" w:fill="F4F8EE"/>
          </w:tcPr>
          <w:p>
            <w:pPr>
              <w:spacing w:after="0"/>
              <w:rPr>
                <w:sz w:val="4"/>
                <w:szCs w:val="4"/>
                <w:color w:val="auto"/>
              </w:rPr>
            </w:pPr>
          </w:p>
        </w:tc>
        <w:tc>
          <w:tcPr>
            <w:tcW w:w="260" w:type="dxa"/>
            <w:vAlign w:val="bottom"/>
            <w:vMerge w:val="continue"/>
            <w:shd w:val="clear" w:color="auto" w:fill="F4F8EE"/>
          </w:tcPr>
          <w:p>
            <w:pPr>
              <w:spacing w:after="0"/>
              <w:rPr>
                <w:sz w:val="4"/>
                <w:szCs w:val="4"/>
                <w:color w:val="auto"/>
              </w:rPr>
            </w:pPr>
          </w:p>
        </w:tc>
        <w:tc>
          <w:tcPr>
            <w:tcW w:w="620" w:type="dxa"/>
            <w:vAlign w:val="bottom"/>
            <w:vMerge w:val="continue"/>
            <w:shd w:val="clear" w:color="auto" w:fill="F4F8EE"/>
          </w:tcPr>
          <w:p>
            <w:pPr>
              <w:spacing w:after="0"/>
              <w:rPr>
                <w:sz w:val="4"/>
                <w:szCs w:val="4"/>
                <w:color w:val="auto"/>
              </w:rPr>
            </w:pPr>
          </w:p>
        </w:tc>
        <w:tc>
          <w:tcPr>
            <w:tcW w:w="660" w:type="dxa"/>
            <w:vAlign w:val="bottom"/>
            <w:vMerge w:val="continue"/>
            <w:shd w:val="clear" w:color="auto" w:fill="F4F8EE"/>
          </w:tcPr>
          <w:p>
            <w:pPr>
              <w:spacing w:after="0"/>
              <w:rPr>
                <w:sz w:val="4"/>
                <w:szCs w:val="4"/>
                <w:color w:val="auto"/>
              </w:rPr>
            </w:pPr>
          </w:p>
        </w:tc>
        <w:tc>
          <w:tcPr>
            <w:tcW w:w="580" w:type="dxa"/>
            <w:vAlign w:val="bottom"/>
            <w:vMerge w:val="continue"/>
            <w:shd w:val="clear" w:color="auto" w:fill="F4F8EE"/>
          </w:tcPr>
          <w:p>
            <w:pPr>
              <w:spacing w:after="0"/>
              <w:rPr>
                <w:sz w:val="4"/>
                <w:szCs w:val="4"/>
                <w:color w:val="auto"/>
              </w:rPr>
            </w:pPr>
          </w:p>
        </w:tc>
        <w:tc>
          <w:tcPr>
            <w:tcW w:w="580" w:type="dxa"/>
            <w:vAlign w:val="bottom"/>
            <w:vMerge w:val="continue"/>
            <w:shd w:val="clear" w:color="auto" w:fill="F4F8EE"/>
          </w:tcPr>
          <w:p>
            <w:pPr>
              <w:spacing w:after="0"/>
              <w:rPr>
                <w:sz w:val="4"/>
                <w:szCs w:val="4"/>
                <w:color w:val="auto"/>
              </w:rPr>
            </w:pPr>
          </w:p>
        </w:tc>
        <w:tc>
          <w:tcPr>
            <w:tcW w:w="620" w:type="dxa"/>
            <w:vAlign w:val="bottom"/>
            <w:vMerge w:val="continue"/>
            <w:shd w:val="clear" w:color="auto" w:fill="F4F8EE"/>
          </w:tcPr>
          <w:p>
            <w:pPr>
              <w:spacing w:after="0"/>
              <w:rPr>
                <w:sz w:val="4"/>
                <w:szCs w:val="4"/>
                <w:color w:val="auto"/>
              </w:rPr>
            </w:pPr>
          </w:p>
        </w:tc>
        <w:tc>
          <w:tcPr>
            <w:tcW w:w="620" w:type="dxa"/>
            <w:vAlign w:val="bottom"/>
            <w:vMerge w:val="continue"/>
            <w:shd w:val="clear" w:color="auto" w:fill="F4F8EE"/>
          </w:tcPr>
          <w:p>
            <w:pPr>
              <w:spacing w:after="0"/>
              <w:rPr>
                <w:sz w:val="4"/>
                <w:szCs w:val="4"/>
                <w:color w:val="auto"/>
              </w:rPr>
            </w:pPr>
          </w:p>
        </w:tc>
        <w:tc>
          <w:tcPr>
            <w:tcW w:w="560" w:type="dxa"/>
            <w:vAlign w:val="bottom"/>
            <w:vMerge w:val="continue"/>
            <w:shd w:val="clear" w:color="auto" w:fill="F4F8EE"/>
          </w:tcPr>
          <w:p>
            <w:pPr>
              <w:spacing w:after="0"/>
              <w:rPr>
                <w:sz w:val="4"/>
                <w:szCs w:val="4"/>
                <w:color w:val="auto"/>
              </w:rPr>
            </w:pPr>
          </w:p>
        </w:tc>
        <w:tc>
          <w:tcPr>
            <w:tcW w:w="760" w:type="dxa"/>
            <w:vAlign w:val="bottom"/>
            <w:vMerge w:val="continue"/>
            <w:shd w:val="clear" w:color="auto" w:fill="F4F8EE"/>
          </w:tcPr>
          <w:p>
            <w:pPr>
              <w:spacing w:after="0"/>
              <w:rPr>
                <w:sz w:val="4"/>
                <w:szCs w:val="4"/>
                <w:color w:val="auto"/>
              </w:rPr>
            </w:pPr>
          </w:p>
        </w:tc>
        <w:tc>
          <w:tcPr>
            <w:tcW w:w="640" w:type="dxa"/>
            <w:vAlign w:val="bottom"/>
            <w:vMerge w:val="continue"/>
            <w:shd w:val="clear" w:color="auto" w:fill="F4F8EE"/>
          </w:tcPr>
          <w:p>
            <w:pPr>
              <w:spacing w:after="0"/>
              <w:rPr>
                <w:sz w:val="4"/>
                <w:szCs w:val="4"/>
                <w:color w:val="auto"/>
              </w:rPr>
            </w:pPr>
          </w:p>
        </w:tc>
        <w:tc>
          <w:tcPr>
            <w:tcW w:w="540" w:type="dxa"/>
            <w:vAlign w:val="bottom"/>
            <w:vMerge w:val="continue"/>
            <w:shd w:val="clear" w:color="auto" w:fill="F4F8EE"/>
          </w:tcPr>
          <w:p>
            <w:pPr>
              <w:spacing w:after="0"/>
              <w:rPr>
                <w:sz w:val="4"/>
                <w:szCs w:val="4"/>
                <w:color w:val="auto"/>
              </w:rPr>
            </w:pPr>
          </w:p>
        </w:tc>
        <w:tc>
          <w:tcPr>
            <w:tcW w:w="580" w:type="dxa"/>
            <w:vAlign w:val="bottom"/>
            <w:tcBorders>
              <w:right w:val="single" w:sz="8" w:color="auto"/>
            </w:tcBorders>
            <w:vMerge w:val="continue"/>
            <w:shd w:val="clear" w:color="auto" w:fill="F4F8EE"/>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1460" w:type="dxa"/>
            <w:vAlign w:val="bottom"/>
            <w:tcBorders>
              <w:left w:val="single" w:sz="8" w:color="auto"/>
            </w:tcBorders>
            <w:vMerge w:val="continue"/>
            <w:shd w:val="clear" w:color="auto" w:fill="F4F8EE"/>
          </w:tcPr>
          <w:p>
            <w:pPr>
              <w:spacing w:after="0"/>
              <w:rPr>
                <w:sz w:val="5"/>
                <w:szCs w:val="5"/>
                <w:color w:val="auto"/>
              </w:rPr>
            </w:pPr>
          </w:p>
        </w:tc>
        <w:tc>
          <w:tcPr>
            <w:tcW w:w="28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(3)</w:t>
            </w:r>
          </w:p>
        </w:tc>
        <w:tc>
          <w:tcPr>
            <w:tcW w:w="26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(3)</w:t>
            </w:r>
          </w:p>
        </w:tc>
        <w:tc>
          <w:tcPr>
            <w:tcW w:w="62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shd w:val="clear" w:color="auto" w:fill="F4F8EE"/>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668</w:t>
            </w:r>
          </w:p>
        </w:tc>
        <w:tc>
          <w:tcPr>
            <w:tcW w:w="62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1,670</w:t>
            </w:r>
          </w:p>
        </w:tc>
        <w:tc>
          <w:tcPr>
            <w:tcW w:w="56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3,340</w:t>
            </w:r>
          </w:p>
        </w:tc>
        <w:tc>
          <w:tcPr>
            <w:tcW w:w="76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F4F8EE"/>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186,673</w:t>
            </w:r>
          </w:p>
        </w:tc>
        <w:tc>
          <w:tcPr>
            <w:tcW w:w="0" w:type="dxa"/>
            <w:vAlign w:val="bottom"/>
          </w:tcPr>
          <w:p>
            <w:pPr>
              <w:spacing w:after="0"/>
              <w:rPr>
                <w:sz w:val="1"/>
                <w:szCs w:val="1"/>
                <w:color w:val="auto"/>
              </w:rPr>
            </w:pPr>
          </w:p>
        </w:tc>
      </w:tr>
      <w:tr>
        <w:trPr>
          <w:trHeight w:val="89"/>
        </w:trPr>
        <w:tc>
          <w:tcPr>
            <w:tcW w:w="1460" w:type="dxa"/>
            <w:vAlign w:val="bottom"/>
            <w:tcBorders>
              <w:left w:val="single" w:sz="8" w:color="auto"/>
            </w:tcBorders>
            <w:shd w:val="clear" w:color="auto" w:fill="F4F8EE"/>
          </w:tcPr>
          <w:p>
            <w:pPr>
              <w:spacing w:after="0"/>
              <w:rPr>
                <w:sz w:val="7"/>
                <w:szCs w:val="7"/>
                <w:color w:val="auto"/>
              </w:rPr>
            </w:pPr>
          </w:p>
        </w:tc>
        <w:tc>
          <w:tcPr>
            <w:tcW w:w="280" w:type="dxa"/>
            <w:vAlign w:val="bottom"/>
            <w:vMerge w:val="continue"/>
            <w:shd w:val="clear" w:color="auto" w:fill="F4F8EE"/>
          </w:tcPr>
          <w:p>
            <w:pPr>
              <w:spacing w:after="0"/>
              <w:rPr>
                <w:sz w:val="7"/>
                <w:szCs w:val="7"/>
                <w:color w:val="auto"/>
              </w:rPr>
            </w:pPr>
          </w:p>
        </w:tc>
        <w:tc>
          <w:tcPr>
            <w:tcW w:w="260" w:type="dxa"/>
            <w:vAlign w:val="bottom"/>
            <w:vMerge w:val="continue"/>
            <w:shd w:val="clear" w:color="auto" w:fill="F4F8EE"/>
          </w:tcPr>
          <w:p>
            <w:pPr>
              <w:spacing w:after="0"/>
              <w:rPr>
                <w:sz w:val="7"/>
                <w:szCs w:val="7"/>
                <w:color w:val="auto"/>
              </w:rPr>
            </w:pPr>
          </w:p>
        </w:tc>
        <w:tc>
          <w:tcPr>
            <w:tcW w:w="620" w:type="dxa"/>
            <w:vAlign w:val="bottom"/>
            <w:vMerge w:val="continue"/>
            <w:shd w:val="clear" w:color="auto" w:fill="F4F8EE"/>
          </w:tcPr>
          <w:p>
            <w:pPr>
              <w:spacing w:after="0"/>
              <w:rPr>
                <w:sz w:val="7"/>
                <w:szCs w:val="7"/>
                <w:color w:val="auto"/>
              </w:rPr>
            </w:pPr>
          </w:p>
        </w:tc>
        <w:tc>
          <w:tcPr>
            <w:tcW w:w="660" w:type="dxa"/>
            <w:vAlign w:val="bottom"/>
            <w:vMerge w:val="continue"/>
            <w:shd w:val="clear" w:color="auto" w:fill="F4F8EE"/>
          </w:tcPr>
          <w:p>
            <w:pPr>
              <w:spacing w:after="0"/>
              <w:rPr>
                <w:sz w:val="7"/>
                <w:szCs w:val="7"/>
                <w:color w:val="auto"/>
              </w:rPr>
            </w:pPr>
          </w:p>
        </w:tc>
        <w:tc>
          <w:tcPr>
            <w:tcW w:w="580" w:type="dxa"/>
            <w:vAlign w:val="bottom"/>
            <w:vMerge w:val="continue"/>
            <w:shd w:val="clear" w:color="auto" w:fill="F4F8EE"/>
          </w:tcPr>
          <w:p>
            <w:pPr>
              <w:spacing w:after="0"/>
              <w:rPr>
                <w:sz w:val="7"/>
                <w:szCs w:val="7"/>
                <w:color w:val="auto"/>
              </w:rPr>
            </w:pPr>
          </w:p>
        </w:tc>
        <w:tc>
          <w:tcPr>
            <w:tcW w:w="580" w:type="dxa"/>
            <w:vAlign w:val="bottom"/>
            <w:vMerge w:val="continue"/>
            <w:shd w:val="clear" w:color="auto" w:fill="F4F8EE"/>
          </w:tcPr>
          <w:p>
            <w:pPr>
              <w:spacing w:after="0"/>
              <w:rPr>
                <w:sz w:val="7"/>
                <w:szCs w:val="7"/>
                <w:color w:val="auto"/>
              </w:rPr>
            </w:pPr>
          </w:p>
        </w:tc>
        <w:tc>
          <w:tcPr>
            <w:tcW w:w="620" w:type="dxa"/>
            <w:vAlign w:val="bottom"/>
            <w:vMerge w:val="continue"/>
            <w:shd w:val="clear" w:color="auto" w:fill="F4F8EE"/>
          </w:tcPr>
          <w:p>
            <w:pPr>
              <w:spacing w:after="0"/>
              <w:rPr>
                <w:sz w:val="7"/>
                <w:szCs w:val="7"/>
                <w:color w:val="auto"/>
              </w:rPr>
            </w:pPr>
          </w:p>
        </w:tc>
        <w:tc>
          <w:tcPr>
            <w:tcW w:w="620" w:type="dxa"/>
            <w:vAlign w:val="bottom"/>
            <w:vMerge w:val="continue"/>
            <w:shd w:val="clear" w:color="auto" w:fill="F4F8EE"/>
          </w:tcPr>
          <w:p>
            <w:pPr>
              <w:spacing w:after="0"/>
              <w:rPr>
                <w:sz w:val="7"/>
                <w:szCs w:val="7"/>
                <w:color w:val="auto"/>
              </w:rPr>
            </w:pPr>
          </w:p>
        </w:tc>
        <w:tc>
          <w:tcPr>
            <w:tcW w:w="560" w:type="dxa"/>
            <w:vAlign w:val="bottom"/>
            <w:vMerge w:val="continue"/>
            <w:shd w:val="clear" w:color="auto" w:fill="F4F8EE"/>
          </w:tcPr>
          <w:p>
            <w:pPr>
              <w:spacing w:after="0"/>
              <w:rPr>
                <w:sz w:val="7"/>
                <w:szCs w:val="7"/>
                <w:color w:val="auto"/>
              </w:rPr>
            </w:pPr>
          </w:p>
        </w:tc>
        <w:tc>
          <w:tcPr>
            <w:tcW w:w="760" w:type="dxa"/>
            <w:vAlign w:val="bottom"/>
            <w:vMerge w:val="continue"/>
            <w:shd w:val="clear" w:color="auto" w:fill="F4F8EE"/>
          </w:tcPr>
          <w:p>
            <w:pPr>
              <w:spacing w:after="0"/>
              <w:rPr>
                <w:sz w:val="7"/>
                <w:szCs w:val="7"/>
                <w:color w:val="auto"/>
              </w:rPr>
            </w:pPr>
          </w:p>
        </w:tc>
        <w:tc>
          <w:tcPr>
            <w:tcW w:w="640" w:type="dxa"/>
            <w:vAlign w:val="bottom"/>
            <w:vMerge w:val="continue"/>
            <w:shd w:val="clear" w:color="auto" w:fill="F4F8EE"/>
          </w:tcPr>
          <w:p>
            <w:pPr>
              <w:spacing w:after="0"/>
              <w:rPr>
                <w:sz w:val="7"/>
                <w:szCs w:val="7"/>
                <w:color w:val="auto"/>
              </w:rPr>
            </w:pPr>
          </w:p>
        </w:tc>
        <w:tc>
          <w:tcPr>
            <w:tcW w:w="540" w:type="dxa"/>
            <w:vAlign w:val="bottom"/>
            <w:vMerge w:val="continue"/>
            <w:shd w:val="clear" w:color="auto" w:fill="F4F8EE"/>
          </w:tcPr>
          <w:p>
            <w:pPr>
              <w:spacing w:after="0"/>
              <w:rPr>
                <w:sz w:val="7"/>
                <w:szCs w:val="7"/>
                <w:color w:val="auto"/>
              </w:rPr>
            </w:pPr>
          </w:p>
        </w:tc>
        <w:tc>
          <w:tcPr>
            <w:tcW w:w="580" w:type="dxa"/>
            <w:vAlign w:val="bottom"/>
            <w:tcBorders>
              <w:right w:val="single" w:sz="8" w:color="auto"/>
            </w:tcBorders>
            <w:vMerge w:val="continue"/>
            <w:shd w:val="clear" w:color="auto" w:fill="F4F8E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460" w:type="dxa"/>
            <w:vAlign w:val="bottom"/>
            <w:tcBorders>
              <w:left w:val="single" w:sz="8" w:color="auto"/>
              <w:bottom w:val="single" w:sz="8" w:color="F4F8EE"/>
            </w:tcBorders>
            <w:shd w:val="clear" w:color="auto" w:fill="F4F8EE"/>
          </w:tcPr>
          <w:p>
            <w:pPr>
              <w:spacing w:after="0"/>
              <w:rPr>
                <w:sz w:val="15"/>
                <w:szCs w:val="15"/>
                <w:color w:val="auto"/>
              </w:rPr>
            </w:pPr>
          </w:p>
        </w:tc>
        <w:tc>
          <w:tcPr>
            <w:tcW w:w="280" w:type="dxa"/>
            <w:vAlign w:val="bottom"/>
            <w:tcBorders>
              <w:bottom w:val="single" w:sz="8" w:color="F4F8EE"/>
            </w:tcBorders>
            <w:shd w:val="clear" w:color="auto" w:fill="F4F8EE"/>
          </w:tcPr>
          <w:p>
            <w:pPr>
              <w:jc w:val="right"/>
              <w:ind w:right="35"/>
              <w:spacing w:after="0"/>
              <w:rPr>
                <w:sz w:val="20"/>
                <w:szCs w:val="20"/>
                <w:color w:val="auto"/>
              </w:rPr>
            </w:pPr>
            <w:r>
              <w:rPr>
                <w:rFonts w:ascii="Arial" w:cs="Arial" w:eastAsia="Arial" w:hAnsi="Arial"/>
                <w:sz w:val="9"/>
                <w:szCs w:val="9"/>
                <w:color w:val="auto"/>
              </w:rPr>
              <w:t>(4)</w:t>
            </w:r>
          </w:p>
        </w:tc>
        <w:tc>
          <w:tcPr>
            <w:tcW w:w="260" w:type="dxa"/>
            <w:vAlign w:val="bottom"/>
            <w:tcBorders>
              <w:bottom w:val="single" w:sz="8" w:color="F4F8EE"/>
            </w:tcBorders>
            <w:shd w:val="clear" w:color="auto" w:fill="F4F8EE"/>
          </w:tcPr>
          <w:p>
            <w:pPr>
              <w:jc w:val="right"/>
              <w:ind w:right="35"/>
              <w:spacing w:after="0"/>
              <w:rPr>
                <w:sz w:val="20"/>
                <w:szCs w:val="20"/>
                <w:color w:val="auto"/>
              </w:rPr>
            </w:pPr>
            <w:r>
              <w:rPr>
                <w:rFonts w:ascii="Arial" w:cs="Arial" w:eastAsia="Arial" w:hAnsi="Arial"/>
                <w:sz w:val="9"/>
                <w:szCs w:val="9"/>
                <w:color w:val="auto"/>
              </w:rPr>
              <w:t>(4)</w:t>
            </w:r>
          </w:p>
        </w:tc>
        <w:tc>
          <w:tcPr>
            <w:tcW w:w="620" w:type="dxa"/>
            <w:vAlign w:val="bottom"/>
            <w:tcBorders>
              <w:bottom w:val="single" w:sz="8" w:color="F4F8EE"/>
            </w:tcBorders>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660" w:type="dxa"/>
            <w:vAlign w:val="bottom"/>
            <w:tcBorders>
              <w:bottom w:val="single" w:sz="8" w:color="F4F8EE"/>
            </w:tcBorders>
            <w:shd w:val="clear" w:color="auto" w:fill="F4F8EE"/>
          </w:tcPr>
          <w:p>
            <w:pPr>
              <w:jc w:val="right"/>
              <w:ind w:right="75"/>
              <w:spacing w:after="0"/>
              <w:rPr>
                <w:sz w:val="20"/>
                <w:szCs w:val="20"/>
                <w:color w:val="auto"/>
              </w:rPr>
            </w:pPr>
            <w:r>
              <w:rPr>
                <w:rFonts w:ascii="Arial" w:cs="Arial" w:eastAsia="Arial" w:hAnsi="Arial"/>
                <w:sz w:val="9"/>
                <w:szCs w:val="9"/>
                <w:color w:val="auto"/>
              </w:rPr>
              <w:t>146,109</w:t>
            </w:r>
          </w:p>
        </w:tc>
        <w:tc>
          <w:tcPr>
            <w:tcW w:w="580" w:type="dxa"/>
            <w:vAlign w:val="bottom"/>
            <w:tcBorders>
              <w:bottom w:val="single" w:sz="8" w:color="F4F8EE"/>
            </w:tcBorders>
            <w:shd w:val="clear" w:color="auto" w:fill="F4F8EE"/>
          </w:tcPr>
          <w:p>
            <w:pPr>
              <w:jc w:val="right"/>
              <w:ind w:right="15"/>
              <w:spacing w:after="0"/>
              <w:rPr>
                <w:sz w:val="20"/>
                <w:szCs w:val="20"/>
                <w:color w:val="auto"/>
              </w:rPr>
            </w:pPr>
            <w:r>
              <w:rPr>
                <w:rFonts w:ascii="Arial" w:cs="Arial" w:eastAsia="Arial" w:hAnsi="Arial"/>
                <w:sz w:val="9"/>
                <w:szCs w:val="9"/>
                <w:color w:val="auto"/>
              </w:rPr>
              <w:t>324,687</w:t>
            </w:r>
          </w:p>
        </w:tc>
        <w:tc>
          <w:tcPr>
            <w:tcW w:w="580" w:type="dxa"/>
            <w:vAlign w:val="bottom"/>
            <w:tcBorders>
              <w:bottom w:val="single" w:sz="8" w:color="F4F8EE"/>
            </w:tcBorders>
            <w:shd w:val="clear" w:color="auto" w:fill="F4F8EE"/>
          </w:tcPr>
          <w:p>
            <w:pPr>
              <w:jc w:val="right"/>
              <w:ind w:right="15"/>
              <w:spacing w:after="0"/>
              <w:rPr>
                <w:sz w:val="20"/>
                <w:szCs w:val="20"/>
                <w:color w:val="auto"/>
              </w:rPr>
            </w:pPr>
            <w:r>
              <w:rPr>
                <w:rFonts w:ascii="Arial" w:cs="Arial" w:eastAsia="Arial" w:hAnsi="Arial"/>
                <w:sz w:val="9"/>
                <w:szCs w:val="9"/>
                <w:color w:val="auto"/>
              </w:rPr>
              <w:t>746,782</w:t>
            </w:r>
          </w:p>
        </w:tc>
        <w:tc>
          <w:tcPr>
            <w:tcW w:w="62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F4F8EE"/>
            </w:tcBorders>
            <w:shd w:val="clear" w:color="auto" w:fill="F4F8EE"/>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9"/>
                <w:szCs w:val="9"/>
                <w:color w:val="auto"/>
              </w:rPr>
              <w:t>—</w:t>
            </w:r>
          </w:p>
        </w:tc>
        <w:tc>
          <w:tcPr>
            <w:tcW w:w="76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F4F8EE"/>
            </w:tcBorders>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F4F8EE"/>
            </w:tcBorders>
            <w:shd w:val="clear" w:color="auto" w:fill="F4F8EE"/>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F4F8EE"/>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4"/>
        </w:trPr>
        <w:tc>
          <w:tcPr>
            <w:tcW w:w="14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9"/>
                <w:szCs w:val="9"/>
                <w:b w:val="1"/>
                <w:bCs w:val="1"/>
                <w:color w:val="auto"/>
              </w:rPr>
              <w:t>Dr. Ian M. McRobbie</w:t>
            </w:r>
          </w:p>
        </w:tc>
        <w:tc>
          <w:tcPr>
            <w:tcW w:w="280" w:type="dxa"/>
            <w:vAlign w:val="bottom"/>
            <w:tcBorders>
              <w:top w:val="single" w:sz="8" w:color="auto"/>
            </w:tcBorders>
          </w:tcPr>
          <w:p>
            <w:pPr>
              <w:jc w:val="right"/>
              <w:ind w:right="35"/>
              <w:spacing w:after="0"/>
              <w:rPr>
                <w:sz w:val="20"/>
                <w:szCs w:val="20"/>
                <w:color w:val="auto"/>
              </w:rPr>
            </w:pPr>
            <w:r>
              <w:rPr>
                <w:rFonts w:ascii="Arial" w:cs="Arial" w:eastAsia="Arial" w:hAnsi="Arial"/>
                <w:sz w:val="9"/>
                <w:szCs w:val="9"/>
                <w:color w:val="auto"/>
              </w:rPr>
              <w:t>(1)</w:t>
            </w:r>
          </w:p>
        </w:tc>
        <w:tc>
          <w:tcPr>
            <w:tcW w:w="260" w:type="dxa"/>
            <w:vAlign w:val="bottom"/>
            <w:tcBorders>
              <w:top w:val="single" w:sz="8" w:color="auto"/>
            </w:tcBorders>
          </w:tcPr>
          <w:p>
            <w:pPr>
              <w:jc w:val="right"/>
              <w:ind w:right="35"/>
              <w:spacing w:after="0"/>
              <w:rPr>
                <w:sz w:val="20"/>
                <w:szCs w:val="20"/>
                <w:color w:val="auto"/>
              </w:rPr>
            </w:pPr>
            <w:r>
              <w:rPr>
                <w:rFonts w:ascii="Arial" w:cs="Arial" w:eastAsia="Arial" w:hAnsi="Arial"/>
                <w:sz w:val="9"/>
                <w:szCs w:val="9"/>
                <w:color w:val="auto"/>
              </w:rPr>
              <w:t>(1)</w:t>
            </w:r>
          </w:p>
        </w:tc>
        <w:tc>
          <w:tcPr>
            <w:tcW w:w="62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tcBorders>
              <w:top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0</w:t>
            </w: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9"/>
                <w:szCs w:val="9"/>
                <w:color w:val="auto"/>
              </w:rPr>
              <w:t>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w:t>
            </w:r>
          </w:p>
        </w:tc>
        <w:tc>
          <w:tcPr>
            <w:tcW w:w="64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tcBorders>
              <w:top w:val="single" w:sz="8" w:color="auto"/>
            </w:tcBorders>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9"/>
                <w:szCs w:val="9"/>
                <w:color w:val="auto"/>
              </w:rPr>
              <w:t>0</w:t>
            </w:r>
          </w:p>
        </w:tc>
        <w:tc>
          <w:tcPr>
            <w:tcW w:w="0" w:type="dxa"/>
            <w:vAlign w:val="bottom"/>
          </w:tcPr>
          <w:p>
            <w:pPr>
              <w:spacing w:after="0"/>
              <w:rPr>
                <w:sz w:val="1"/>
                <w:szCs w:val="1"/>
                <w:color w:val="auto"/>
              </w:rPr>
            </w:pPr>
          </w:p>
        </w:tc>
      </w:tr>
      <w:tr>
        <w:trPr>
          <w:trHeight w:val="111"/>
        </w:trPr>
        <w:tc>
          <w:tcPr>
            <w:tcW w:w="1460" w:type="dxa"/>
            <w:vAlign w:val="bottom"/>
            <w:tcBorders>
              <w:left w:val="single" w:sz="8" w:color="auto"/>
            </w:tcBorders>
          </w:tcPr>
          <w:p>
            <w:pPr>
              <w:ind w:left="60"/>
              <w:spacing w:after="0"/>
              <w:rPr>
                <w:sz w:val="20"/>
                <w:szCs w:val="20"/>
                <w:color w:val="auto"/>
              </w:rPr>
            </w:pPr>
            <w:r>
              <w:rPr>
                <w:rFonts w:ascii="Arial" w:cs="Arial" w:eastAsia="Arial" w:hAnsi="Arial"/>
                <w:sz w:val="9"/>
                <w:szCs w:val="9"/>
                <w:color w:val="auto"/>
              </w:rPr>
              <w:t>Senior Vice President and</w:t>
            </w:r>
          </w:p>
        </w:tc>
        <w:tc>
          <w:tcPr>
            <w:tcW w:w="280" w:type="dxa"/>
            <w:vAlign w:val="bottom"/>
            <w:vMerge w:val="restart"/>
          </w:tcPr>
          <w:p>
            <w:pPr>
              <w:jc w:val="right"/>
              <w:ind w:right="35"/>
              <w:spacing w:after="0"/>
              <w:rPr>
                <w:sz w:val="20"/>
                <w:szCs w:val="20"/>
                <w:color w:val="auto"/>
              </w:rPr>
            </w:pPr>
            <w:r>
              <w:rPr>
                <w:rFonts w:ascii="Arial" w:cs="Arial" w:eastAsia="Arial" w:hAnsi="Arial"/>
                <w:sz w:val="9"/>
                <w:szCs w:val="9"/>
                <w:color w:val="auto"/>
              </w:rPr>
              <w:t>(2)</w:t>
            </w:r>
          </w:p>
        </w:tc>
        <w:tc>
          <w:tcPr>
            <w:tcW w:w="260" w:type="dxa"/>
            <w:vAlign w:val="bottom"/>
            <w:vMerge w:val="restart"/>
          </w:tcPr>
          <w:p>
            <w:pPr>
              <w:jc w:val="right"/>
              <w:ind w:right="35"/>
              <w:spacing w:after="0"/>
              <w:rPr>
                <w:sz w:val="20"/>
                <w:szCs w:val="20"/>
                <w:color w:val="auto"/>
              </w:rPr>
            </w:pPr>
            <w:r>
              <w:rPr>
                <w:rFonts w:ascii="Arial" w:cs="Arial" w:eastAsia="Arial" w:hAnsi="Arial"/>
                <w:sz w:val="9"/>
                <w:szCs w:val="9"/>
                <w:color w:val="auto"/>
              </w:rPr>
              <w:t>(2)</w:t>
            </w: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60" w:type="dxa"/>
            <w:vAlign w:val="bottom"/>
            <w:vMerge w:val="restart"/>
          </w:tcPr>
          <w:p>
            <w:pPr>
              <w:jc w:val="right"/>
              <w:spacing w:after="0"/>
              <w:rPr>
                <w:sz w:val="20"/>
                <w:szCs w:val="20"/>
                <w:color w:val="auto"/>
              </w:rPr>
            </w:pPr>
            <w:r>
              <w:rPr>
                <w:rFonts w:ascii="Arial" w:cs="Arial" w:eastAsia="Arial" w:hAnsi="Arial"/>
                <w:sz w:val="9"/>
                <w:szCs w:val="9"/>
                <w:color w:val="auto"/>
              </w:rPr>
              <w:t>1,560</w:t>
            </w: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152,412</w:t>
            </w:r>
          </w:p>
        </w:tc>
        <w:tc>
          <w:tcPr>
            <w:tcW w:w="0" w:type="dxa"/>
            <w:vAlign w:val="bottom"/>
          </w:tcPr>
          <w:p>
            <w:pPr>
              <w:spacing w:after="0"/>
              <w:rPr>
                <w:sz w:val="1"/>
                <w:szCs w:val="1"/>
                <w:color w:val="auto"/>
              </w:rPr>
            </w:pPr>
          </w:p>
        </w:tc>
      </w:tr>
      <w:tr>
        <w:trPr>
          <w:trHeight w:val="50"/>
        </w:trPr>
        <w:tc>
          <w:tcPr>
            <w:tcW w:w="1460" w:type="dxa"/>
            <w:vAlign w:val="bottom"/>
            <w:tcBorders>
              <w:left w:val="single" w:sz="8" w:color="auto"/>
            </w:tcBorders>
            <w:vMerge w:val="restart"/>
          </w:tcPr>
          <w:p>
            <w:pPr>
              <w:ind w:left="60"/>
              <w:spacing w:after="0"/>
              <w:rPr>
                <w:sz w:val="20"/>
                <w:szCs w:val="20"/>
                <w:color w:val="auto"/>
              </w:rPr>
            </w:pPr>
            <w:r>
              <w:rPr>
                <w:rFonts w:ascii="Arial" w:cs="Arial" w:eastAsia="Arial" w:hAnsi="Arial"/>
                <w:sz w:val="9"/>
                <w:szCs w:val="9"/>
                <w:color w:val="auto"/>
              </w:rPr>
              <w:t>Chief Technology Officer</w:t>
            </w:r>
          </w:p>
        </w:tc>
        <w:tc>
          <w:tcPr>
            <w:tcW w:w="2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1460" w:type="dxa"/>
            <w:vAlign w:val="bottom"/>
            <w:tcBorders>
              <w:left w:val="single" w:sz="8" w:color="auto"/>
            </w:tcBorders>
            <w:vMerge w:val="continue"/>
          </w:tcPr>
          <w:p>
            <w:pPr>
              <w:spacing w:after="0"/>
              <w:rPr>
                <w:sz w:val="5"/>
                <w:szCs w:val="5"/>
                <w:color w:val="auto"/>
              </w:rPr>
            </w:pPr>
          </w:p>
        </w:tc>
        <w:tc>
          <w:tcPr>
            <w:tcW w:w="280" w:type="dxa"/>
            <w:vAlign w:val="bottom"/>
            <w:vMerge w:val="restart"/>
          </w:tcPr>
          <w:p>
            <w:pPr>
              <w:jc w:val="right"/>
              <w:ind w:right="35"/>
              <w:spacing w:after="0"/>
              <w:rPr>
                <w:sz w:val="20"/>
                <w:szCs w:val="20"/>
                <w:color w:val="auto"/>
              </w:rPr>
            </w:pPr>
            <w:r>
              <w:rPr>
                <w:rFonts w:ascii="Arial" w:cs="Arial" w:eastAsia="Arial" w:hAnsi="Arial"/>
                <w:sz w:val="9"/>
                <w:szCs w:val="9"/>
                <w:color w:val="auto"/>
              </w:rPr>
              <w:t>(3)</w:t>
            </w:r>
          </w:p>
        </w:tc>
        <w:tc>
          <w:tcPr>
            <w:tcW w:w="260" w:type="dxa"/>
            <w:vAlign w:val="bottom"/>
            <w:vMerge w:val="restart"/>
          </w:tcPr>
          <w:p>
            <w:pPr>
              <w:jc w:val="right"/>
              <w:ind w:right="35"/>
              <w:spacing w:after="0"/>
              <w:rPr>
                <w:sz w:val="20"/>
                <w:szCs w:val="20"/>
                <w:color w:val="auto"/>
              </w:rPr>
            </w:pPr>
            <w:r>
              <w:rPr>
                <w:rFonts w:ascii="Arial" w:cs="Arial" w:eastAsia="Arial" w:hAnsi="Arial"/>
                <w:sz w:val="9"/>
                <w:szCs w:val="9"/>
                <w:color w:val="auto"/>
              </w:rPr>
              <w:t>(3)</w:t>
            </w: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1,456</w:t>
            </w:r>
          </w:p>
        </w:tc>
        <w:tc>
          <w:tcPr>
            <w:tcW w:w="620" w:type="dxa"/>
            <w:vAlign w:val="bottom"/>
            <w:vMerge w:val="restart"/>
          </w:tcPr>
          <w:p>
            <w:pPr>
              <w:jc w:val="right"/>
              <w:ind w:right="35"/>
              <w:spacing w:after="0"/>
              <w:rPr>
                <w:sz w:val="20"/>
                <w:szCs w:val="20"/>
                <w:color w:val="auto"/>
              </w:rPr>
            </w:pPr>
            <w:r>
              <w:rPr>
                <w:rFonts w:ascii="Arial" w:cs="Arial" w:eastAsia="Arial" w:hAnsi="Arial"/>
                <w:sz w:val="9"/>
                <w:szCs w:val="9"/>
                <w:color w:val="auto"/>
              </w:rPr>
              <w:t>3,639</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7,278</w:t>
            </w:r>
          </w:p>
        </w:tc>
        <w:tc>
          <w:tcPr>
            <w:tcW w:w="7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406,767</w:t>
            </w:r>
          </w:p>
        </w:tc>
        <w:tc>
          <w:tcPr>
            <w:tcW w:w="0" w:type="dxa"/>
            <w:vAlign w:val="bottom"/>
          </w:tcPr>
          <w:p>
            <w:pPr>
              <w:spacing w:after="0"/>
              <w:rPr>
                <w:sz w:val="1"/>
                <w:szCs w:val="1"/>
                <w:color w:val="auto"/>
              </w:rPr>
            </w:pPr>
          </w:p>
        </w:tc>
      </w:tr>
      <w:tr>
        <w:trPr>
          <w:trHeight w:val="89"/>
        </w:trPr>
        <w:tc>
          <w:tcPr>
            <w:tcW w:w="1460" w:type="dxa"/>
            <w:vAlign w:val="bottom"/>
            <w:tcBorders>
              <w:left w:val="single" w:sz="8" w:color="auto"/>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460" w:type="dxa"/>
            <w:vAlign w:val="bottom"/>
            <w:tcBorders>
              <w:left w:val="single" w:sz="8" w:color="auto"/>
            </w:tcBorders>
          </w:tcPr>
          <w:p>
            <w:pPr>
              <w:spacing w:after="0"/>
              <w:rPr>
                <w:sz w:val="13"/>
                <w:szCs w:val="13"/>
                <w:color w:val="auto"/>
              </w:rPr>
            </w:pPr>
          </w:p>
        </w:tc>
        <w:tc>
          <w:tcPr>
            <w:tcW w:w="280" w:type="dxa"/>
            <w:vAlign w:val="bottom"/>
          </w:tcPr>
          <w:p>
            <w:pPr>
              <w:jc w:val="right"/>
              <w:ind w:right="35"/>
              <w:spacing w:after="0"/>
              <w:rPr>
                <w:sz w:val="20"/>
                <w:szCs w:val="20"/>
                <w:color w:val="auto"/>
              </w:rPr>
            </w:pPr>
            <w:r>
              <w:rPr>
                <w:rFonts w:ascii="Arial" w:cs="Arial" w:eastAsia="Arial" w:hAnsi="Arial"/>
                <w:sz w:val="9"/>
                <w:szCs w:val="9"/>
                <w:color w:val="auto"/>
              </w:rPr>
              <w:t>(4)</w:t>
            </w:r>
          </w:p>
        </w:tc>
        <w:tc>
          <w:tcPr>
            <w:tcW w:w="260" w:type="dxa"/>
            <w:vAlign w:val="bottom"/>
          </w:tcPr>
          <w:p>
            <w:pPr>
              <w:jc w:val="right"/>
              <w:ind w:right="35"/>
              <w:spacing w:after="0"/>
              <w:rPr>
                <w:sz w:val="20"/>
                <w:szCs w:val="20"/>
                <w:color w:val="auto"/>
              </w:rPr>
            </w:pPr>
            <w:r>
              <w:rPr>
                <w:rFonts w:ascii="Arial" w:cs="Arial" w:eastAsia="Arial" w:hAnsi="Arial"/>
                <w:sz w:val="9"/>
                <w:szCs w:val="9"/>
                <w:color w:val="auto"/>
              </w:rPr>
              <w:t>(4)</w:t>
            </w: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75"/>
              <w:spacing w:after="0"/>
              <w:rPr>
                <w:sz w:val="20"/>
                <w:szCs w:val="20"/>
                <w:color w:val="auto"/>
              </w:rPr>
            </w:pPr>
            <w:r>
              <w:rPr>
                <w:rFonts w:ascii="Arial" w:cs="Arial" w:eastAsia="Arial" w:hAnsi="Arial"/>
                <w:sz w:val="9"/>
                <w:szCs w:val="9"/>
                <w:color w:val="auto"/>
              </w:rPr>
              <w:t>83,605</w:t>
            </w: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185,789</w:t>
            </w: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427,316</w:t>
            </w:r>
          </w:p>
        </w:tc>
        <w:tc>
          <w:tcPr>
            <w:tcW w:w="62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146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46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9"/>
                <w:szCs w:val="9"/>
                <w:b w:val="1"/>
                <w:bCs w:val="1"/>
                <w:color w:val="auto"/>
              </w:rPr>
              <w:t>Mr. Corbin Barnes</w:t>
            </w:r>
          </w:p>
        </w:tc>
        <w:tc>
          <w:tcPr>
            <w:tcW w:w="280" w:type="dxa"/>
            <w:vAlign w:val="bottom"/>
            <w:shd w:val="clear" w:color="auto" w:fill="F4F8EE"/>
          </w:tcPr>
          <w:p>
            <w:pPr>
              <w:jc w:val="right"/>
              <w:ind w:right="35"/>
              <w:spacing w:after="0"/>
              <w:rPr>
                <w:sz w:val="20"/>
                <w:szCs w:val="20"/>
                <w:color w:val="auto"/>
              </w:rPr>
            </w:pPr>
            <w:r>
              <w:rPr>
                <w:rFonts w:ascii="Arial" w:cs="Arial" w:eastAsia="Arial" w:hAnsi="Arial"/>
                <w:sz w:val="9"/>
                <w:szCs w:val="9"/>
                <w:color w:val="auto"/>
              </w:rPr>
              <w:t>(1)</w:t>
            </w:r>
          </w:p>
        </w:tc>
        <w:tc>
          <w:tcPr>
            <w:tcW w:w="260" w:type="dxa"/>
            <w:vAlign w:val="bottom"/>
            <w:shd w:val="clear" w:color="auto" w:fill="F4F8EE"/>
          </w:tcPr>
          <w:p>
            <w:pPr>
              <w:jc w:val="right"/>
              <w:ind w:right="35"/>
              <w:spacing w:after="0"/>
              <w:rPr>
                <w:sz w:val="20"/>
                <w:szCs w:val="20"/>
                <w:color w:val="auto"/>
              </w:rPr>
            </w:pPr>
            <w:r>
              <w:rPr>
                <w:rFonts w:ascii="Arial" w:cs="Arial" w:eastAsia="Arial" w:hAnsi="Arial"/>
                <w:sz w:val="9"/>
                <w:szCs w:val="9"/>
                <w:color w:val="auto"/>
              </w:rPr>
              <w:t>(1)</w:t>
            </w:r>
          </w:p>
        </w:tc>
        <w:tc>
          <w:tcPr>
            <w:tcW w:w="620" w:type="dxa"/>
            <w:vAlign w:val="bottom"/>
            <w:shd w:val="clear" w:color="auto" w:fill="F4F8EE"/>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shd w:val="clear" w:color="auto" w:fill="F4F8EE"/>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shd w:val="clear" w:color="auto" w:fill="F4F8EE"/>
          </w:tcPr>
          <w:p>
            <w:pPr>
              <w:jc w:val="right"/>
              <w:spacing w:after="0"/>
              <w:rPr>
                <w:sz w:val="20"/>
                <w:szCs w:val="20"/>
                <w:color w:val="auto"/>
              </w:rPr>
            </w:pPr>
            <w:r>
              <w:rPr>
                <w:rFonts w:ascii="Arial" w:cs="Arial" w:eastAsia="Arial" w:hAnsi="Arial"/>
                <w:sz w:val="9"/>
                <w:szCs w:val="9"/>
                <w:color w:val="auto"/>
              </w:rPr>
              <w:t>1,181</w:t>
            </w:r>
          </w:p>
        </w:tc>
        <w:tc>
          <w:tcPr>
            <w:tcW w:w="620" w:type="dxa"/>
            <w:vAlign w:val="bottom"/>
            <w:shd w:val="clear" w:color="auto" w:fill="F4F8EE"/>
          </w:tcPr>
          <w:p>
            <w:pPr>
              <w:jc w:val="right"/>
              <w:ind w:right="35"/>
              <w:spacing w:after="0"/>
              <w:rPr>
                <w:sz w:val="20"/>
                <w:szCs w:val="20"/>
                <w:color w:val="auto"/>
              </w:rPr>
            </w:pPr>
            <w:r>
              <w:rPr>
                <w:rFonts w:ascii="Arial" w:cs="Arial" w:eastAsia="Arial" w:hAnsi="Arial"/>
                <w:sz w:val="9"/>
                <w:szCs w:val="9"/>
                <w:color w:val="auto"/>
              </w:rPr>
              <w:t>2,952</w:t>
            </w:r>
          </w:p>
        </w:tc>
        <w:tc>
          <w:tcPr>
            <w:tcW w:w="560" w:type="dxa"/>
            <w:vAlign w:val="bottom"/>
            <w:shd w:val="clear" w:color="auto" w:fill="F4F8EE"/>
          </w:tcPr>
          <w:p>
            <w:pPr>
              <w:jc w:val="right"/>
              <w:spacing w:after="0"/>
              <w:rPr>
                <w:sz w:val="20"/>
                <w:szCs w:val="20"/>
                <w:color w:val="auto"/>
              </w:rPr>
            </w:pPr>
            <w:r>
              <w:rPr>
                <w:rFonts w:ascii="Arial" w:cs="Arial" w:eastAsia="Arial" w:hAnsi="Arial"/>
                <w:sz w:val="9"/>
                <w:szCs w:val="9"/>
                <w:color w:val="auto"/>
              </w:rPr>
              <w:t>5,904</w:t>
            </w:r>
          </w:p>
        </w:tc>
        <w:tc>
          <w:tcPr>
            <w:tcW w:w="760" w:type="dxa"/>
            <w:vAlign w:val="bottom"/>
            <w:shd w:val="clear" w:color="auto" w:fill="F4F8EE"/>
          </w:tcPr>
          <w:p>
            <w:pPr>
              <w:jc w:val="right"/>
              <w:spacing w:after="0"/>
              <w:rPr>
                <w:sz w:val="20"/>
                <w:szCs w:val="20"/>
                <w:color w:val="auto"/>
              </w:rPr>
            </w:pPr>
            <w:r>
              <w:rPr>
                <w:rFonts w:ascii="Arial" w:cs="Arial" w:eastAsia="Arial" w:hAnsi="Arial"/>
                <w:sz w:val="9"/>
                <w:szCs w:val="9"/>
                <w:color w:val="auto"/>
              </w:rPr>
              <w:t>—</w:t>
            </w:r>
          </w:p>
        </w:tc>
        <w:tc>
          <w:tcPr>
            <w:tcW w:w="640" w:type="dxa"/>
            <w:vAlign w:val="bottom"/>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shd w:val="clear" w:color="auto" w:fill="F4F8EE"/>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329,975</w:t>
            </w:r>
          </w:p>
        </w:tc>
        <w:tc>
          <w:tcPr>
            <w:tcW w:w="0" w:type="dxa"/>
            <w:vAlign w:val="bottom"/>
          </w:tcPr>
          <w:p>
            <w:pPr>
              <w:spacing w:after="0"/>
              <w:rPr>
                <w:sz w:val="1"/>
                <w:szCs w:val="1"/>
                <w:color w:val="auto"/>
              </w:rPr>
            </w:pPr>
          </w:p>
        </w:tc>
      </w:tr>
      <w:tr>
        <w:trPr>
          <w:trHeight w:val="111"/>
        </w:trPr>
        <w:tc>
          <w:tcPr>
            <w:tcW w:w="146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9"/>
                <w:szCs w:val="9"/>
                <w:color w:val="auto"/>
              </w:rPr>
              <w:t>Senior Vice President, Corporate</w:t>
            </w:r>
          </w:p>
        </w:tc>
        <w:tc>
          <w:tcPr>
            <w:tcW w:w="28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(2)</w:t>
            </w:r>
          </w:p>
        </w:tc>
        <w:tc>
          <w:tcPr>
            <w:tcW w:w="26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(2)</w:t>
            </w:r>
          </w:p>
        </w:tc>
        <w:tc>
          <w:tcPr>
            <w:tcW w:w="62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shd w:val="clear" w:color="auto" w:fill="F4F8EE"/>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w:t>
            </w:r>
          </w:p>
        </w:tc>
        <w:tc>
          <w:tcPr>
            <w:tcW w:w="76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1,687</w:t>
            </w:r>
          </w:p>
        </w:tc>
        <w:tc>
          <w:tcPr>
            <w:tcW w:w="64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F4F8EE"/>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164,820</w:t>
            </w:r>
          </w:p>
        </w:tc>
        <w:tc>
          <w:tcPr>
            <w:tcW w:w="0" w:type="dxa"/>
            <w:vAlign w:val="bottom"/>
          </w:tcPr>
          <w:p>
            <w:pPr>
              <w:spacing w:after="0"/>
              <w:rPr>
                <w:sz w:val="1"/>
                <w:szCs w:val="1"/>
                <w:color w:val="auto"/>
              </w:rPr>
            </w:pPr>
          </w:p>
        </w:tc>
      </w:tr>
      <w:tr>
        <w:trPr>
          <w:trHeight w:val="50"/>
        </w:trPr>
        <w:tc>
          <w:tcPr>
            <w:tcW w:w="1460" w:type="dxa"/>
            <w:vAlign w:val="bottom"/>
            <w:tcBorders>
              <w:left w:val="single" w:sz="8" w:color="auto"/>
            </w:tcBorders>
            <w:vMerge w:val="restart"/>
            <w:shd w:val="clear" w:color="auto" w:fill="F4F8EE"/>
          </w:tcPr>
          <w:p>
            <w:pPr>
              <w:ind w:left="60"/>
              <w:spacing w:after="0" w:line="101" w:lineRule="exact"/>
              <w:rPr>
                <w:sz w:val="20"/>
                <w:szCs w:val="20"/>
                <w:color w:val="auto"/>
              </w:rPr>
            </w:pPr>
            <w:r>
              <w:rPr>
                <w:rFonts w:ascii="Arial" w:cs="Arial" w:eastAsia="Arial" w:hAnsi="Arial"/>
                <w:sz w:val="9"/>
                <w:szCs w:val="9"/>
                <w:color w:val="auto"/>
              </w:rPr>
              <w:t>Development</w:t>
            </w:r>
          </w:p>
        </w:tc>
        <w:tc>
          <w:tcPr>
            <w:tcW w:w="280" w:type="dxa"/>
            <w:vAlign w:val="bottom"/>
            <w:vMerge w:val="continue"/>
            <w:shd w:val="clear" w:color="auto" w:fill="F4F8EE"/>
          </w:tcPr>
          <w:p>
            <w:pPr>
              <w:spacing w:after="0"/>
              <w:rPr>
                <w:sz w:val="4"/>
                <w:szCs w:val="4"/>
                <w:color w:val="auto"/>
              </w:rPr>
            </w:pPr>
          </w:p>
        </w:tc>
        <w:tc>
          <w:tcPr>
            <w:tcW w:w="260" w:type="dxa"/>
            <w:vAlign w:val="bottom"/>
            <w:vMerge w:val="continue"/>
            <w:shd w:val="clear" w:color="auto" w:fill="F4F8EE"/>
          </w:tcPr>
          <w:p>
            <w:pPr>
              <w:spacing w:after="0"/>
              <w:rPr>
                <w:sz w:val="4"/>
                <w:szCs w:val="4"/>
                <w:color w:val="auto"/>
              </w:rPr>
            </w:pPr>
          </w:p>
        </w:tc>
        <w:tc>
          <w:tcPr>
            <w:tcW w:w="620" w:type="dxa"/>
            <w:vAlign w:val="bottom"/>
            <w:vMerge w:val="continue"/>
            <w:shd w:val="clear" w:color="auto" w:fill="F4F8EE"/>
          </w:tcPr>
          <w:p>
            <w:pPr>
              <w:spacing w:after="0"/>
              <w:rPr>
                <w:sz w:val="4"/>
                <w:szCs w:val="4"/>
                <w:color w:val="auto"/>
              </w:rPr>
            </w:pPr>
          </w:p>
        </w:tc>
        <w:tc>
          <w:tcPr>
            <w:tcW w:w="660" w:type="dxa"/>
            <w:vAlign w:val="bottom"/>
            <w:vMerge w:val="continue"/>
            <w:shd w:val="clear" w:color="auto" w:fill="F4F8EE"/>
          </w:tcPr>
          <w:p>
            <w:pPr>
              <w:spacing w:after="0"/>
              <w:rPr>
                <w:sz w:val="4"/>
                <w:szCs w:val="4"/>
                <w:color w:val="auto"/>
              </w:rPr>
            </w:pPr>
          </w:p>
        </w:tc>
        <w:tc>
          <w:tcPr>
            <w:tcW w:w="580" w:type="dxa"/>
            <w:vAlign w:val="bottom"/>
            <w:vMerge w:val="continue"/>
            <w:shd w:val="clear" w:color="auto" w:fill="F4F8EE"/>
          </w:tcPr>
          <w:p>
            <w:pPr>
              <w:spacing w:after="0"/>
              <w:rPr>
                <w:sz w:val="4"/>
                <w:szCs w:val="4"/>
                <w:color w:val="auto"/>
              </w:rPr>
            </w:pPr>
          </w:p>
        </w:tc>
        <w:tc>
          <w:tcPr>
            <w:tcW w:w="580" w:type="dxa"/>
            <w:vAlign w:val="bottom"/>
            <w:vMerge w:val="continue"/>
            <w:shd w:val="clear" w:color="auto" w:fill="F4F8EE"/>
          </w:tcPr>
          <w:p>
            <w:pPr>
              <w:spacing w:after="0"/>
              <w:rPr>
                <w:sz w:val="4"/>
                <w:szCs w:val="4"/>
                <w:color w:val="auto"/>
              </w:rPr>
            </w:pPr>
          </w:p>
        </w:tc>
        <w:tc>
          <w:tcPr>
            <w:tcW w:w="620" w:type="dxa"/>
            <w:vAlign w:val="bottom"/>
            <w:vMerge w:val="continue"/>
            <w:shd w:val="clear" w:color="auto" w:fill="F4F8EE"/>
          </w:tcPr>
          <w:p>
            <w:pPr>
              <w:spacing w:after="0"/>
              <w:rPr>
                <w:sz w:val="4"/>
                <w:szCs w:val="4"/>
                <w:color w:val="auto"/>
              </w:rPr>
            </w:pPr>
          </w:p>
        </w:tc>
        <w:tc>
          <w:tcPr>
            <w:tcW w:w="620" w:type="dxa"/>
            <w:vAlign w:val="bottom"/>
            <w:vMerge w:val="continue"/>
            <w:shd w:val="clear" w:color="auto" w:fill="F4F8EE"/>
          </w:tcPr>
          <w:p>
            <w:pPr>
              <w:spacing w:after="0"/>
              <w:rPr>
                <w:sz w:val="4"/>
                <w:szCs w:val="4"/>
                <w:color w:val="auto"/>
              </w:rPr>
            </w:pPr>
          </w:p>
        </w:tc>
        <w:tc>
          <w:tcPr>
            <w:tcW w:w="560" w:type="dxa"/>
            <w:vAlign w:val="bottom"/>
            <w:vMerge w:val="continue"/>
            <w:shd w:val="clear" w:color="auto" w:fill="F4F8EE"/>
          </w:tcPr>
          <w:p>
            <w:pPr>
              <w:spacing w:after="0"/>
              <w:rPr>
                <w:sz w:val="4"/>
                <w:szCs w:val="4"/>
                <w:color w:val="auto"/>
              </w:rPr>
            </w:pPr>
          </w:p>
        </w:tc>
        <w:tc>
          <w:tcPr>
            <w:tcW w:w="760" w:type="dxa"/>
            <w:vAlign w:val="bottom"/>
            <w:vMerge w:val="continue"/>
            <w:shd w:val="clear" w:color="auto" w:fill="F4F8EE"/>
          </w:tcPr>
          <w:p>
            <w:pPr>
              <w:spacing w:after="0"/>
              <w:rPr>
                <w:sz w:val="4"/>
                <w:szCs w:val="4"/>
                <w:color w:val="auto"/>
              </w:rPr>
            </w:pPr>
          </w:p>
        </w:tc>
        <w:tc>
          <w:tcPr>
            <w:tcW w:w="640" w:type="dxa"/>
            <w:vAlign w:val="bottom"/>
            <w:vMerge w:val="continue"/>
            <w:shd w:val="clear" w:color="auto" w:fill="F4F8EE"/>
          </w:tcPr>
          <w:p>
            <w:pPr>
              <w:spacing w:after="0"/>
              <w:rPr>
                <w:sz w:val="4"/>
                <w:szCs w:val="4"/>
                <w:color w:val="auto"/>
              </w:rPr>
            </w:pPr>
          </w:p>
        </w:tc>
        <w:tc>
          <w:tcPr>
            <w:tcW w:w="540" w:type="dxa"/>
            <w:vAlign w:val="bottom"/>
            <w:vMerge w:val="continue"/>
            <w:shd w:val="clear" w:color="auto" w:fill="F4F8EE"/>
          </w:tcPr>
          <w:p>
            <w:pPr>
              <w:spacing w:after="0"/>
              <w:rPr>
                <w:sz w:val="4"/>
                <w:szCs w:val="4"/>
                <w:color w:val="auto"/>
              </w:rPr>
            </w:pPr>
          </w:p>
        </w:tc>
        <w:tc>
          <w:tcPr>
            <w:tcW w:w="580" w:type="dxa"/>
            <w:vAlign w:val="bottom"/>
            <w:tcBorders>
              <w:right w:val="single" w:sz="8" w:color="auto"/>
            </w:tcBorders>
            <w:vMerge w:val="continue"/>
            <w:shd w:val="clear" w:color="auto" w:fill="F4F8E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460" w:type="dxa"/>
            <w:vAlign w:val="bottom"/>
            <w:tcBorders>
              <w:left w:val="single" w:sz="8" w:color="auto"/>
            </w:tcBorders>
            <w:vMerge w:val="continue"/>
            <w:shd w:val="clear" w:color="auto" w:fill="F4F8EE"/>
          </w:tcPr>
          <w:p>
            <w:pPr>
              <w:spacing w:after="0"/>
              <w:rPr>
                <w:sz w:val="4"/>
                <w:szCs w:val="4"/>
                <w:color w:val="auto"/>
              </w:rPr>
            </w:pPr>
          </w:p>
        </w:tc>
        <w:tc>
          <w:tcPr>
            <w:tcW w:w="28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(3)</w:t>
            </w:r>
          </w:p>
        </w:tc>
        <w:tc>
          <w:tcPr>
            <w:tcW w:w="26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(3)</w:t>
            </w:r>
          </w:p>
        </w:tc>
        <w:tc>
          <w:tcPr>
            <w:tcW w:w="62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shd w:val="clear" w:color="auto" w:fill="F4F8EE"/>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394</w:t>
            </w:r>
          </w:p>
        </w:tc>
        <w:tc>
          <w:tcPr>
            <w:tcW w:w="620" w:type="dxa"/>
            <w:vAlign w:val="bottom"/>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984</w:t>
            </w:r>
          </w:p>
        </w:tc>
        <w:tc>
          <w:tcPr>
            <w:tcW w:w="56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1,968</w:t>
            </w:r>
          </w:p>
        </w:tc>
        <w:tc>
          <w:tcPr>
            <w:tcW w:w="760" w:type="dxa"/>
            <w:vAlign w:val="bottom"/>
            <w:vMerge w:val="restart"/>
            <w:shd w:val="clear" w:color="auto" w:fill="F4F8EE"/>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F4F8EE"/>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109,992</w:t>
            </w:r>
          </w:p>
        </w:tc>
        <w:tc>
          <w:tcPr>
            <w:tcW w:w="0" w:type="dxa"/>
            <w:vAlign w:val="bottom"/>
          </w:tcPr>
          <w:p>
            <w:pPr>
              <w:spacing w:after="0"/>
              <w:rPr>
                <w:sz w:val="1"/>
                <w:szCs w:val="1"/>
                <w:color w:val="auto"/>
              </w:rPr>
            </w:pPr>
          </w:p>
        </w:tc>
      </w:tr>
      <w:tr>
        <w:trPr>
          <w:trHeight w:val="117"/>
        </w:trPr>
        <w:tc>
          <w:tcPr>
            <w:tcW w:w="146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9"/>
                <w:szCs w:val="9"/>
                <w:color w:val="auto"/>
              </w:rPr>
              <w:t>and Investor Relations</w:t>
            </w:r>
          </w:p>
        </w:tc>
        <w:tc>
          <w:tcPr>
            <w:tcW w:w="280" w:type="dxa"/>
            <w:vAlign w:val="bottom"/>
            <w:vMerge w:val="continue"/>
            <w:shd w:val="clear" w:color="auto" w:fill="F4F8EE"/>
          </w:tcPr>
          <w:p>
            <w:pPr>
              <w:spacing w:after="0"/>
              <w:rPr>
                <w:sz w:val="10"/>
                <w:szCs w:val="10"/>
                <w:color w:val="auto"/>
              </w:rPr>
            </w:pPr>
          </w:p>
        </w:tc>
        <w:tc>
          <w:tcPr>
            <w:tcW w:w="260" w:type="dxa"/>
            <w:vAlign w:val="bottom"/>
            <w:vMerge w:val="continue"/>
            <w:shd w:val="clear" w:color="auto" w:fill="F4F8EE"/>
          </w:tcPr>
          <w:p>
            <w:pPr>
              <w:spacing w:after="0"/>
              <w:rPr>
                <w:sz w:val="10"/>
                <w:szCs w:val="10"/>
                <w:color w:val="auto"/>
              </w:rPr>
            </w:pPr>
          </w:p>
        </w:tc>
        <w:tc>
          <w:tcPr>
            <w:tcW w:w="620" w:type="dxa"/>
            <w:vAlign w:val="bottom"/>
            <w:vMerge w:val="continue"/>
            <w:shd w:val="clear" w:color="auto" w:fill="F4F8EE"/>
          </w:tcPr>
          <w:p>
            <w:pPr>
              <w:spacing w:after="0"/>
              <w:rPr>
                <w:sz w:val="10"/>
                <w:szCs w:val="10"/>
                <w:color w:val="auto"/>
              </w:rPr>
            </w:pPr>
          </w:p>
        </w:tc>
        <w:tc>
          <w:tcPr>
            <w:tcW w:w="660" w:type="dxa"/>
            <w:vAlign w:val="bottom"/>
            <w:vMerge w:val="continue"/>
            <w:shd w:val="clear" w:color="auto" w:fill="F4F8EE"/>
          </w:tcPr>
          <w:p>
            <w:pPr>
              <w:spacing w:after="0"/>
              <w:rPr>
                <w:sz w:val="10"/>
                <w:szCs w:val="10"/>
                <w:color w:val="auto"/>
              </w:rPr>
            </w:pPr>
          </w:p>
        </w:tc>
        <w:tc>
          <w:tcPr>
            <w:tcW w:w="580" w:type="dxa"/>
            <w:vAlign w:val="bottom"/>
            <w:vMerge w:val="continue"/>
            <w:shd w:val="clear" w:color="auto" w:fill="F4F8EE"/>
          </w:tcPr>
          <w:p>
            <w:pPr>
              <w:spacing w:after="0"/>
              <w:rPr>
                <w:sz w:val="10"/>
                <w:szCs w:val="10"/>
                <w:color w:val="auto"/>
              </w:rPr>
            </w:pPr>
          </w:p>
        </w:tc>
        <w:tc>
          <w:tcPr>
            <w:tcW w:w="580" w:type="dxa"/>
            <w:vAlign w:val="bottom"/>
            <w:vMerge w:val="continue"/>
            <w:shd w:val="clear" w:color="auto" w:fill="F4F8EE"/>
          </w:tcPr>
          <w:p>
            <w:pPr>
              <w:spacing w:after="0"/>
              <w:rPr>
                <w:sz w:val="10"/>
                <w:szCs w:val="10"/>
                <w:color w:val="auto"/>
              </w:rPr>
            </w:pPr>
          </w:p>
        </w:tc>
        <w:tc>
          <w:tcPr>
            <w:tcW w:w="620" w:type="dxa"/>
            <w:vAlign w:val="bottom"/>
            <w:vMerge w:val="continue"/>
            <w:shd w:val="clear" w:color="auto" w:fill="F4F8EE"/>
          </w:tcPr>
          <w:p>
            <w:pPr>
              <w:spacing w:after="0"/>
              <w:rPr>
                <w:sz w:val="10"/>
                <w:szCs w:val="10"/>
                <w:color w:val="auto"/>
              </w:rPr>
            </w:pPr>
          </w:p>
        </w:tc>
        <w:tc>
          <w:tcPr>
            <w:tcW w:w="620" w:type="dxa"/>
            <w:vAlign w:val="bottom"/>
            <w:vMerge w:val="continue"/>
            <w:shd w:val="clear" w:color="auto" w:fill="F4F8EE"/>
          </w:tcPr>
          <w:p>
            <w:pPr>
              <w:spacing w:after="0"/>
              <w:rPr>
                <w:sz w:val="10"/>
                <w:szCs w:val="10"/>
                <w:color w:val="auto"/>
              </w:rPr>
            </w:pPr>
          </w:p>
        </w:tc>
        <w:tc>
          <w:tcPr>
            <w:tcW w:w="560" w:type="dxa"/>
            <w:vAlign w:val="bottom"/>
            <w:vMerge w:val="continue"/>
            <w:shd w:val="clear" w:color="auto" w:fill="F4F8EE"/>
          </w:tcPr>
          <w:p>
            <w:pPr>
              <w:spacing w:after="0"/>
              <w:rPr>
                <w:sz w:val="10"/>
                <w:szCs w:val="10"/>
                <w:color w:val="auto"/>
              </w:rPr>
            </w:pPr>
          </w:p>
        </w:tc>
        <w:tc>
          <w:tcPr>
            <w:tcW w:w="760" w:type="dxa"/>
            <w:vAlign w:val="bottom"/>
            <w:vMerge w:val="continue"/>
            <w:shd w:val="clear" w:color="auto" w:fill="F4F8EE"/>
          </w:tcPr>
          <w:p>
            <w:pPr>
              <w:spacing w:after="0"/>
              <w:rPr>
                <w:sz w:val="10"/>
                <w:szCs w:val="10"/>
                <w:color w:val="auto"/>
              </w:rPr>
            </w:pPr>
          </w:p>
        </w:tc>
        <w:tc>
          <w:tcPr>
            <w:tcW w:w="640" w:type="dxa"/>
            <w:vAlign w:val="bottom"/>
            <w:vMerge w:val="continue"/>
            <w:shd w:val="clear" w:color="auto" w:fill="F4F8EE"/>
          </w:tcPr>
          <w:p>
            <w:pPr>
              <w:spacing w:after="0"/>
              <w:rPr>
                <w:sz w:val="10"/>
                <w:szCs w:val="10"/>
                <w:color w:val="auto"/>
              </w:rPr>
            </w:pPr>
          </w:p>
        </w:tc>
        <w:tc>
          <w:tcPr>
            <w:tcW w:w="540" w:type="dxa"/>
            <w:vAlign w:val="bottom"/>
            <w:vMerge w:val="continue"/>
            <w:shd w:val="clear" w:color="auto" w:fill="F4F8EE"/>
          </w:tcPr>
          <w:p>
            <w:pPr>
              <w:spacing w:after="0"/>
              <w:rPr>
                <w:sz w:val="10"/>
                <w:szCs w:val="10"/>
                <w:color w:val="auto"/>
              </w:rPr>
            </w:pPr>
          </w:p>
        </w:tc>
        <w:tc>
          <w:tcPr>
            <w:tcW w:w="580" w:type="dxa"/>
            <w:vAlign w:val="bottom"/>
            <w:tcBorders>
              <w:right w:val="single" w:sz="8" w:color="auto"/>
            </w:tcBorders>
            <w:vMerge w:val="continue"/>
            <w:shd w:val="clear" w:color="auto" w:fill="F4F8E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460" w:type="dxa"/>
            <w:vAlign w:val="bottom"/>
            <w:tcBorders>
              <w:left w:val="single" w:sz="8" w:color="auto"/>
              <w:bottom w:val="single" w:sz="8" w:color="F4F8EE"/>
            </w:tcBorders>
            <w:shd w:val="clear" w:color="auto" w:fill="F4F8EE"/>
          </w:tcPr>
          <w:p>
            <w:pPr>
              <w:spacing w:after="0"/>
              <w:rPr>
                <w:sz w:val="14"/>
                <w:szCs w:val="14"/>
                <w:color w:val="auto"/>
              </w:rPr>
            </w:pPr>
          </w:p>
        </w:tc>
        <w:tc>
          <w:tcPr>
            <w:tcW w:w="280" w:type="dxa"/>
            <w:vAlign w:val="bottom"/>
            <w:tcBorders>
              <w:bottom w:val="single" w:sz="8" w:color="F4F8EE"/>
            </w:tcBorders>
            <w:shd w:val="clear" w:color="auto" w:fill="F4F8EE"/>
          </w:tcPr>
          <w:p>
            <w:pPr>
              <w:jc w:val="right"/>
              <w:ind w:right="35"/>
              <w:spacing w:after="0"/>
              <w:rPr>
                <w:sz w:val="20"/>
                <w:szCs w:val="20"/>
                <w:color w:val="auto"/>
              </w:rPr>
            </w:pPr>
            <w:r>
              <w:rPr>
                <w:rFonts w:ascii="Arial" w:cs="Arial" w:eastAsia="Arial" w:hAnsi="Arial"/>
                <w:sz w:val="9"/>
                <w:szCs w:val="9"/>
                <w:color w:val="auto"/>
              </w:rPr>
              <w:t>(4)</w:t>
            </w:r>
          </w:p>
        </w:tc>
        <w:tc>
          <w:tcPr>
            <w:tcW w:w="260" w:type="dxa"/>
            <w:vAlign w:val="bottom"/>
            <w:tcBorders>
              <w:bottom w:val="single" w:sz="8" w:color="F4F8EE"/>
            </w:tcBorders>
            <w:shd w:val="clear" w:color="auto" w:fill="F4F8EE"/>
          </w:tcPr>
          <w:p>
            <w:pPr>
              <w:jc w:val="right"/>
              <w:ind w:right="35"/>
              <w:spacing w:after="0"/>
              <w:rPr>
                <w:sz w:val="20"/>
                <w:szCs w:val="20"/>
                <w:color w:val="auto"/>
              </w:rPr>
            </w:pPr>
            <w:r>
              <w:rPr>
                <w:rFonts w:ascii="Arial" w:cs="Arial" w:eastAsia="Arial" w:hAnsi="Arial"/>
                <w:sz w:val="9"/>
                <w:szCs w:val="9"/>
                <w:color w:val="auto"/>
              </w:rPr>
              <w:t>(4)</w:t>
            </w:r>
          </w:p>
        </w:tc>
        <w:tc>
          <w:tcPr>
            <w:tcW w:w="620" w:type="dxa"/>
            <w:vAlign w:val="bottom"/>
            <w:tcBorders>
              <w:bottom w:val="single" w:sz="8" w:color="F4F8EE"/>
            </w:tcBorders>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660" w:type="dxa"/>
            <w:vAlign w:val="bottom"/>
            <w:tcBorders>
              <w:bottom w:val="single" w:sz="8" w:color="F4F8EE"/>
            </w:tcBorders>
            <w:shd w:val="clear" w:color="auto" w:fill="F4F8EE"/>
          </w:tcPr>
          <w:p>
            <w:pPr>
              <w:jc w:val="right"/>
              <w:ind w:right="75"/>
              <w:spacing w:after="0"/>
              <w:rPr>
                <w:sz w:val="20"/>
                <w:szCs w:val="20"/>
                <w:color w:val="auto"/>
              </w:rPr>
            </w:pPr>
            <w:r>
              <w:rPr>
                <w:rFonts w:ascii="Arial" w:cs="Arial" w:eastAsia="Arial" w:hAnsi="Arial"/>
                <w:sz w:val="9"/>
                <w:szCs w:val="9"/>
                <w:color w:val="auto"/>
              </w:rPr>
              <w:t>95,102</w:t>
            </w:r>
          </w:p>
        </w:tc>
        <w:tc>
          <w:tcPr>
            <w:tcW w:w="580" w:type="dxa"/>
            <w:vAlign w:val="bottom"/>
            <w:tcBorders>
              <w:bottom w:val="single" w:sz="8" w:color="F4F8EE"/>
            </w:tcBorders>
            <w:shd w:val="clear" w:color="auto" w:fill="F4F8EE"/>
          </w:tcPr>
          <w:p>
            <w:pPr>
              <w:jc w:val="right"/>
              <w:ind w:right="15"/>
              <w:spacing w:after="0"/>
              <w:rPr>
                <w:sz w:val="20"/>
                <w:szCs w:val="20"/>
                <w:color w:val="auto"/>
              </w:rPr>
            </w:pPr>
            <w:r>
              <w:rPr>
                <w:rFonts w:ascii="Arial" w:cs="Arial" w:eastAsia="Arial" w:hAnsi="Arial"/>
                <w:sz w:val="9"/>
                <w:szCs w:val="9"/>
                <w:color w:val="auto"/>
              </w:rPr>
              <w:t>276,853</w:t>
            </w:r>
          </w:p>
        </w:tc>
        <w:tc>
          <w:tcPr>
            <w:tcW w:w="580" w:type="dxa"/>
            <w:vAlign w:val="bottom"/>
            <w:tcBorders>
              <w:bottom w:val="single" w:sz="8" w:color="F4F8EE"/>
            </w:tcBorders>
            <w:shd w:val="clear" w:color="auto" w:fill="F4F8EE"/>
          </w:tcPr>
          <w:p>
            <w:pPr>
              <w:jc w:val="right"/>
              <w:ind w:right="15"/>
              <w:spacing w:after="0"/>
              <w:rPr>
                <w:sz w:val="20"/>
                <w:szCs w:val="20"/>
                <w:color w:val="auto"/>
              </w:rPr>
            </w:pPr>
            <w:r>
              <w:rPr>
                <w:rFonts w:ascii="Arial" w:cs="Arial" w:eastAsia="Arial" w:hAnsi="Arial"/>
                <w:sz w:val="9"/>
                <w:szCs w:val="9"/>
                <w:color w:val="auto"/>
              </w:rPr>
              <w:t>636,763</w:t>
            </w:r>
          </w:p>
        </w:tc>
        <w:tc>
          <w:tcPr>
            <w:tcW w:w="62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F4F8EE"/>
            </w:tcBorders>
            <w:shd w:val="clear" w:color="auto" w:fill="F4F8EE"/>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9"/>
                <w:szCs w:val="9"/>
                <w:color w:val="auto"/>
              </w:rPr>
              <w:t>—</w:t>
            </w:r>
          </w:p>
        </w:tc>
        <w:tc>
          <w:tcPr>
            <w:tcW w:w="76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F4F8EE"/>
            </w:tcBorders>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F4F8EE"/>
            </w:tcBorders>
            <w:shd w:val="clear" w:color="auto" w:fill="F4F8EE"/>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F4F8EE"/>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4"/>
        </w:trPr>
        <w:tc>
          <w:tcPr>
            <w:tcW w:w="146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9"/>
                <w:szCs w:val="9"/>
                <w:b w:val="1"/>
                <w:bCs w:val="1"/>
                <w:color w:val="auto"/>
              </w:rPr>
              <w:t>Mr. David B Jones</w:t>
            </w:r>
          </w:p>
        </w:tc>
        <w:tc>
          <w:tcPr>
            <w:tcW w:w="280" w:type="dxa"/>
            <w:vAlign w:val="bottom"/>
            <w:tcBorders>
              <w:top w:val="single" w:sz="8" w:color="auto"/>
            </w:tcBorders>
          </w:tcPr>
          <w:p>
            <w:pPr>
              <w:jc w:val="right"/>
              <w:ind w:right="55"/>
              <w:spacing w:after="0"/>
              <w:rPr>
                <w:sz w:val="20"/>
                <w:szCs w:val="20"/>
                <w:color w:val="auto"/>
              </w:rPr>
            </w:pPr>
            <w:r>
              <w:rPr>
                <w:rFonts w:ascii="Arial" w:cs="Arial" w:eastAsia="Arial" w:hAnsi="Arial"/>
                <w:sz w:val="9"/>
                <w:szCs w:val="9"/>
                <w:color w:val="auto"/>
              </w:rPr>
              <w:t>(1)</w:t>
            </w:r>
          </w:p>
        </w:tc>
        <w:tc>
          <w:tcPr>
            <w:tcW w:w="260" w:type="dxa"/>
            <w:vAlign w:val="bottom"/>
            <w:tcBorders>
              <w:top w:val="single" w:sz="8" w:color="auto"/>
            </w:tcBorders>
          </w:tcPr>
          <w:p>
            <w:pPr>
              <w:jc w:val="right"/>
              <w:ind w:right="75"/>
              <w:spacing w:after="0"/>
              <w:rPr>
                <w:sz w:val="20"/>
                <w:szCs w:val="20"/>
                <w:color w:val="auto"/>
              </w:rPr>
            </w:pPr>
            <w:r>
              <w:rPr>
                <w:rFonts w:ascii="Arial" w:cs="Arial" w:eastAsia="Arial" w:hAnsi="Arial"/>
                <w:sz w:val="9"/>
                <w:szCs w:val="9"/>
                <w:color w:val="auto"/>
              </w:rPr>
              <w:t>(1)</w:t>
            </w:r>
          </w:p>
        </w:tc>
        <w:tc>
          <w:tcPr>
            <w:tcW w:w="62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tcBorders>
              <w:top w:val="single" w:sz="8" w:color="auto"/>
            </w:tcBorders>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1,425</w:t>
            </w: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9"/>
                <w:szCs w:val="9"/>
                <w:color w:val="auto"/>
              </w:rPr>
              <w:t>3,562</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7,124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w:t>
            </w:r>
          </w:p>
        </w:tc>
        <w:tc>
          <w:tcPr>
            <w:tcW w:w="640" w:type="dxa"/>
            <w:vAlign w:val="bottom"/>
            <w:tcBorders>
              <w:top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tcBorders>
              <w:top w:val="single" w:sz="8" w:color="auto"/>
            </w:tcBorders>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9"/>
                <w:szCs w:val="9"/>
                <w:color w:val="auto"/>
              </w:rPr>
              <w:t>398,160</w:t>
            </w:r>
          </w:p>
        </w:tc>
        <w:tc>
          <w:tcPr>
            <w:tcW w:w="0" w:type="dxa"/>
            <w:vAlign w:val="bottom"/>
          </w:tcPr>
          <w:p>
            <w:pPr>
              <w:spacing w:after="0"/>
              <w:rPr>
                <w:sz w:val="1"/>
                <w:szCs w:val="1"/>
                <w:color w:val="auto"/>
              </w:rPr>
            </w:pPr>
          </w:p>
        </w:tc>
      </w:tr>
      <w:tr>
        <w:trPr>
          <w:trHeight w:val="111"/>
        </w:trPr>
        <w:tc>
          <w:tcPr>
            <w:tcW w:w="1460" w:type="dxa"/>
            <w:vAlign w:val="bottom"/>
            <w:tcBorders>
              <w:left w:val="single" w:sz="8" w:color="auto"/>
            </w:tcBorders>
          </w:tcPr>
          <w:p>
            <w:pPr>
              <w:ind w:left="60"/>
              <w:spacing w:after="0"/>
              <w:rPr>
                <w:sz w:val="20"/>
                <w:szCs w:val="20"/>
                <w:color w:val="auto"/>
              </w:rPr>
            </w:pPr>
            <w:r>
              <w:rPr>
                <w:rFonts w:ascii="Arial" w:cs="Arial" w:eastAsia="Arial" w:hAnsi="Arial"/>
                <w:sz w:val="9"/>
                <w:szCs w:val="9"/>
                <w:color w:val="auto"/>
              </w:rPr>
              <w:t>Senior Vice President, General</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(2)</w:t>
            </w:r>
          </w:p>
        </w:tc>
        <w:tc>
          <w:tcPr>
            <w:tcW w:w="260" w:type="dxa"/>
            <w:vAlign w:val="bottom"/>
            <w:vMerge w:val="restart"/>
          </w:tcPr>
          <w:p>
            <w:pPr>
              <w:jc w:val="right"/>
              <w:ind w:right="75"/>
              <w:spacing w:after="0"/>
              <w:rPr>
                <w:sz w:val="20"/>
                <w:szCs w:val="20"/>
                <w:color w:val="auto"/>
              </w:rPr>
            </w:pPr>
            <w:r>
              <w:rPr>
                <w:rFonts w:ascii="Arial" w:cs="Arial" w:eastAsia="Arial" w:hAnsi="Arial"/>
                <w:sz w:val="9"/>
                <w:szCs w:val="9"/>
                <w:color w:val="auto"/>
              </w:rPr>
              <w:t>(2)</w:t>
            </w: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60" w:type="dxa"/>
            <w:vAlign w:val="bottom"/>
            <w:vMerge w:val="restart"/>
          </w:tcPr>
          <w:p>
            <w:pPr>
              <w:jc w:val="right"/>
              <w:spacing w:after="0"/>
              <w:rPr>
                <w:sz w:val="20"/>
                <w:szCs w:val="20"/>
                <w:color w:val="auto"/>
              </w:rPr>
            </w:pPr>
            <w:r>
              <w:rPr>
                <w:rFonts w:ascii="Arial" w:cs="Arial" w:eastAsia="Arial" w:hAnsi="Arial"/>
                <w:sz w:val="9"/>
                <w:szCs w:val="9"/>
                <w:color w:val="auto"/>
              </w:rPr>
              <w:t>2,036</w:t>
            </w: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198,917</w:t>
            </w:r>
          </w:p>
        </w:tc>
        <w:tc>
          <w:tcPr>
            <w:tcW w:w="0" w:type="dxa"/>
            <w:vAlign w:val="bottom"/>
          </w:tcPr>
          <w:p>
            <w:pPr>
              <w:spacing w:after="0"/>
              <w:rPr>
                <w:sz w:val="1"/>
                <w:szCs w:val="1"/>
                <w:color w:val="auto"/>
              </w:rPr>
            </w:pPr>
          </w:p>
        </w:tc>
      </w:tr>
      <w:tr>
        <w:trPr>
          <w:trHeight w:val="50"/>
        </w:trPr>
        <w:tc>
          <w:tcPr>
            <w:tcW w:w="1460" w:type="dxa"/>
            <w:vAlign w:val="bottom"/>
            <w:tcBorders>
              <w:left w:val="single" w:sz="8" w:color="auto"/>
            </w:tcBorders>
            <w:vMerge w:val="restart"/>
          </w:tcPr>
          <w:p>
            <w:pPr>
              <w:ind w:left="60"/>
              <w:spacing w:after="0" w:line="101" w:lineRule="exact"/>
              <w:rPr>
                <w:sz w:val="20"/>
                <w:szCs w:val="20"/>
                <w:color w:val="auto"/>
              </w:rPr>
            </w:pPr>
            <w:r>
              <w:rPr>
                <w:rFonts w:ascii="Arial" w:cs="Arial" w:eastAsia="Arial" w:hAnsi="Arial"/>
                <w:sz w:val="9"/>
                <w:szCs w:val="9"/>
                <w:color w:val="auto"/>
              </w:rPr>
              <w:t>Counsel,</w:t>
            </w:r>
          </w:p>
        </w:tc>
        <w:tc>
          <w:tcPr>
            <w:tcW w:w="2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460" w:type="dxa"/>
            <w:vAlign w:val="bottom"/>
            <w:tcBorders>
              <w:left w:val="single" w:sz="8" w:color="auto"/>
            </w:tcBorders>
            <w:vMerge w:val="continue"/>
          </w:tcPr>
          <w:p>
            <w:pPr>
              <w:spacing w:after="0"/>
              <w:rPr>
                <w:sz w:val="4"/>
                <w:szCs w:val="4"/>
                <w:color w:val="auto"/>
              </w:rPr>
            </w:pP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(3)</w:t>
            </w:r>
          </w:p>
        </w:tc>
        <w:tc>
          <w:tcPr>
            <w:tcW w:w="260" w:type="dxa"/>
            <w:vAlign w:val="bottom"/>
            <w:vMerge w:val="restart"/>
          </w:tcPr>
          <w:p>
            <w:pPr>
              <w:jc w:val="right"/>
              <w:ind w:right="75"/>
              <w:spacing w:after="0"/>
              <w:rPr>
                <w:sz w:val="20"/>
                <w:szCs w:val="20"/>
                <w:color w:val="auto"/>
              </w:rPr>
            </w:pPr>
            <w:r>
              <w:rPr>
                <w:rFonts w:ascii="Arial" w:cs="Arial" w:eastAsia="Arial" w:hAnsi="Arial"/>
                <w:sz w:val="9"/>
                <w:szCs w:val="9"/>
                <w:color w:val="auto"/>
              </w:rPr>
              <w:t>(3)</w:t>
            </w: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02/24/25</w:t>
            </w:r>
          </w:p>
        </w:tc>
        <w:tc>
          <w:tcPr>
            <w:tcW w:w="66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475</w:t>
            </w:r>
          </w:p>
        </w:tc>
        <w:tc>
          <w:tcPr>
            <w:tcW w:w="620" w:type="dxa"/>
            <w:vAlign w:val="bottom"/>
            <w:vMerge w:val="restart"/>
          </w:tcPr>
          <w:p>
            <w:pPr>
              <w:jc w:val="right"/>
              <w:ind w:right="35"/>
              <w:spacing w:after="0"/>
              <w:rPr>
                <w:sz w:val="20"/>
                <w:szCs w:val="20"/>
                <w:color w:val="auto"/>
              </w:rPr>
            </w:pPr>
            <w:r>
              <w:rPr>
                <w:rFonts w:ascii="Arial" w:cs="Arial" w:eastAsia="Arial" w:hAnsi="Arial"/>
                <w:sz w:val="9"/>
                <w:szCs w:val="9"/>
                <w:color w:val="auto"/>
              </w:rPr>
              <w:t>1,187</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2,374</w:t>
            </w:r>
          </w:p>
        </w:tc>
        <w:tc>
          <w:tcPr>
            <w:tcW w:w="7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132,683</w:t>
            </w:r>
          </w:p>
        </w:tc>
        <w:tc>
          <w:tcPr>
            <w:tcW w:w="0" w:type="dxa"/>
            <w:vAlign w:val="bottom"/>
          </w:tcPr>
          <w:p>
            <w:pPr>
              <w:spacing w:after="0"/>
              <w:rPr>
                <w:sz w:val="1"/>
                <w:szCs w:val="1"/>
                <w:color w:val="auto"/>
              </w:rPr>
            </w:pPr>
          </w:p>
        </w:tc>
      </w:tr>
      <w:tr>
        <w:trPr>
          <w:trHeight w:val="111"/>
        </w:trPr>
        <w:tc>
          <w:tcPr>
            <w:tcW w:w="1460" w:type="dxa"/>
            <w:vAlign w:val="bottom"/>
            <w:tcBorders>
              <w:left w:val="single" w:sz="8" w:color="auto"/>
            </w:tcBorders>
          </w:tcPr>
          <w:p>
            <w:pPr>
              <w:ind w:left="60"/>
              <w:spacing w:after="0"/>
              <w:rPr>
                <w:sz w:val="20"/>
                <w:szCs w:val="20"/>
                <w:color w:val="auto"/>
              </w:rPr>
            </w:pPr>
            <w:r>
              <w:rPr>
                <w:rFonts w:ascii="Arial" w:cs="Arial" w:eastAsia="Arial" w:hAnsi="Arial"/>
                <w:sz w:val="9"/>
                <w:szCs w:val="9"/>
                <w:color w:val="auto"/>
              </w:rPr>
              <w:t>Chief Compliance Officer and</w:t>
            </w:r>
          </w:p>
        </w:tc>
        <w:tc>
          <w:tcPr>
            <w:tcW w:w="2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460" w:type="dxa"/>
            <w:vAlign w:val="bottom"/>
            <w:tcBorders>
              <w:left w:val="single" w:sz="8" w:color="auto"/>
            </w:tcBorders>
          </w:tcPr>
          <w:p>
            <w:pPr>
              <w:ind w:left="60"/>
              <w:spacing w:after="0"/>
              <w:rPr>
                <w:sz w:val="20"/>
                <w:szCs w:val="20"/>
                <w:color w:val="auto"/>
              </w:rPr>
            </w:pPr>
            <w:r>
              <w:rPr>
                <w:rFonts w:ascii="Arial" w:cs="Arial" w:eastAsia="Arial" w:hAnsi="Arial"/>
                <w:sz w:val="9"/>
                <w:szCs w:val="9"/>
                <w:color w:val="auto"/>
              </w:rPr>
              <w:t>Corporate Secretary</w:t>
            </w:r>
          </w:p>
        </w:tc>
        <w:tc>
          <w:tcPr>
            <w:tcW w:w="280" w:type="dxa"/>
            <w:vAlign w:val="bottom"/>
            <w:vMerge w:val="restart"/>
          </w:tcPr>
          <w:p>
            <w:pPr>
              <w:jc w:val="right"/>
              <w:ind w:right="55"/>
              <w:spacing w:after="0"/>
              <w:rPr>
                <w:sz w:val="20"/>
                <w:szCs w:val="20"/>
                <w:color w:val="auto"/>
              </w:rPr>
            </w:pPr>
            <w:r>
              <w:rPr>
                <w:rFonts w:ascii="Arial" w:cs="Arial" w:eastAsia="Arial" w:hAnsi="Arial"/>
                <w:sz w:val="9"/>
                <w:szCs w:val="9"/>
                <w:color w:val="auto"/>
              </w:rPr>
              <w:t>(4)</w:t>
            </w:r>
          </w:p>
        </w:tc>
        <w:tc>
          <w:tcPr>
            <w:tcW w:w="260" w:type="dxa"/>
            <w:vAlign w:val="bottom"/>
            <w:vMerge w:val="restart"/>
          </w:tcPr>
          <w:p>
            <w:pPr>
              <w:jc w:val="right"/>
              <w:ind w:right="75"/>
              <w:spacing w:after="0"/>
              <w:rPr>
                <w:sz w:val="20"/>
                <w:szCs w:val="20"/>
                <w:color w:val="auto"/>
              </w:rPr>
            </w:pPr>
            <w:r>
              <w:rPr>
                <w:rFonts w:ascii="Arial" w:cs="Arial" w:eastAsia="Arial" w:hAnsi="Arial"/>
                <w:sz w:val="9"/>
                <w:szCs w:val="9"/>
                <w:color w:val="auto"/>
              </w:rPr>
              <w:t>(4)</w:t>
            </w: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660" w:type="dxa"/>
            <w:vAlign w:val="bottom"/>
            <w:vMerge w:val="restart"/>
          </w:tcPr>
          <w:p>
            <w:pPr>
              <w:jc w:val="right"/>
              <w:ind w:right="75"/>
              <w:spacing w:after="0"/>
              <w:rPr>
                <w:sz w:val="20"/>
                <w:szCs w:val="20"/>
                <w:color w:val="auto"/>
              </w:rPr>
            </w:pPr>
            <w:r>
              <w:rPr>
                <w:rFonts w:ascii="Arial" w:cs="Arial" w:eastAsia="Arial" w:hAnsi="Arial"/>
                <w:sz w:val="9"/>
                <w:szCs w:val="9"/>
                <w:color w:val="auto"/>
              </w:rPr>
              <w:t>114,760</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255,024</w:t>
            </w: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586,555</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5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54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58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33"/>
        </w:trPr>
        <w:tc>
          <w:tcPr>
            <w:tcW w:w="1460" w:type="dxa"/>
            <w:vAlign w:val="bottom"/>
            <w:tcBorders>
              <w:left w:val="single" w:sz="8" w:color="auto"/>
            </w:tcBorders>
          </w:tcPr>
          <w:p>
            <w:pPr>
              <w:spacing w:after="0"/>
              <w:rPr>
                <w:sz w:val="2"/>
                <w:szCs w:val="2"/>
                <w:color w:val="auto"/>
              </w:rPr>
            </w:pPr>
          </w:p>
        </w:tc>
        <w:tc>
          <w:tcPr>
            <w:tcW w:w="280" w:type="dxa"/>
            <w:vAlign w:val="bottom"/>
            <w:vMerge w:val="continue"/>
          </w:tcPr>
          <w:p>
            <w:pPr>
              <w:spacing w:after="0"/>
              <w:rPr>
                <w:sz w:val="2"/>
                <w:szCs w:val="2"/>
                <w:color w:val="auto"/>
              </w:rPr>
            </w:pPr>
          </w:p>
        </w:tc>
        <w:tc>
          <w:tcPr>
            <w:tcW w:w="2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5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
        </w:trPr>
        <w:tc>
          <w:tcPr>
            <w:tcW w:w="1460" w:type="dxa"/>
            <w:vAlign w:val="bottom"/>
            <w:tcBorders>
              <w:left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Footnotes to “Grants of Plan-Based Awards” table:</w:t>
      </w:r>
    </w:p>
    <w:p>
      <w:pPr>
        <w:spacing w:after="0" w:line="128" w:lineRule="exact"/>
        <w:rPr>
          <w:sz w:val="20"/>
          <w:szCs w:val="20"/>
          <w:color w:val="auto"/>
        </w:rPr>
      </w:pPr>
    </w:p>
    <w:p>
      <w:pPr>
        <w:ind w:left="540" w:hanging="335"/>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Full Value awards, with vesting dependent on achievement of performance measures, issued under the Omnibus Plan</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Restricted Stock awards, issued under the Omnibus Plan</w:t>
      </w:r>
    </w:p>
    <w:p>
      <w:pPr>
        <w:spacing w:after="0" w:line="117" w:lineRule="exact"/>
        <w:rPr>
          <w:rFonts w:ascii="Arial" w:cs="Arial" w:eastAsia="Arial" w:hAnsi="Arial"/>
          <w:sz w:val="15"/>
          <w:szCs w:val="15"/>
          <w:color w:val="auto"/>
        </w:rPr>
      </w:pPr>
    </w:p>
    <w:p>
      <w:pPr>
        <w:ind w:left="540" w:right="139" w:hanging="335"/>
        <w:spacing w:after="0" w:line="318" w:lineRule="auto"/>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Cash incentive awards granted at zero cost with payout equal to the number of units that become vested, multiplied by the fair market value of a share, with vesting dependent on achievement of performance measures, issued under the Omnibus Plan</w:t>
      </w:r>
    </w:p>
    <w:p>
      <w:pPr>
        <w:spacing w:after="0" w:line="52" w:lineRule="exact"/>
        <w:rPr>
          <w:rFonts w:ascii="Arial" w:cs="Arial" w:eastAsia="Arial" w:hAnsi="Arial"/>
          <w:sz w:val="14"/>
          <w:szCs w:val="14"/>
          <w:color w:val="auto"/>
        </w:rPr>
      </w:pPr>
    </w:p>
    <w:p>
      <w:pPr>
        <w:ind w:left="540" w:hanging="335"/>
        <w:spacing w:after="0"/>
        <w:tabs>
          <w:tab w:leader="none" w:pos="5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Estimated pay-outs under the MICP</w:t>
      </w:r>
    </w:p>
    <w:p>
      <w:pPr>
        <w:spacing w:after="0" w:line="128" w:lineRule="exact"/>
        <w:rPr>
          <w:rFonts w:ascii="Arial" w:cs="Arial" w:eastAsia="Arial" w:hAnsi="Arial"/>
          <w:sz w:val="15"/>
          <w:szCs w:val="15"/>
          <w:color w:val="auto"/>
        </w:rPr>
      </w:pPr>
    </w:p>
    <w:p>
      <w:pPr>
        <w:ind w:left="880" w:right="139" w:hanging="340"/>
        <w:spacing w:after="0" w:line="281" w:lineRule="auto"/>
        <w:tabs>
          <w:tab w:leader="none" w:pos="8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Details of the grant policy and performance criteria for the awards made in 2025 are covered earlier in the Compensation Discussion and Analysis.</w:t>
      </w:r>
    </w:p>
    <w:p>
      <w:pPr>
        <w:spacing w:after="0" w:line="63" w:lineRule="exact"/>
        <w:rPr>
          <w:rFonts w:ascii="Arial" w:cs="Arial" w:eastAsia="Arial" w:hAnsi="Arial"/>
          <w:sz w:val="15"/>
          <w:szCs w:val="15"/>
          <w:color w:val="auto"/>
        </w:rPr>
      </w:pPr>
    </w:p>
    <w:p>
      <w:pPr>
        <w:ind w:left="880" w:right="139" w:hanging="340"/>
        <w:spacing w:after="0" w:line="281" w:lineRule="auto"/>
        <w:tabs>
          <w:tab w:leader="none" w:pos="88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All Other Stock Awards column in the “Grants of Plan-Based Awards” table details the following types of awards made under the Omnibus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1909445</wp:posOffset>
            </wp:positionV>
            <wp:extent cx="297180" cy="290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2" w:name="page83"/>
    <w:bookmarkEnd w:id="82"/>
    <w:p>
      <w:pPr>
        <w:spacing w:after="0" w:line="100" w:lineRule="exact"/>
        <w:rPr>
          <w:sz w:val="20"/>
          <w:szCs w:val="20"/>
          <w:color w:val="auto"/>
        </w:rPr>
      </w:pPr>
    </w:p>
    <w:p>
      <w:pPr>
        <w:jc w:val="both"/>
        <w:ind w:left="880" w:right="119"/>
        <w:spacing w:after="0" w:line="264" w:lineRule="auto"/>
        <w:rPr>
          <w:sz w:val="20"/>
          <w:szCs w:val="20"/>
          <w:color w:val="auto"/>
        </w:rPr>
      </w:pPr>
      <w:r>
        <w:rPr>
          <w:rFonts w:ascii="Arial" w:cs="Arial" w:eastAsia="Arial" w:hAnsi="Arial"/>
          <w:sz w:val="15"/>
          <w:szCs w:val="15"/>
          <w:b w:val="1"/>
          <w:bCs w:val="1"/>
          <w:color w:val="auto"/>
        </w:rPr>
        <w:t xml:space="preserve">Restricted Stock awards. </w:t>
      </w:r>
      <w:r>
        <w:rPr>
          <w:rFonts w:ascii="Arial" w:cs="Arial" w:eastAsia="Arial" w:hAnsi="Arial"/>
          <w:sz w:val="15"/>
          <w:szCs w:val="15"/>
          <w:color w:val="auto"/>
        </w:rPr>
        <w:t>Restricted Stock awards are detailed under “All Other Stock Awards” in the rows labelled (2).</w:t>
      </w:r>
      <w:r>
        <w:rPr>
          <w:rFonts w:ascii="Arial" w:cs="Arial" w:eastAsia="Arial" w:hAnsi="Arial"/>
          <w:sz w:val="15"/>
          <w:szCs w:val="15"/>
          <w:b w:val="1"/>
          <w:bCs w:val="1"/>
          <w:color w:val="auto"/>
        </w:rPr>
        <w:t xml:space="preserve"> </w:t>
      </w:r>
      <w:r>
        <w:rPr>
          <w:rFonts w:ascii="Arial" w:cs="Arial" w:eastAsia="Arial" w:hAnsi="Arial"/>
          <w:sz w:val="15"/>
          <w:szCs w:val="15"/>
          <w:color w:val="auto"/>
        </w:rPr>
        <w:t>The grant date fair value for these awards granted at zero cost has been determined using the fair value of the Company’s stock on date of grant.</w:t>
      </w:r>
    </w:p>
    <w:p>
      <w:pPr>
        <w:spacing w:after="0" w:line="88" w:lineRule="exact"/>
        <w:rPr>
          <w:sz w:val="20"/>
          <w:szCs w:val="20"/>
          <w:color w:val="auto"/>
        </w:rPr>
      </w:pPr>
    </w:p>
    <w:p>
      <w:pPr>
        <w:ind w:left="880" w:right="139" w:hanging="340"/>
        <w:spacing w:after="0" w:line="281"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Estimated Future Pay-Outs Under Equity Awards column in the “Grants of Plan-Based Awards” table details the following types of awards made under the Omnibus Plan:</w:t>
      </w:r>
    </w:p>
    <w:p>
      <w:pPr>
        <w:spacing w:after="0" w:line="63" w:lineRule="exact"/>
        <w:rPr>
          <w:rFonts w:ascii="Arial" w:cs="Arial" w:eastAsia="Arial" w:hAnsi="Arial"/>
          <w:sz w:val="15"/>
          <w:szCs w:val="15"/>
          <w:color w:val="auto"/>
        </w:rPr>
      </w:pPr>
    </w:p>
    <w:p>
      <w:pPr>
        <w:jc w:val="both"/>
        <w:ind w:left="880" w:right="139"/>
        <w:spacing w:after="0" w:line="264" w:lineRule="auto"/>
        <w:rPr>
          <w:rFonts w:ascii="Arial" w:cs="Arial" w:eastAsia="Arial" w:hAnsi="Arial"/>
          <w:sz w:val="15"/>
          <w:szCs w:val="15"/>
          <w:color w:val="auto"/>
        </w:rPr>
      </w:pPr>
      <w:r>
        <w:rPr>
          <w:rFonts w:ascii="Arial" w:cs="Arial" w:eastAsia="Arial" w:hAnsi="Arial"/>
          <w:sz w:val="15"/>
          <w:szCs w:val="15"/>
          <w:b w:val="1"/>
          <w:bCs w:val="1"/>
          <w:color w:val="auto"/>
        </w:rPr>
        <w:t xml:space="preserve">Full Value awards. </w:t>
      </w:r>
      <w:r>
        <w:rPr>
          <w:rFonts w:ascii="Arial" w:cs="Arial" w:eastAsia="Arial" w:hAnsi="Arial"/>
          <w:sz w:val="15"/>
          <w:szCs w:val="15"/>
          <w:color w:val="auto"/>
        </w:rPr>
        <w:t>Full value awards were granted at zero cost, i.e. with an exercise price of zero and normally vest after</w:t>
      </w:r>
      <w:r>
        <w:rPr>
          <w:rFonts w:ascii="Arial" w:cs="Arial" w:eastAsia="Arial" w:hAnsi="Arial"/>
          <w:sz w:val="15"/>
          <w:szCs w:val="15"/>
          <w:b w:val="1"/>
          <w:bCs w:val="1"/>
          <w:color w:val="auto"/>
        </w:rPr>
        <w:t xml:space="preserve"> </w:t>
      </w:r>
      <w:r>
        <w:rPr>
          <w:rFonts w:ascii="Arial" w:cs="Arial" w:eastAsia="Arial" w:hAnsi="Arial"/>
          <w:sz w:val="15"/>
          <w:szCs w:val="15"/>
          <w:color w:val="auto"/>
        </w:rPr>
        <w:t>three years, provided that specified performance criteria are achieved as set by the Compensation Committee. The full value awards are detailed under “Estimated Future pay-outs under Equity Plan Awards” in the row labelled (1).</w:t>
      </w:r>
    </w:p>
    <w:p>
      <w:pPr>
        <w:spacing w:after="0" w:line="87" w:lineRule="exact"/>
        <w:rPr>
          <w:rFonts w:ascii="Arial" w:cs="Arial" w:eastAsia="Arial" w:hAnsi="Arial"/>
          <w:sz w:val="15"/>
          <w:szCs w:val="15"/>
          <w:color w:val="auto"/>
        </w:rPr>
      </w:pPr>
    </w:p>
    <w:p>
      <w:pPr>
        <w:jc w:val="both"/>
        <w:ind w:left="880" w:right="139"/>
        <w:spacing w:after="0" w:line="256" w:lineRule="auto"/>
        <w:rPr>
          <w:rFonts w:ascii="Arial" w:cs="Arial" w:eastAsia="Arial" w:hAnsi="Arial"/>
          <w:sz w:val="15"/>
          <w:szCs w:val="15"/>
          <w:color w:val="auto"/>
        </w:rPr>
      </w:pPr>
      <w:r>
        <w:rPr>
          <w:rFonts w:ascii="Arial" w:cs="Arial" w:eastAsia="Arial" w:hAnsi="Arial"/>
          <w:sz w:val="15"/>
          <w:szCs w:val="15"/>
          <w:b w:val="1"/>
          <w:bCs w:val="1"/>
          <w:color w:val="auto"/>
        </w:rPr>
        <w:t>Cash Incentive Awards granted at zero cost</w:t>
      </w:r>
      <w:r>
        <w:rPr>
          <w:rFonts w:ascii="Arial" w:cs="Arial" w:eastAsia="Arial" w:hAnsi="Arial"/>
          <w:sz w:val="15"/>
          <w:szCs w:val="15"/>
          <w:color w:val="auto"/>
        </w:rPr>
        <w:t>. Cash incentive awards were also made in the form of units with payout</w:t>
      </w:r>
      <w:r>
        <w:rPr>
          <w:rFonts w:ascii="Arial" w:cs="Arial" w:eastAsia="Arial" w:hAnsi="Arial"/>
          <w:sz w:val="15"/>
          <w:szCs w:val="15"/>
          <w:b w:val="1"/>
          <w:bCs w:val="1"/>
          <w:color w:val="auto"/>
        </w:rPr>
        <w:t xml:space="preserve"> </w:t>
      </w:r>
      <w:r>
        <w:rPr>
          <w:rFonts w:ascii="Arial" w:cs="Arial" w:eastAsia="Arial" w:hAnsi="Arial"/>
          <w:sz w:val="15"/>
          <w:szCs w:val="15"/>
          <w:color w:val="auto"/>
        </w:rPr>
        <w:t>equal to the number of units that become vested multiplied by the fair market value of a share, and normally vest after three years, subject to achievement of performance criteria set by the Compensation Committee. Cash Incentive Awards granted at zero cost are detailed under “Estimated Future Pay-outs under Equity Incentive Plan Awards” in the rows under the grant date labelled (3) in the table above.</w:t>
      </w:r>
    </w:p>
    <w:p>
      <w:pPr>
        <w:spacing w:after="0" w:line="93" w:lineRule="exact"/>
        <w:rPr>
          <w:rFonts w:ascii="Arial" w:cs="Arial" w:eastAsia="Arial" w:hAnsi="Arial"/>
          <w:sz w:val="15"/>
          <w:szCs w:val="15"/>
          <w:color w:val="auto"/>
        </w:rPr>
      </w:pPr>
    </w:p>
    <w:p>
      <w:pPr>
        <w:ind w:left="880" w:right="119"/>
        <w:spacing w:after="0" w:line="281" w:lineRule="auto"/>
        <w:rPr>
          <w:rFonts w:ascii="Arial" w:cs="Arial" w:eastAsia="Arial" w:hAnsi="Arial"/>
          <w:sz w:val="15"/>
          <w:szCs w:val="15"/>
          <w:color w:val="auto"/>
        </w:rPr>
      </w:pPr>
      <w:r>
        <w:rPr>
          <w:rFonts w:ascii="Arial" w:cs="Arial" w:eastAsia="Arial" w:hAnsi="Arial"/>
          <w:sz w:val="15"/>
          <w:szCs w:val="15"/>
          <w:color w:val="auto"/>
        </w:rPr>
        <w:t>In 2025, the relative weighting and performance criteria for both the full value awards and the cash incentive awards granted at zero costs detailed in the rows labelled (1) and (3) were:</w:t>
      </w:r>
    </w:p>
    <w:p>
      <w:pPr>
        <w:spacing w:after="0" w:line="63" w:lineRule="exact"/>
        <w:rPr>
          <w:rFonts w:ascii="Arial" w:cs="Arial" w:eastAsia="Arial" w:hAnsi="Arial"/>
          <w:sz w:val="15"/>
          <w:szCs w:val="15"/>
          <w:color w:val="auto"/>
        </w:rPr>
      </w:pPr>
    </w:p>
    <w:p>
      <w:pPr>
        <w:jc w:val="both"/>
        <w:ind w:left="880" w:right="119" w:hanging="340"/>
        <w:spacing w:after="0" w:line="253"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40% weighting on the relative performance of the Company’s Total Stockholder Return versus the average Total Stockholder Return of the compensation peer group. The threshold level is set at 25% of the average peer group performance over three years, in which case 50% of the full value awards and cash incentive awards granted at zero cost will vest. The target level is set at 50% of the peer group average performance, in which case 100% of the full value awards and cash incentive awards granted at zero cost will vest and the maximum level is set at 75% of the peer group average performance, in which case 200% of all the granted full value awards and cash incentive awards granted at zero cost will vest</w:t>
      </w:r>
    </w:p>
    <w:p>
      <w:pPr>
        <w:spacing w:after="0" w:line="96" w:lineRule="exact"/>
        <w:rPr>
          <w:rFonts w:ascii="Arial" w:cs="Arial" w:eastAsia="Arial" w:hAnsi="Arial"/>
          <w:sz w:val="15"/>
          <w:szCs w:val="15"/>
          <w:color w:val="auto"/>
        </w:rPr>
      </w:pPr>
    </w:p>
    <w:p>
      <w:pPr>
        <w:jc w:val="both"/>
        <w:ind w:left="880" w:right="139" w:hanging="340"/>
        <w:spacing w:after="0" w:line="254"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20% weighting on the compound increase per annum in sales revenue. The threshold level is set at a total growth of -10% versus the 2024 actual figure, in which case 50% of the full value awards and cash incentive awards granted at zero cost will vest. The target level is set at a total growth of 10% versus the 2024 actual figure, in which case 100% of the full value awards and cash incentive awards granted at zero cost will vest and the maximum level is set at a total growth of 30% versus the 2024 actual figure, in which case 200% of the granted full value awards and cash incentive awards granted at zero cost will vest</w:t>
      </w:r>
    </w:p>
    <w:p>
      <w:pPr>
        <w:spacing w:after="0" w:line="96" w:lineRule="exact"/>
        <w:rPr>
          <w:rFonts w:ascii="Arial" w:cs="Arial" w:eastAsia="Arial" w:hAnsi="Arial"/>
          <w:sz w:val="15"/>
          <w:szCs w:val="15"/>
          <w:color w:val="auto"/>
        </w:rPr>
      </w:pPr>
    </w:p>
    <w:p>
      <w:pPr>
        <w:jc w:val="both"/>
        <w:ind w:left="880" w:right="119" w:hanging="340"/>
        <w:spacing w:after="0" w:line="254" w:lineRule="auto"/>
        <w:tabs>
          <w:tab w:leader="none" w:pos="8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40% weighting on the compound increase per annum in earnings per share (“EPS”). The threshold level is set at a total growth of -10% versus the 2024 actual figure, in which case 25% of the full value awards and cash incentive awards granted at zero cost will vest. The target level is set at a total growth of 15% versus the 2024 actual figure, in which case 100% of the full value awards and cash incentive awards granted at zero cost will vest and the maximum level is set at a total growth of 55% versus the 2024 actual figure in which case 200% of the full value awards and cash incentive awards granted at zero cost will vest</w:t>
      </w:r>
    </w:p>
    <w:p>
      <w:pPr>
        <w:spacing w:after="0" w:line="85"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b w:val="1"/>
          <w:bCs w:val="1"/>
          <w:color w:val="auto"/>
        </w:rPr>
        <w:t>MICP</w:t>
      </w:r>
      <w:r>
        <w:rPr>
          <w:rFonts w:ascii="Arial" w:cs="Arial" w:eastAsia="Arial" w:hAnsi="Arial"/>
          <w:sz w:val="15"/>
          <w:szCs w:val="15"/>
          <w:color w:val="auto"/>
        </w:rPr>
        <w:t>. Payment under the MICP is based on achievement of pre-determined financial goals and personal objectives set by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each year. The threshold level is set at 80% achievement of the financial goals, and the target payment is earned for 100% achievement of the financial goals. The maximum payment is earned for 130% achievement of the financial goals. The potential awards for 2025 are detailed in the table in the row under the grant date heading labelled (4). As this is an annual non-equity incentive plan, no grant date is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2359660</wp:posOffset>
            </wp:positionV>
            <wp:extent cx="297180" cy="2901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3" w:name="page84"/>
    <w:bookmarkEnd w:id="83"/>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9AB956"/>
        </w:rPr>
        <w:t>OUTSTANDING EQUITY AWARDS AT FISCAL YEAR END 2025</w:t>
      </w:r>
    </w:p>
    <w:p>
      <w:pPr>
        <w:spacing w:after="0" w:line="190" w:lineRule="exact"/>
        <w:rPr>
          <w:sz w:val="20"/>
          <w:szCs w:val="20"/>
          <w:color w:val="auto"/>
        </w:rPr>
      </w:pPr>
    </w:p>
    <w:tbl>
      <w:tblPr>
        <w:tblLayout w:type="fixed"/>
        <w:tblInd w:w="210" w:type="dxa"/>
        <w:tblCellMar>
          <w:top w:w="0" w:type="dxa"/>
          <w:left w:w="0" w:type="dxa"/>
          <w:bottom w:w="0" w:type="dxa"/>
          <w:right w:w="0" w:type="dxa"/>
        </w:tblCellMar>
      </w:tblPr>
      <w:tr>
        <w:trPr>
          <w:trHeight w:val="172"/>
        </w:trPr>
        <w:tc>
          <w:tcPr>
            <w:tcW w:w="1340" w:type="dxa"/>
            <w:vAlign w:val="bottom"/>
            <w:tcBorders>
              <w:top w:val="single" w:sz="8" w:color="auto"/>
              <w:left w:val="single" w:sz="8" w:color="auto"/>
              <w:bottom w:val="single" w:sz="8" w:color="9AB956"/>
              <w:right w:val="single" w:sz="8" w:color="9AB956"/>
            </w:tcBorders>
            <w:shd w:val="clear" w:color="auto" w:fill="9AB956"/>
          </w:tcPr>
          <w:p>
            <w:pPr>
              <w:spacing w:after="0"/>
              <w:rPr>
                <w:sz w:val="14"/>
                <w:szCs w:val="14"/>
                <w:color w:val="auto"/>
              </w:rPr>
            </w:pPr>
          </w:p>
        </w:tc>
        <w:tc>
          <w:tcPr>
            <w:tcW w:w="2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22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4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1020" w:type="dxa"/>
            <w:vAlign w:val="bottom"/>
            <w:tcBorders>
              <w:top w:val="single" w:sz="8" w:color="auto"/>
              <w:bottom w:val="single" w:sz="8" w:color="9AB956"/>
              <w:right w:val="single" w:sz="8" w:color="9AB956"/>
            </w:tcBorders>
            <w:gridSpan w:val="3"/>
            <w:shd w:val="clear" w:color="auto" w:fill="9AB956"/>
          </w:tcPr>
          <w:p>
            <w:pPr>
              <w:ind w:left="120"/>
              <w:spacing w:after="0"/>
              <w:rPr>
                <w:sz w:val="20"/>
                <w:szCs w:val="20"/>
                <w:color w:val="auto"/>
              </w:rPr>
            </w:pPr>
            <w:r>
              <w:rPr>
                <w:rFonts w:ascii="Arial" w:cs="Arial" w:eastAsia="Arial" w:hAnsi="Arial"/>
                <w:sz w:val="9"/>
                <w:szCs w:val="9"/>
                <w:b w:val="1"/>
                <w:bCs w:val="1"/>
                <w:color w:val="FFFFFF"/>
              </w:rPr>
              <w:t>Option Awards</w:t>
            </w:r>
          </w:p>
        </w:tc>
        <w:tc>
          <w:tcPr>
            <w:tcW w:w="3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42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50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640" w:type="dxa"/>
            <w:vAlign w:val="bottom"/>
            <w:tcBorders>
              <w:top w:val="single" w:sz="8" w:color="auto"/>
              <w:bottom w:val="single" w:sz="8" w:color="9AB956"/>
              <w:right w:val="single" w:sz="8" w:color="auto"/>
            </w:tcBorders>
            <w:shd w:val="clear" w:color="auto" w:fill="9AB956"/>
          </w:tcPr>
          <w:p>
            <w:pPr>
              <w:spacing w:after="0"/>
              <w:rPr>
                <w:sz w:val="14"/>
                <w:szCs w:val="14"/>
                <w:color w:val="auto"/>
              </w:rPr>
            </w:pPr>
          </w:p>
        </w:tc>
        <w:tc>
          <w:tcPr>
            <w:tcW w:w="5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60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1240" w:type="dxa"/>
            <w:vAlign w:val="bottom"/>
            <w:tcBorders>
              <w:top w:val="single" w:sz="8" w:color="auto"/>
              <w:bottom w:val="single" w:sz="8" w:color="9AB956"/>
              <w:right w:val="single" w:sz="8" w:color="9AB956"/>
            </w:tcBorders>
            <w:gridSpan w:val="2"/>
            <w:shd w:val="clear" w:color="auto" w:fill="9AB956"/>
          </w:tcPr>
          <w:p>
            <w:pPr>
              <w:jc w:val="right"/>
              <w:ind w:right="275"/>
              <w:spacing w:after="0"/>
              <w:rPr>
                <w:sz w:val="20"/>
                <w:szCs w:val="20"/>
                <w:color w:val="auto"/>
              </w:rPr>
            </w:pPr>
            <w:r>
              <w:rPr>
                <w:rFonts w:ascii="Arial" w:cs="Arial" w:eastAsia="Arial" w:hAnsi="Arial"/>
                <w:sz w:val="9"/>
                <w:szCs w:val="9"/>
                <w:b w:val="1"/>
                <w:bCs w:val="1"/>
                <w:color w:val="FFFFFF"/>
              </w:rPr>
              <w:t>Stock Awards</w:t>
            </w:r>
          </w:p>
        </w:tc>
        <w:tc>
          <w:tcPr>
            <w:tcW w:w="6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560" w:type="dxa"/>
            <w:vAlign w:val="bottom"/>
            <w:tcBorders>
              <w:top w:val="single" w:sz="8" w:color="auto"/>
              <w:bottom w:val="single" w:sz="8" w:color="9AB956"/>
              <w:right w:val="single" w:sz="8" w:color="auto"/>
            </w:tcBorders>
            <w:shd w:val="clear" w:color="auto" w:fill="9AB956"/>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340" w:type="dxa"/>
            <w:vAlign w:val="bottom"/>
            <w:tcBorders>
              <w:top w:val="single" w:sz="8" w:color="9AB956"/>
              <w:left w:val="single" w:sz="8" w:color="auto"/>
              <w:right w:val="single" w:sz="8" w:color="9AB956"/>
            </w:tcBorders>
            <w:shd w:val="clear" w:color="auto" w:fill="9AB956"/>
          </w:tcPr>
          <w:p>
            <w:pPr>
              <w:ind w:left="60"/>
              <w:spacing w:after="0"/>
              <w:rPr>
                <w:sz w:val="20"/>
                <w:szCs w:val="20"/>
                <w:color w:val="auto"/>
              </w:rPr>
            </w:pPr>
            <w:r>
              <w:rPr>
                <w:rFonts w:ascii="Arial" w:cs="Arial" w:eastAsia="Arial" w:hAnsi="Arial"/>
                <w:sz w:val="9"/>
                <w:szCs w:val="9"/>
                <w:b w:val="1"/>
                <w:bCs w:val="1"/>
                <w:color w:val="FFFFFF"/>
              </w:rPr>
              <w:t>Name and Principal Position</w:t>
            </w:r>
          </w:p>
        </w:tc>
        <w:tc>
          <w:tcPr>
            <w:tcW w:w="240" w:type="dxa"/>
            <w:vAlign w:val="bottom"/>
            <w:tcBorders>
              <w:top w:val="single" w:sz="8" w:color="9AB956"/>
              <w:right w:val="single" w:sz="8" w:color="9AB956"/>
            </w:tcBorders>
            <w:shd w:val="clear" w:color="auto" w:fill="9AB956"/>
          </w:tcPr>
          <w:p>
            <w:pPr>
              <w:spacing w:after="0"/>
              <w:rPr>
                <w:sz w:val="9"/>
                <w:szCs w:val="9"/>
                <w:color w:val="auto"/>
              </w:rPr>
            </w:pPr>
          </w:p>
        </w:tc>
        <w:tc>
          <w:tcPr>
            <w:tcW w:w="220" w:type="dxa"/>
            <w:vAlign w:val="bottom"/>
            <w:tcBorders>
              <w:top w:val="single" w:sz="8" w:color="9AB956"/>
              <w:right w:val="single" w:sz="8" w:color="9AB956"/>
            </w:tcBorders>
            <w:shd w:val="clear" w:color="auto" w:fill="9AB956"/>
          </w:tcPr>
          <w:p>
            <w:pPr>
              <w:spacing w:after="0"/>
              <w:rPr>
                <w:sz w:val="9"/>
                <w:szCs w:val="9"/>
                <w:color w:val="auto"/>
              </w:rPr>
            </w:pPr>
          </w:p>
        </w:tc>
        <w:tc>
          <w:tcPr>
            <w:tcW w:w="700" w:type="dxa"/>
            <w:vAlign w:val="bottom"/>
            <w:tcBorders>
              <w:top w:val="single" w:sz="8" w:color="auto"/>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rPr>
              <w:t>Number of</w:t>
            </w:r>
          </w:p>
        </w:tc>
        <w:tc>
          <w:tcPr>
            <w:tcW w:w="760" w:type="dxa"/>
            <w:vAlign w:val="bottom"/>
            <w:tcBorders>
              <w:top w:val="single" w:sz="8" w:color="auto"/>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7"/>
              </w:rPr>
              <w:t>Number of</w:t>
            </w:r>
          </w:p>
        </w:tc>
        <w:tc>
          <w:tcPr>
            <w:tcW w:w="760" w:type="dxa"/>
            <w:vAlign w:val="bottom"/>
            <w:tcBorders>
              <w:top w:val="single" w:sz="8" w:color="auto"/>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4"/>
              </w:rPr>
              <w:t>Equity</w:t>
            </w:r>
          </w:p>
        </w:tc>
        <w:tc>
          <w:tcPr>
            <w:tcW w:w="500" w:type="dxa"/>
            <w:vAlign w:val="bottom"/>
            <w:tcBorders>
              <w:top w:val="single" w:sz="8" w:color="auto"/>
              <w:right w:val="single" w:sz="8" w:color="9AB956"/>
            </w:tcBorders>
            <w:shd w:val="clear" w:color="auto" w:fill="9AB956"/>
          </w:tcPr>
          <w:p>
            <w:pPr>
              <w:jc w:val="center"/>
              <w:ind w:right="15"/>
              <w:spacing w:after="0"/>
              <w:rPr>
                <w:sz w:val="20"/>
                <w:szCs w:val="20"/>
                <w:color w:val="auto"/>
              </w:rPr>
            </w:pPr>
            <w:r>
              <w:rPr>
                <w:rFonts w:ascii="Arial" w:cs="Arial" w:eastAsia="Arial" w:hAnsi="Arial"/>
                <w:sz w:val="9"/>
                <w:szCs w:val="9"/>
                <w:b w:val="1"/>
                <w:bCs w:val="1"/>
                <w:color w:val="FFFFFF"/>
                <w:w w:val="96"/>
              </w:rPr>
              <w:t>Option</w:t>
            </w:r>
          </w:p>
        </w:tc>
        <w:tc>
          <w:tcPr>
            <w:tcW w:w="640" w:type="dxa"/>
            <w:vAlign w:val="bottom"/>
            <w:tcBorders>
              <w:top w:val="single" w:sz="8" w:color="auto"/>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Option</w:t>
            </w:r>
          </w:p>
        </w:tc>
        <w:tc>
          <w:tcPr>
            <w:tcW w:w="54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Number</w:t>
            </w:r>
          </w:p>
        </w:tc>
        <w:tc>
          <w:tcPr>
            <w:tcW w:w="60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Market</w:t>
            </w:r>
          </w:p>
        </w:tc>
        <w:tc>
          <w:tcPr>
            <w:tcW w:w="62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Equity</w:t>
            </w:r>
          </w:p>
        </w:tc>
        <w:tc>
          <w:tcPr>
            <w:tcW w:w="62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Equity</w:t>
            </w:r>
          </w:p>
        </w:tc>
        <w:tc>
          <w:tcPr>
            <w:tcW w:w="64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Equity</w:t>
            </w:r>
          </w:p>
        </w:tc>
        <w:tc>
          <w:tcPr>
            <w:tcW w:w="560" w:type="dxa"/>
            <w:vAlign w:val="bottom"/>
            <w:tcBorders>
              <w:top w:val="single" w:sz="8" w:color="auto"/>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Equity</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Securities</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7"/>
              </w:rPr>
              <w:t>Securities</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rPr>
              <w:t>Incentive Plans</w:t>
            </w:r>
          </w:p>
        </w:tc>
        <w:tc>
          <w:tcPr>
            <w:tcW w:w="500" w:type="dxa"/>
            <w:vAlign w:val="bottom"/>
            <w:tcBorders>
              <w:right w:val="single" w:sz="8" w:color="9AB956"/>
            </w:tcBorders>
            <w:shd w:val="clear" w:color="auto" w:fill="9AB956"/>
          </w:tcPr>
          <w:p>
            <w:pPr>
              <w:jc w:val="center"/>
              <w:ind w:right="15"/>
              <w:spacing w:after="0"/>
              <w:rPr>
                <w:sz w:val="20"/>
                <w:szCs w:val="20"/>
                <w:color w:val="auto"/>
              </w:rPr>
            </w:pPr>
            <w:r>
              <w:rPr>
                <w:rFonts w:ascii="Arial" w:cs="Arial" w:eastAsia="Arial" w:hAnsi="Arial"/>
                <w:sz w:val="9"/>
                <w:szCs w:val="9"/>
                <w:b w:val="1"/>
                <w:bCs w:val="1"/>
                <w:color w:val="FFFFFF"/>
                <w:w w:val="97"/>
              </w:rPr>
              <w:t>Exercise</w:t>
            </w:r>
          </w:p>
        </w:tc>
        <w:tc>
          <w:tcPr>
            <w:tcW w:w="64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Expiration</w:t>
            </w: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of Shares</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Value of</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Incentive</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Incentive</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Incentive</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Incentive</w:t>
            </w:r>
          </w:p>
        </w:tc>
        <w:tc>
          <w:tcPr>
            <w:tcW w:w="0" w:type="dxa"/>
            <w:vAlign w:val="bottom"/>
          </w:tcPr>
          <w:p>
            <w:pPr>
              <w:spacing w:after="0"/>
              <w:rPr>
                <w:sz w:val="1"/>
                <w:szCs w:val="1"/>
                <w:color w:val="auto"/>
              </w:rPr>
            </w:pPr>
          </w:p>
        </w:tc>
      </w:tr>
      <w:tr>
        <w:trPr>
          <w:trHeight w:val="113"/>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Underlying</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7"/>
              </w:rPr>
              <w:t>Underlying</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5"/>
              </w:rPr>
              <w:t>Awards:</w:t>
            </w:r>
          </w:p>
        </w:tc>
        <w:tc>
          <w:tcPr>
            <w:tcW w:w="5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Price</w:t>
            </w:r>
          </w:p>
        </w:tc>
        <w:tc>
          <w:tcPr>
            <w:tcW w:w="64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Date</w:t>
            </w: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or Units</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Shares or</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Plan</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Plan</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Plan</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Plan</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rPr>
              <w:t>Unexercised</w:t>
            </w:r>
          </w:p>
        </w:tc>
        <w:tc>
          <w:tcPr>
            <w:tcW w:w="760" w:type="dxa"/>
            <w:vAlign w:val="bottom"/>
            <w:tcBorders>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7"/>
              </w:rPr>
              <w:t>Unexercised</w:t>
            </w:r>
          </w:p>
        </w:tc>
        <w:tc>
          <w:tcPr>
            <w:tcW w:w="760" w:type="dxa"/>
            <w:vAlign w:val="bottom"/>
            <w:tcBorders>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7"/>
              </w:rPr>
              <w:t>Number of</w:t>
            </w: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of Stock</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Units of</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Awards:</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Awards:</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Awards:</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Awards:</w:t>
            </w:r>
          </w:p>
        </w:tc>
        <w:tc>
          <w:tcPr>
            <w:tcW w:w="0" w:type="dxa"/>
            <w:vAlign w:val="bottom"/>
          </w:tcPr>
          <w:p>
            <w:pPr>
              <w:spacing w:after="0"/>
              <w:rPr>
                <w:sz w:val="1"/>
                <w:szCs w:val="1"/>
                <w:color w:val="auto"/>
              </w:rPr>
            </w:pPr>
          </w:p>
        </w:tc>
      </w:tr>
      <w:tr>
        <w:trPr>
          <w:trHeight w:val="113"/>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Options</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9"/>
              </w:rPr>
              <w:t>Options</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7"/>
              </w:rPr>
              <w:t>Securities</w:t>
            </w: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That Have</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Stock That</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Number of</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Number of</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Market or</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Market or</w:t>
            </w:r>
          </w:p>
        </w:tc>
        <w:tc>
          <w:tcPr>
            <w:tcW w:w="0" w:type="dxa"/>
            <w:vAlign w:val="bottom"/>
          </w:tcPr>
          <w:p>
            <w:pPr>
              <w:spacing w:after="0"/>
              <w:rPr>
                <w:sz w:val="1"/>
                <w:szCs w:val="1"/>
                <w:color w:val="auto"/>
              </w:rPr>
            </w:pPr>
          </w:p>
        </w:tc>
      </w:tr>
      <w:tr>
        <w:trPr>
          <w:trHeight w:val="111"/>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Exercisable</w:t>
            </w:r>
          </w:p>
        </w:tc>
        <w:tc>
          <w:tcPr>
            <w:tcW w:w="760" w:type="dxa"/>
            <w:vAlign w:val="bottom"/>
            <w:tcBorders>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8"/>
              </w:rPr>
              <w:t>Unexercisable</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7"/>
              </w:rPr>
              <w:t>Underlying</w:t>
            </w: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3"/>
              </w:rPr>
              <w:t>Not</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Have not</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Unearned</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Shares,</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Payout Value</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Payout</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440" w:type="dxa"/>
            <w:vAlign w:val="bottom"/>
            <w:tcBorders>
              <w:right w:val="single" w:sz="8" w:color="9AB956"/>
            </w:tcBorders>
            <w:shd w:val="clear" w:color="auto" w:fill="9AB956"/>
          </w:tcPr>
          <w:p>
            <w:pPr>
              <w:jc w:val="center"/>
              <w:ind w:left="175"/>
              <w:spacing w:after="0"/>
              <w:rPr>
                <w:sz w:val="20"/>
                <w:szCs w:val="20"/>
                <w:color w:val="auto"/>
              </w:rPr>
            </w:pPr>
            <w:r>
              <w:rPr>
                <w:rFonts w:ascii="Arial" w:cs="Arial" w:eastAsia="Arial" w:hAnsi="Arial"/>
                <w:sz w:val="9"/>
                <w:szCs w:val="9"/>
                <w:b w:val="1"/>
                <w:bCs w:val="1"/>
                <w:color w:val="FFFFFF"/>
                <w:w w:val="90"/>
              </w:rPr>
              <w:t>($)</w:t>
            </w:r>
          </w:p>
        </w:tc>
        <w:tc>
          <w:tcPr>
            <w:tcW w:w="260" w:type="dxa"/>
            <w:vAlign w:val="bottom"/>
            <w:tcBorders>
              <w:right w:val="single" w:sz="8" w:color="9AB956"/>
            </w:tcBorders>
            <w:shd w:val="clear" w:color="auto" w:fill="9AB956"/>
          </w:tcPr>
          <w:p>
            <w:pPr>
              <w:spacing w:after="0"/>
              <w:rPr>
                <w:sz w:val="10"/>
                <w:szCs w:val="10"/>
                <w:color w:val="auto"/>
              </w:rPr>
            </w:pPr>
          </w:p>
        </w:tc>
        <w:tc>
          <w:tcPr>
            <w:tcW w:w="480" w:type="dxa"/>
            <w:vAlign w:val="bottom"/>
            <w:tcBorders>
              <w:right w:val="single" w:sz="8" w:color="9AB956"/>
            </w:tcBorders>
            <w:shd w:val="clear" w:color="auto" w:fill="9AB956"/>
          </w:tcPr>
          <w:p>
            <w:pPr>
              <w:spacing w:after="0"/>
              <w:rPr>
                <w:sz w:val="10"/>
                <w:szCs w:val="10"/>
                <w:color w:val="auto"/>
              </w:rPr>
            </w:pPr>
          </w:p>
        </w:tc>
        <w:tc>
          <w:tcPr>
            <w:tcW w:w="280" w:type="dxa"/>
            <w:vAlign w:val="bottom"/>
            <w:tcBorders>
              <w:right w:val="single" w:sz="8" w:color="9AB956"/>
            </w:tcBorders>
            <w:shd w:val="clear" w:color="auto" w:fill="9AB956"/>
          </w:tcPr>
          <w:p>
            <w:pPr>
              <w:spacing w:after="0"/>
              <w:rPr>
                <w:sz w:val="10"/>
                <w:szCs w:val="10"/>
                <w:color w:val="auto"/>
              </w:rPr>
            </w:pPr>
          </w:p>
        </w:tc>
        <w:tc>
          <w:tcPr>
            <w:tcW w:w="760" w:type="dxa"/>
            <w:vAlign w:val="bottom"/>
            <w:tcBorders>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8"/>
              </w:rPr>
              <w:t>Unexercisable</w:t>
            </w: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Vested</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Vested</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Shares,</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Units or</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of Unearned</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Value of</w:t>
            </w:r>
          </w:p>
        </w:tc>
        <w:tc>
          <w:tcPr>
            <w:tcW w:w="0" w:type="dxa"/>
            <w:vAlign w:val="bottom"/>
          </w:tcPr>
          <w:p>
            <w:pPr>
              <w:spacing w:after="0"/>
              <w:rPr>
                <w:sz w:val="1"/>
                <w:szCs w:val="1"/>
                <w:color w:val="auto"/>
              </w:rPr>
            </w:pPr>
          </w:p>
        </w:tc>
      </w:tr>
      <w:tr>
        <w:trPr>
          <w:trHeight w:val="113"/>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440" w:type="dxa"/>
            <w:vAlign w:val="bottom"/>
            <w:tcBorders>
              <w:right w:val="single" w:sz="8" w:color="9AB956"/>
            </w:tcBorders>
            <w:shd w:val="clear" w:color="auto" w:fill="9AB956"/>
          </w:tcPr>
          <w:p>
            <w:pPr>
              <w:spacing w:after="0"/>
              <w:rPr>
                <w:sz w:val="9"/>
                <w:szCs w:val="9"/>
                <w:color w:val="auto"/>
              </w:rPr>
            </w:pPr>
          </w:p>
        </w:tc>
        <w:tc>
          <w:tcPr>
            <w:tcW w:w="260" w:type="dxa"/>
            <w:vAlign w:val="bottom"/>
            <w:tcBorders>
              <w:right w:val="single" w:sz="8" w:color="9AB956"/>
            </w:tcBorders>
            <w:shd w:val="clear" w:color="auto" w:fill="9AB956"/>
          </w:tcPr>
          <w:p>
            <w:pPr>
              <w:spacing w:after="0"/>
              <w:rPr>
                <w:sz w:val="9"/>
                <w:szCs w:val="9"/>
                <w:color w:val="auto"/>
              </w:rPr>
            </w:pPr>
          </w:p>
        </w:tc>
        <w:tc>
          <w:tcPr>
            <w:tcW w:w="480" w:type="dxa"/>
            <w:vAlign w:val="bottom"/>
            <w:tcBorders>
              <w:right w:val="single" w:sz="8" w:color="9AB956"/>
            </w:tcBorders>
            <w:shd w:val="clear" w:color="auto" w:fill="9AB956"/>
          </w:tcPr>
          <w:p>
            <w:pPr>
              <w:spacing w:after="0"/>
              <w:rPr>
                <w:sz w:val="9"/>
                <w:szCs w:val="9"/>
                <w:color w:val="auto"/>
              </w:rPr>
            </w:pPr>
          </w:p>
        </w:tc>
        <w:tc>
          <w:tcPr>
            <w:tcW w:w="280" w:type="dxa"/>
            <w:vAlign w:val="bottom"/>
            <w:tcBorders>
              <w:right w:val="single" w:sz="8" w:color="9AB956"/>
            </w:tcBorders>
            <w:shd w:val="clear" w:color="auto" w:fill="9AB956"/>
          </w:tcPr>
          <w:p>
            <w:pPr>
              <w:spacing w:after="0"/>
              <w:rPr>
                <w:sz w:val="9"/>
                <w:szCs w:val="9"/>
                <w:color w:val="auto"/>
              </w:rPr>
            </w:pP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0"/>
              </w:rPr>
              <w:t>($)</w:t>
            </w: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spacing w:after="0"/>
              <w:rPr>
                <w:sz w:val="9"/>
                <w:szCs w:val="9"/>
                <w:color w:val="auto"/>
              </w:rPr>
            </w:pPr>
          </w:p>
        </w:tc>
        <w:tc>
          <w:tcPr>
            <w:tcW w:w="600" w:type="dxa"/>
            <w:vAlign w:val="bottom"/>
            <w:tcBorders>
              <w:right w:val="single" w:sz="8" w:color="9AB956"/>
            </w:tcBorders>
            <w:shd w:val="clear" w:color="auto" w:fill="9AB956"/>
          </w:tcPr>
          <w:p>
            <w:pPr>
              <w:spacing w:after="0"/>
              <w:rPr>
                <w:sz w:val="9"/>
                <w:szCs w:val="9"/>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Units or</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1"/>
              </w:rPr>
              <w:t>Other</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Shares,</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Shares,</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440" w:type="dxa"/>
            <w:vAlign w:val="bottom"/>
            <w:tcBorders>
              <w:right w:val="single" w:sz="8" w:color="9AB956"/>
            </w:tcBorders>
            <w:shd w:val="clear" w:color="auto" w:fill="9AB956"/>
          </w:tcPr>
          <w:p>
            <w:pPr>
              <w:spacing w:after="0"/>
              <w:rPr>
                <w:sz w:val="10"/>
                <w:szCs w:val="10"/>
                <w:color w:val="auto"/>
              </w:rPr>
            </w:pPr>
          </w:p>
        </w:tc>
        <w:tc>
          <w:tcPr>
            <w:tcW w:w="260" w:type="dxa"/>
            <w:vAlign w:val="bottom"/>
            <w:tcBorders>
              <w:right w:val="single" w:sz="8" w:color="9AB956"/>
            </w:tcBorders>
            <w:shd w:val="clear" w:color="auto" w:fill="9AB956"/>
          </w:tcPr>
          <w:p>
            <w:pPr>
              <w:spacing w:after="0"/>
              <w:rPr>
                <w:sz w:val="10"/>
                <w:szCs w:val="10"/>
                <w:color w:val="auto"/>
              </w:rPr>
            </w:pPr>
          </w:p>
        </w:tc>
        <w:tc>
          <w:tcPr>
            <w:tcW w:w="480" w:type="dxa"/>
            <w:vAlign w:val="bottom"/>
            <w:tcBorders>
              <w:right w:val="single" w:sz="8" w:color="9AB956"/>
            </w:tcBorders>
            <w:shd w:val="clear" w:color="auto" w:fill="9AB956"/>
          </w:tcPr>
          <w:p>
            <w:pPr>
              <w:spacing w:after="0"/>
              <w:rPr>
                <w:sz w:val="10"/>
                <w:szCs w:val="10"/>
                <w:color w:val="auto"/>
              </w:rPr>
            </w:pPr>
          </w:p>
        </w:tc>
        <w:tc>
          <w:tcPr>
            <w:tcW w:w="280" w:type="dxa"/>
            <w:vAlign w:val="bottom"/>
            <w:tcBorders>
              <w:right w:val="single" w:sz="8" w:color="9AB956"/>
            </w:tcBorders>
            <w:shd w:val="clear" w:color="auto" w:fill="9AB956"/>
          </w:tcPr>
          <w:p>
            <w:pPr>
              <w:spacing w:after="0"/>
              <w:rPr>
                <w:sz w:val="10"/>
                <w:szCs w:val="10"/>
                <w:color w:val="auto"/>
              </w:rPr>
            </w:pPr>
          </w:p>
        </w:tc>
        <w:tc>
          <w:tcPr>
            <w:tcW w:w="340" w:type="dxa"/>
            <w:vAlign w:val="bottom"/>
            <w:tcBorders>
              <w:right w:val="single" w:sz="8" w:color="9AB956"/>
            </w:tcBorders>
            <w:shd w:val="clear" w:color="auto" w:fill="9AB956"/>
          </w:tcPr>
          <w:p>
            <w:pPr>
              <w:spacing w:after="0"/>
              <w:rPr>
                <w:sz w:val="10"/>
                <w:szCs w:val="10"/>
                <w:color w:val="auto"/>
              </w:rPr>
            </w:pPr>
          </w:p>
        </w:tc>
        <w:tc>
          <w:tcPr>
            <w:tcW w:w="420" w:type="dxa"/>
            <w:vAlign w:val="bottom"/>
            <w:tcBorders>
              <w:right w:val="single" w:sz="8" w:color="9AB956"/>
            </w:tcBorders>
            <w:shd w:val="clear" w:color="auto" w:fill="9AB956"/>
          </w:tcPr>
          <w:p>
            <w:pPr>
              <w:spacing w:after="0"/>
              <w:rPr>
                <w:sz w:val="10"/>
                <w:szCs w:val="10"/>
                <w:color w:val="auto"/>
              </w:rPr>
            </w:pP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spacing w:after="0"/>
              <w:rPr>
                <w:sz w:val="10"/>
                <w:szCs w:val="10"/>
                <w:color w:val="auto"/>
              </w:rPr>
            </w:pPr>
          </w:p>
        </w:tc>
        <w:tc>
          <w:tcPr>
            <w:tcW w:w="600" w:type="dxa"/>
            <w:vAlign w:val="bottom"/>
            <w:tcBorders>
              <w:right w:val="single" w:sz="8" w:color="9AB956"/>
            </w:tcBorders>
            <w:shd w:val="clear" w:color="auto" w:fill="9AB956"/>
          </w:tcPr>
          <w:p>
            <w:pPr>
              <w:spacing w:after="0"/>
              <w:rPr>
                <w:sz w:val="10"/>
                <w:szCs w:val="10"/>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Other</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Rights That</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Units or</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Units or</w:t>
            </w:r>
          </w:p>
        </w:tc>
        <w:tc>
          <w:tcPr>
            <w:tcW w:w="0" w:type="dxa"/>
            <w:vAlign w:val="bottom"/>
          </w:tcPr>
          <w:p>
            <w:pPr>
              <w:spacing w:after="0"/>
              <w:rPr>
                <w:sz w:val="1"/>
                <w:szCs w:val="1"/>
                <w:color w:val="auto"/>
              </w:rPr>
            </w:pPr>
          </w:p>
        </w:tc>
      </w:tr>
      <w:tr>
        <w:trPr>
          <w:trHeight w:val="113"/>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440" w:type="dxa"/>
            <w:vAlign w:val="bottom"/>
            <w:tcBorders>
              <w:right w:val="single" w:sz="8" w:color="9AB956"/>
            </w:tcBorders>
            <w:shd w:val="clear" w:color="auto" w:fill="9AB956"/>
          </w:tcPr>
          <w:p>
            <w:pPr>
              <w:spacing w:after="0"/>
              <w:rPr>
                <w:sz w:val="9"/>
                <w:szCs w:val="9"/>
                <w:color w:val="auto"/>
              </w:rPr>
            </w:pPr>
          </w:p>
        </w:tc>
        <w:tc>
          <w:tcPr>
            <w:tcW w:w="260" w:type="dxa"/>
            <w:vAlign w:val="bottom"/>
            <w:tcBorders>
              <w:right w:val="single" w:sz="8" w:color="9AB956"/>
            </w:tcBorders>
            <w:shd w:val="clear" w:color="auto" w:fill="9AB956"/>
          </w:tcPr>
          <w:p>
            <w:pPr>
              <w:spacing w:after="0"/>
              <w:rPr>
                <w:sz w:val="9"/>
                <w:szCs w:val="9"/>
                <w:color w:val="auto"/>
              </w:rPr>
            </w:pPr>
          </w:p>
        </w:tc>
        <w:tc>
          <w:tcPr>
            <w:tcW w:w="480" w:type="dxa"/>
            <w:vAlign w:val="bottom"/>
            <w:tcBorders>
              <w:right w:val="single" w:sz="8" w:color="9AB956"/>
            </w:tcBorders>
            <w:shd w:val="clear" w:color="auto" w:fill="9AB956"/>
          </w:tcPr>
          <w:p>
            <w:pPr>
              <w:spacing w:after="0"/>
              <w:rPr>
                <w:sz w:val="9"/>
                <w:szCs w:val="9"/>
                <w:color w:val="auto"/>
              </w:rPr>
            </w:pPr>
          </w:p>
        </w:tc>
        <w:tc>
          <w:tcPr>
            <w:tcW w:w="280" w:type="dxa"/>
            <w:vAlign w:val="bottom"/>
            <w:tcBorders>
              <w:right w:val="single" w:sz="8" w:color="9AB956"/>
            </w:tcBorders>
            <w:shd w:val="clear" w:color="auto" w:fill="9AB956"/>
          </w:tcPr>
          <w:p>
            <w:pPr>
              <w:spacing w:after="0"/>
              <w:rPr>
                <w:sz w:val="9"/>
                <w:szCs w:val="9"/>
                <w:color w:val="auto"/>
              </w:rPr>
            </w:pPr>
          </w:p>
        </w:tc>
        <w:tc>
          <w:tcPr>
            <w:tcW w:w="340" w:type="dxa"/>
            <w:vAlign w:val="bottom"/>
            <w:tcBorders>
              <w:right w:val="single" w:sz="8" w:color="9AB956"/>
            </w:tcBorders>
            <w:shd w:val="clear" w:color="auto" w:fill="9AB956"/>
          </w:tcPr>
          <w:p>
            <w:pPr>
              <w:spacing w:after="0"/>
              <w:rPr>
                <w:sz w:val="9"/>
                <w:szCs w:val="9"/>
                <w:color w:val="auto"/>
              </w:rPr>
            </w:pPr>
          </w:p>
        </w:tc>
        <w:tc>
          <w:tcPr>
            <w:tcW w:w="420" w:type="dxa"/>
            <w:vAlign w:val="bottom"/>
            <w:tcBorders>
              <w:right w:val="single" w:sz="8" w:color="9AB956"/>
            </w:tcBorders>
            <w:shd w:val="clear" w:color="auto" w:fill="9AB956"/>
          </w:tcPr>
          <w:p>
            <w:pPr>
              <w:spacing w:after="0"/>
              <w:rPr>
                <w:sz w:val="9"/>
                <w:szCs w:val="9"/>
                <w:color w:val="auto"/>
              </w:rPr>
            </w:pP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spacing w:after="0"/>
              <w:rPr>
                <w:sz w:val="9"/>
                <w:szCs w:val="9"/>
                <w:color w:val="auto"/>
              </w:rPr>
            </w:pPr>
          </w:p>
        </w:tc>
        <w:tc>
          <w:tcPr>
            <w:tcW w:w="600" w:type="dxa"/>
            <w:vAlign w:val="bottom"/>
            <w:tcBorders>
              <w:right w:val="single" w:sz="8" w:color="9AB956"/>
            </w:tcBorders>
            <w:shd w:val="clear" w:color="auto" w:fill="9AB956"/>
          </w:tcPr>
          <w:p>
            <w:pPr>
              <w:spacing w:after="0"/>
              <w:rPr>
                <w:sz w:val="9"/>
                <w:szCs w:val="9"/>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Rights That</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Have Vested</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Other Rights</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Other</w:t>
            </w:r>
          </w:p>
        </w:tc>
        <w:tc>
          <w:tcPr>
            <w:tcW w:w="0" w:type="dxa"/>
            <w:vAlign w:val="bottom"/>
          </w:tcPr>
          <w:p>
            <w:pPr>
              <w:spacing w:after="0"/>
              <w:rPr>
                <w:sz w:val="1"/>
                <w:szCs w:val="1"/>
                <w:color w:val="auto"/>
              </w:rPr>
            </w:pPr>
          </w:p>
        </w:tc>
      </w:tr>
      <w:tr>
        <w:trPr>
          <w:trHeight w:val="111"/>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440" w:type="dxa"/>
            <w:vAlign w:val="bottom"/>
            <w:tcBorders>
              <w:right w:val="single" w:sz="8" w:color="9AB956"/>
            </w:tcBorders>
            <w:shd w:val="clear" w:color="auto" w:fill="9AB956"/>
          </w:tcPr>
          <w:p>
            <w:pPr>
              <w:spacing w:after="0"/>
              <w:rPr>
                <w:sz w:val="9"/>
                <w:szCs w:val="9"/>
                <w:color w:val="auto"/>
              </w:rPr>
            </w:pPr>
          </w:p>
        </w:tc>
        <w:tc>
          <w:tcPr>
            <w:tcW w:w="260" w:type="dxa"/>
            <w:vAlign w:val="bottom"/>
            <w:tcBorders>
              <w:right w:val="single" w:sz="8" w:color="9AB956"/>
            </w:tcBorders>
            <w:shd w:val="clear" w:color="auto" w:fill="9AB956"/>
          </w:tcPr>
          <w:p>
            <w:pPr>
              <w:spacing w:after="0"/>
              <w:rPr>
                <w:sz w:val="9"/>
                <w:szCs w:val="9"/>
                <w:color w:val="auto"/>
              </w:rPr>
            </w:pPr>
          </w:p>
        </w:tc>
        <w:tc>
          <w:tcPr>
            <w:tcW w:w="480" w:type="dxa"/>
            <w:vAlign w:val="bottom"/>
            <w:tcBorders>
              <w:right w:val="single" w:sz="8" w:color="9AB956"/>
            </w:tcBorders>
            <w:shd w:val="clear" w:color="auto" w:fill="9AB956"/>
          </w:tcPr>
          <w:p>
            <w:pPr>
              <w:spacing w:after="0"/>
              <w:rPr>
                <w:sz w:val="9"/>
                <w:szCs w:val="9"/>
                <w:color w:val="auto"/>
              </w:rPr>
            </w:pPr>
          </w:p>
        </w:tc>
        <w:tc>
          <w:tcPr>
            <w:tcW w:w="280" w:type="dxa"/>
            <w:vAlign w:val="bottom"/>
            <w:tcBorders>
              <w:right w:val="single" w:sz="8" w:color="9AB956"/>
            </w:tcBorders>
            <w:shd w:val="clear" w:color="auto" w:fill="9AB956"/>
          </w:tcPr>
          <w:p>
            <w:pPr>
              <w:spacing w:after="0"/>
              <w:rPr>
                <w:sz w:val="9"/>
                <w:szCs w:val="9"/>
                <w:color w:val="auto"/>
              </w:rPr>
            </w:pPr>
          </w:p>
        </w:tc>
        <w:tc>
          <w:tcPr>
            <w:tcW w:w="340" w:type="dxa"/>
            <w:vAlign w:val="bottom"/>
            <w:tcBorders>
              <w:right w:val="single" w:sz="8" w:color="9AB956"/>
            </w:tcBorders>
            <w:shd w:val="clear" w:color="auto" w:fill="9AB956"/>
          </w:tcPr>
          <w:p>
            <w:pPr>
              <w:spacing w:after="0"/>
              <w:rPr>
                <w:sz w:val="9"/>
                <w:szCs w:val="9"/>
                <w:color w:val="auto"/>
              </w:rPr>
            </w:pPr>
          </w:p>
        </w:tc>
        <w:tc>
          <w:tcPr>
            <w:tcW w:w="420" w:type="dxa"/>
            <w:vAlign w:val="bottom"/>
            <w:tcBorders>
              <w:right w:val="single" w:sz="8" w:color="9AB956"/>
            </w:tcBorders>
            <w:shd w:val="clear" w:color="auto" w:fill="9AB956"/>
          </w:tcPr>
          <w:p>
            <w:pPr>
              <w:spacing w:after="0"/>
              <w:rPr>
                <w:sz w:val="9"/>
                <w:szCs w:val="9"/>
                <w:color w:val="auto"/>
              </w:rPr>
            </w:pP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spacing w:after="0"/>
              <w:rPr>
                <w:sz w:val="9"/>
                <w:szCs w:val="9"/>
                <w:color w:val="auto"/>
              </w:rPr>
            </w:pPr>
          </w:p>
        </w:tc>
        <w:tc>
          <w:tcPr>
            <w:tcW w:w="600" w:type="dxa"/>
            <w:vAlign w:val="bottom"/>
            <w:tcBorders>
              <w:right w:val="single" w:sz="8" w:color="9AB956"/>
            </w:tcBorders>
            <w:shd w:val="clear" w:color="auto" w:fill="9AB956"/>
          </w:tcPr>
          <w:p>
            <w:pPr>
              <w:spacing w:after="0"/>
              <w:rPr>
                <w:sz w:val="9"/>
                <w:szCs w:val="9"/>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Have Not</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3"/>
              </w:rPr>
              <w:t>and are</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That Have</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Rights</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440" w:type="dxa"/>
            <w:vAlign w:val="bottom"/>
            <w:tcBorders>
              <w:right w:val="single" w:sz="8" w:color="9AB956"/>
            </w:tcBorders>
            <w:shd w:val="clear" w:color="auto" w:fill="9AB956"/>
          </w:tcPr>
          <w:p>
            <w:pPr>
              <w:spacing w:after="0"/>
              <w:rPr>
                <w:sz w:val="10"/>
                <w:szCs w:val="10"/>
                <w:color w:val="auto"/>
              </w:rPr>
            </w:pPr>
          </w:p>
        </w:tc>
        <w:tc>
          <w:tcPr>
            <w:tcW w:w="260" w:type="dxa"/>
            <w:vAlign w:val="bottom"/>
            <w:tcBorders>
              <w:right w:val="single" w:sz="8" w:color="9AB956"/>
            </w:tcBorders>
            <w:shd w:val="clear" w:color="auto" w:fill="9AB956"/>
          </w:tcPr>
          <w:p>
            <w:pPr>
              <w:spacing w:after="0"/>
              <w:rPr>
                <w:sz w:val="10"/>
                <w:szCs w:val="10"/>
                <w:color w:val="auto"/>
              </w:rPr>
            </w:pPr>
          </w:p>
        </w:tc>
        <w:tc>
          <w:tcPr>
            <w:tcW w:w="480" w:type="dxa"/>
            <w:vAlign w:val="bottom"/>
            <w:tcBorders>
              <w:right w:val="single" w:sz="8" w:color="9AB956"/>
            </w:tcBorders>
            <w:shd w:val="clear" w:color="auto" w:fill="9AB956"/>
          </w:tcPr>
          <w:p>
            <w:pPr>
              <w:spacing w:after="0"/>
              <w:rPr>
                <w:sz w:val="10"/>
                <w:szCs w:val="10"/>
                <w:color w:val="auto"/>
              </w:rPr>
            </w:pPr>
          </w:p>
        </w:tc>
        <w:tc>
          <w:tcPr>
            <w:tcW w:w="280" w:type="dxa"/>
            <w:vAlign w:val="bottom"/>
            <w:tcBorders>
              <w:right w:val="single" w:sz="8" w:color="9AB956"/>
            </w:tcBorders>
            <w:shd w:val="clear" w:color="auto" w:fill="9AB956"/>
          </w:tcPr>
          <w:p>
            <w:pPr>
              <w:spacing w:after="0"/>
              <w:rPr>
                <w:sz w:val="10"/>
                <w:szCs w:val="10"/>
                <w:color w:val="auto"/>
              </w:rPr>
            </w:pPr>
          </w:p>
        </w:tc>
        <w:tc>
          <w:tcPr>
            <w:tcW w:w="340" w:type="dxa"/>
            <w:vAlign w:val="bottom"/>
            <w:tcBorders>
              <w:right w:val="single" w:sz="8" w:color="9AB956"/>
            </w:tcBorders>
            <w:shd w:val="clear" w:color="auto" w:fill="9AB956"/>
          </w:tcPr>
          <w:p>
            <w:pPr>
              <w:spacing w:after="0"/>
              <w:rPr>
                <w:sz w:val="10"/>
                <w:szCs w:val="10"/>
                <w:color w:val="auto"/>
              </w:rPr>
            </w:pPr>
          </w:p>
        </w:tc>
        <w:tc>
          <w:tcPr>
            <w:tcW w:w="420" w:type="dxa"/>
            <w:vAlign w:val="bottom"/>
            <w:tcBorders>
              <w:right w:val="single" w:sz="8" w:color="9AB956"/>
            </w:tcBorders>
            <w:shd w:val="clear" w:color="auto" w:fill="9AB956"/>
          </w:tcPr>
          <w:p>
            <w:pPr>
              <w:spacing w:after="0"/>
              <w:rPr>
                <w:sz w:val="10"/>
                <w:szCs w:val="10"/>
                <w:color w:val="auto"/>
              </w:rPr>
            </w:pP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spacing w:after="0"/>
              <w:rPr>
                <w:sz w:val="10"/>
                <w:szCs w:val="10"/>
                <w:color w:val="auto"/>
              </w:rPr>
            </w:pPr>
          </w:p>
        </w:tc>
        <w:tc>
          <w:tcPr>
            <w:tcW w:w="600" w:type="dxa"/>
            <w:vAlign w:val="bottom"/>
            <w:tcBorders>
              <w:right w:val="single" w:sz="8" w:color="9AB956"/>
            </w:tcBorders>
            <w:shd w:val="clear" w:color="auto" w:fill="9AB956"/>
          </w:tcPr>
          <w:p>
            <w:pPr>
              <w:spacing w:after="0"/>
              <w:rPr>
                <w:sz w:val="10"/>
                <w:szCs w:val="10"/>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Vested</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Exercisable</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Not Vested</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That Have</w:t>
            </w:r>
          </w:p>
        </w:tc>
        <w:tc>
          <w:tcPr>
            <w:tcW w:w="0" w:type="dxa"/>
            <w:vAlign w:val="bottom"/>
          </w:tcPr>
          <w:p>
            <w:pPr>
              <w:spacing w:after="0"/>
              <w:rPr>
                <w:sz w:val="1"/>
                <w:szCs w:val="1"/>
                <w:color w:val="auto"/>
              </w:rPr>
            </w:pPr>
          </w:p>
        </w:tc>
      </w:tr>
      <w:tr>
        <w:trPr>
          <w:trHeight w:val="122"/>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440" w:type="dxa"/>
            <w:vAlign w:val="bottom"/>
            <w:tcBorders>
              <w:right w:val="single" w:sz="8" w:color="9AB956"/>
            </w:tcBorders>
            <w:shd w:val="clear" w:color="auto" w:fill="9AB956"/>
          </w:tcPr>
          <w:p>
            <w:pPr>
              <w:spacing w:after="0"/>
              <w:rPr>
                <w:sz w:val="10"/>
                <w:szCs w:val="10"/>
                <w:color w:val="auto"/>
              </w:rPr>
            </w:pPr>
          </w:p>
        </w:tc>
        <w:tc>
          <w:tcPr>
            <w:tcW w:w="260" w:type="dxa"/>
            <w:vAlign w:val="bottom"/>
            <w:tcBorders>
              <w:right w:val="single" w:sz="8" w:color="9AB956"/>
            </w:tcBorders>
            <w:shd w:val="clear" w:color="auto" w:fill="9AB956"/>
          </w:tcPr>
          <w:p>
            <w:pPr>
              <w:spacing w:after="0"/>
              <w:rPr>
                <w:sz w:val="10"/>
                <w:szCs w:val="10"/>
                <w:color w:val="auto"/>
              </w:rPr>
            </w:pPr>
          </w:p>
        </w:tc>
        <w:tc>
          <w:tcPr>
            <w:tcW w:w="480" w:type="dxa"/>
            <w:vAlign w:val="bottom"/>
            <w:tcBorders>
              <w:right w:val="single" w:sz="8" w:color="9AB956"/>
            </w:tcBorders>
            <w:shd w:val="clear" w:color="auto" w:fill="9AB956"/>
          </w:tcPr>
          <w:p>
            <w:pPr>
              <w:spacing w:after="0"/>
              <w:rPr>
                <w:sz w:val="10"/>
                <w:szCs w:val="10"/>
                <w:color w:val="auto"/>
              </w:rPr>
            </w:pPr>
          </w:p>
        </w:tc>
        <w:tc>
          <w:tcPr>
            <w:tcW w:w="280" w:type="dxa"/>
            <w:vAlign w:val="bottom"/>
            <w:tcBorders>
              <w:right w:val="single" w:sz="8" w:color="9AB956"/>
            </w:tcBorders>
            <w:shd w:val="clear" w:color="auto" w:fill="9AB956"/>
          </w:tcPr>
          <w:p>
            <w:pPr>
              <w:spacing w:after="0"/>
              <w:rPr>
                <w:sz w:val="10"/>
                <w:szCs w:val="10"/>
                <w:color w:val="auto"/>
              </w:rPr>
            </w:pPr>
          </w:p>
        </w:tc>
        <w:tc>
          <w:tcPr>
            <w:tcW w:w="340" w:type="dxa"/>
            <w:vAlign w:val="bottom"/>
            <w:tcBorders>
              <w:right w:val="single" w:sz="8" w:color="9AB956"/>
            </w:tcBorders>
            <w:shd w:val="clear" w:color="auto" w:fill="9AB956"/>
          </w:tcPr>
          <w:p>
            <w:pPr>
              <w:spacing w:after="0"/>
              <w:rPr>
                <w:sz w:val="10"/>
                <w:szCs w:val="10"/>
                <w:color w:val="auto"/>
              </w:rPr>
            </w:pPr>
          </w:p>
        </w:tc>
        <w:tc>
          <w:tcPr>
            <w:tcW w:w="420" w:type="dxa"/>
            <w:vAlign w:val="bottom"/>
            <w:tcBorders>
              <w:right w:val="single" w:sz="8" w:color="9AB956"/>
            </w:tcBorders>
            <w:shd w:val="clear" w:color="auto" w:fill="9AB956"/>
          </w:tcPr>
          <w:p>
            <w:pPr>
              <w:spacing w:after="0"/>
              <w:rPr>
                <w:sz w:val="10"/>
                <w:szCs w:val="10"/>
                <w:color w:val="auto"/>
              </w:rPr>
            </w:pP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spacing w:after="0"/>
              <w:rPr>
                <w:sz w:val="10"/>
                <w:szCs w:val="10"/>
                <w:color w:val="auto"/>
              </w:rPr>
            </w:pPr>
          </w:p>
        </w:tc>
        <w:tc>
          <w:tcPr>
            <w:tcW w:w="600" w:type="dxa"/>
            <w:vAlign w:val="bottom"/>
            <w:tcBorders>
              <w:right w:val="single" w:sz="8" w:color="9AB956"/>
            </w:tcBorders>
            <w:shd w:val="clear" w:color="auto" w:fill="9AB956"/>
          </w:tcPr>
          <w:p>
            <w:pPr>
              <w:spacing w:after="0"/>
              <w:rPr>
                <w:sz w:val="10"/>
                <w:szCs w:val="10"/>
                <w:color w:val="auto"/>
              </w:rPr>
            </w:pPr>
          </w:p>
        </w:tc>
        <w:tc>
          <w:tcPr>
            <w:tcW w:w="620" w:type="dxa"/>
            <w:vAlign w:val="bottom"/>
            <w:tcBorders>
              <w:right w:val="single" w:sz="8" w:color="9AB956"/>
            </w:tcBorders>
            <w:shd w:val="clear" w:color="auto" w:fill="9AB956"/>
          </w:tcPr>
          <w:p>
            <w:pPr>
              <w:spacing w:after="0"/>
              <w:rPr>
                <w:sz w:val="10"/>
                <w:szCs w:val="10"/>
                <w:color w:val="auto"/>
              </w:rPr>
            </w:pPr>
          </w:p>
        </w:tc>
        <w:tc>
          <w:tcPr>
            <w:tcW w:w="62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9AB956"/>
            </w:tcBorders>
            <w:shd w:val="clear" w:color="auto" w:fill="9AB956"/>
          </w:tcPr>
          <w:p>
            <w:pPr>
              <w:spacing w:after="0"/>
              <w:rPr>
                <w:sz w:val="10"/>
                <w:szCs w:val="10"/>
                <w:color w:val="auto"/>
              </w:rPr>
            </w:pP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Vested</w:t>
            </w:r>
          </w:p>
        </w:tc>
        <w:tc>
          <w:tcPr>
            <w:tcW w:w="0" w:type="dxa"/>
            <w:vAlign w:val="bottom"/>
          </w:tcPr>
          <w:p>
            <w:pPr>
              <w:spacing w:after="0"/>
              <w:rPr>
                <w:sz w:val="1"/>
                <w:szCs w:val="1"/>
                <w:color w:val="auto"/>
              </w:rPr>
            </w:pPr>
          </w:p>
        </w:tc>
      </w:tr>
      <w:tr>
        <w:trPr>
          <w:trHeight w:val="185"/>
        </w:trPr>
        <w:tc>
          <w:tcPr>
            <w:tcW w:w="1340" w:type="dxa"/>
            <w:vAlign w:val="bottom"/>
            <w:tcBorders>
              <w:left w:val="single" w:sz="8" w:color="auto"/>
              <w:bottom w:val="single" w:sz="8" w:color="9AB956"/>
              <w:right w:val="single" w:sz="8" w:color="9AB956"/>
            </w:tcBorders>
            <w:shd w:val="clear" w:color="auto" w:fill="9AB956"/>
          </w:tcPr>
          <w:p>
            <w:pPr>
              <w:spacing w:after="0"/>
              <w:rPr>
                <w:sz w:val="15"/>
                <w:szCs w:val="15"/>
                <w:color w:val="auto"/>
              </w:rPr>
            </w:pPr>
          </w:p>
        </w:tc>
        <w:tc>
          <w:tcPr>
            <w:tcW w:w="240" w:type="dxa"/>
            <w:vAlign w:val="bottom"/>
            <w:tcBorders>
              <w:bottom w:val="single" w:sz="8" w:color="9AB956"/>
              <w:right w:val="single" w:sz="8" w:color="9AB956"/>
            </w:tcBorders>
            <w:shd w:val="clear" w:color="auto" w:fill="9AB956"/>
          </w:tcPr>
          <w:p>
            <w:pPr>
              <w:spacing w:after="0"/>
              <w:rPr>
                <w:sz w:val="15"/>
                <w:szCs w:val="15"/>
                <w:color w:val="auto"/>
              </w:rPr>
            </w:pPr>
          </w:p>
        </w:tc>
        <w:tc>
          <w:tcPr>
            <w:tcW w:w="220" w:type="dxa"/>
            <w:vAlign w:val="bottom"/>
            <w:tcBorders>
              <w:bottom w:val="single" w:sz="8" w:color="9AB956"/>
              <w:right w:val="single" w:sz="8" w:color="9AB956"/>
            </w:tcBorders>
            <w:shd w:val="clear" w:color="auto" w:fill="9AB956"/>
          </w:tcPr>
          <w:p>
            <w:pPr>
              <w:spacing w:after="0"/>
              <w:rPr>
                <w:sz w:val="15"/>
                <w:szCs w:val="15"/>
                <w:color w:val="auto"/>
              </w:rPr>
            </w:pPr>
          </w:p>
        </w:tc>
        <w:tc>
          <w:tcPr>
            <w:tcW w:w="440" w:type="dxa"/>
            <w:vAlign w:val="bottom"/>
            <w:tcBorders>
              <w:bottom w:val="single" w:sz="8" w:color="9AB956"/>
              <w:right w:val="single" w:sz="8" w:color="9AB956"/>
            </w:tcBorders>
            <w:shd w:val="clear" w:color="auto" w:fill="9AB956"/>
          </w:tcPr>
          <w:p>
            <w:pPr>
              <w:spacing w:after="0"/>
              <w:rPr>
                <w:sz w:val="15"/>
                <w:szCs w:val="15"/>
                <w:color w:val="auto"/>
              </w:rPr>
            </w:pPr>
          </w:p>
        </w:tc>
        <w:tc>
          <w:tcPr>
            <w:tcW w:w="260" w:type="dxa"/>
            <w:vAlign w:val="bottom"/>
            <w:tcBorders>
              <w:bottom w:val="single" w:sz="8" w:color="9AB956"/>
              <w:right w:val="single" w:sz="8" w:color="9AB956"/>
            </w:tcBorders>
            <w:shd w:val="clear" w:color="auto" w:fill="9AB956"/>
          </w:tcPr>
          <w:p>
            <w:pPr>
              <w:spacing w:after="0"/>
              <w:rPr>
                <w:sz w:val="15"/>
                <w:szCs w:val="15"/>
                <w:color w:val="auto"/>
              </w:rPr>
            </w:pPr>
          </w:p>
        </w:tc>
        <w:tc>
          <w:tcPr>
            <w:tcW w:w="480" w:type="dxa"/>
            <w:vAlign w:val="bottom"/>
            <w:tcBorders>
              <w:bottom w:val="single" w:sz="8" w:color="9AB956"/>
              <w:right w:val="single" w:sz="8" w:color="9AB956"/>
            </w:tcBorders>
            <w:shd w:val="clear" w:color="auto" w:fill="9AB956"/>
          </w:tcPr>
          <w:p>
            <w:pPr>
              <w:spacing w:after="0"/>
              <w:rPr>
                <w:sz w:val="15"/>
                <w:szCs w:val="15"/>
                <w:color w:val="auto"/>
              </w:rPr>
            </w:pPr>
          </w:p>
        </w:tc>
        <w:tc>
          <w:tcPr>
            <w:tcW w:w="280" w:type="dxa"/>
            <w:vAlign w:val="bottom"/>
            <w:tcBorders>
              <w:bottom w:val="single" w:sz="8" w:color="9AB956"/>
              <w:right w:val="single" w:sz="8" w:color="9AB956"/>
            </w:tcBorders>
            <w:shd w:val="clear" w:color="auto" w:fill="9AB956"/>
          </w:tcPr>
          <w:p>
            <w:pPr>
              <w:spacing w:after="0"/>
              <w:rPr>
                <w:sz w:val="15"/>
                <w:szCs w:val="15"/>
                <w:color w:val="auto"/>
              </w:rPr>
            </w:pPr>
          </w:p>
        </w:tc>
        <w:tc>
          <w:tcPr>
            <w:tcW w:w="340" w:type="dxa"/>
            <w:vAlign w:val="bottom"/>
            <w:tcBorders>
              <w:bottom w:val="single" w:sz="8" w:color="9AB956"/>
              <w:right w:val="single" w:sz="8" w:color="9AB956"/>
            </w:tcBorders>
            <w:shd w:val="clear" w:color="auto" w:fill="9AB956"/>
          </w:tcPr>
          <w:p>
            <w:pPr>
              <w:spacing w:after="0"/>
              <w:rPr>
                <w:sz w:val="15"/>
                <w:szCs w:val="15"/>
                <w:color w:val="auto"/>
              </w:rPr>
            </w:pPr>
          </w:p>
        </w:tc>
        <w:tc>
          <w:tcPr>
            <w:tcW w:w="420" w:type="dxa"/>
            <w:vAlign w:val="bottom"/>
            <w:tcBorders>
              <w:bottom w:val="single" w:sz="8" w:color="9AB956"/>
              <w:right w:val="single" w:sz="8" w:color="9AB956"/>
            </w:tcBorders>
            <w:shd w:val="clear" w:color="auto" w:fill="9AB956"/>
          </w:tcPr>
          <w:p>
            <w:pPr>
              <w:spacing w:after="0"/>
              <w:rPr>
                <w:sz w:val="15"/>
                <w:szCs w:val="15"/>
                <w:color w:val="auto"/>
              </w:rPr>
            </w:pPr>
          </w:p>
        </w:tc>
        <w:tc>
          <w:tcPr>
            <w:tcW w:w="500" w:type="dxa"/>
            <w:vAlign w:val="bottom"/>
            <w:tcBorders>
              <w:bottom w:val="single" w:sz="8" w:color="9AB956"/>
              <w:right w:val="single" w:sz="8" w:color="9AB956"/>
            </w:tcBorders>
            <w:shd w:val="clear" w:color="auto" w:fill="9AB956"/>
          </w:tcPr>
          <w:p>
            <w:pPr>
              <w:spacing w:after="0"/>
              <w:rPr>
                <w:sz w:val="15"/>
                <w:szCs w:val="15"/>
                <w:color w:val="auto"/>
              </w:rPr>
            </w:pPr>
          </w:p>
        </w:tc>
        <w:tc>
          <w:tcPr>
            <w:tcW w:w="640" w:type="dxa"/>
            <w:vAlign w:val="bottom"/>
            <w:tcBorders>
              <w:bottom w:val="single" w:sz="8" w:color="9AB956"/>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w:t>
            </w:r>
          </w:p>
        </w:tc>
        <w:tc>
          <w:tcPr>
            <w:tcW w:w="540" w:type="dxa"/>
            <w:vAlign w:val="bottom"/>
            <w:tcBorders>
              <w:bottom w:val="single" w:sz="8" w:color="9AB956"/>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0"/>
              </w:rPr>
              <w:t>($)</w:t>
            </w:r>
          </w:p>
        </w:tc>
        <w:tc>
          <w:tcPr>
            <w:tcW w:w="600" w:type="dxa"/>
            <w:vAlign w:val="bottom"/>
            <w:tcBorders>
              <w:bottom w:val="single" w:sz="8" w:color="9AB956"/>
              <w:right w:val="single" w:sz="8" w:color="9AB956"/>
            </w:tcBorders>
            <w:shd w:val="clear" w:color="auto" w:fill="9AB956"/>
          </w:tcPr>
          <w:p>
            <w:pPr>
              <w:spacing w:after="0"/>
              <w:rPr>
                <w:sz w:val="15"/>
                <w:szCs w:val="15"/>
                <w:color w:val="auto"/>
              </w:rPr>
            </w:pPr>
          </w:p>
        </w:tc>
        <w:tc>
          <w:tcPr>
            <w:tcW w:w="620" w:type="dxa"/>
            <w:vAlign w:val="bottom"/>
            <w:tcBorders>
              <w:bottom w:val="single" w:sz="8" w:color="9AB956"/>
              <w:right w:val="single" w:sz="8" w:color="9AB956"/>
            </w:tcBorders>
            <w:shd w:val="clear" w:color="auto" w:fill="9AB956"/>
          </w:tcPr>
          <w:p>
            <w:pPr>
              <w:spacing w:after="0"/>
              <w:rPr>
                <w:sz w:val="15"/>
                <w:szCs w:val="15"/>
                <w:color w:val="auto"/>
              </w:rPr>
            </w:pPr>
          </w:p>
        </w:tc>
        <w:tc>
          <w:tcPr>
            <w:tcW w:w="620" w:type="dxa"/>
            <w:vAlign w:val="bottom"/>
            <w:tcBorders>
              <w:bottom w:val="single" w:sz="8" w:color="9AB956"/>
              <w:right w:val="single" w:sz="8" w:color="9AB956"/>
            </w:tcBorders>
            <w:shd w:val="clear" w:color="auto" w:fill="9AB956"/>
          </w:tcPr>
          <w:p>
            <w:pPr>
              <w:spacing w:after="0"/>
              <w:rPr>
                <w:sz w:val="15"/>
                <w:szCs w:val="15"/>
                <w:color w:val="auto"/>
              </w:rPr>
            </w:pPr>
          </w:p>
        </w:tc>
        <w:tc>
          <w:tcPr>
            <w:tcW w:w="640" w:type="dxa"/>
            <w:vAlign w:val="bottom"/>
            <w:tcBorders>
              <w:bottom w:val="single" w:sz="8" w:color="9AB956"/>
              <w:right w:val="single" w:sz="8" w:color="9AB956"/>
            </w:tcBorders>
            <w:shd w:val="clear" w:color="auto" w:fill="9AB956"/>
          </w:tcPr>
          <w:p>
            <w:pPr>
              <w:spacing w:after="0"/>
              <w:rPr>
                <w:sz w:val="15"/>
                <w:szCs w:val="15"/>
                <w:color w:val="auto"/>
              </w:rPr>
            </w:pPr>
          </w:p>
        </w:tc>
        <w:tc>
          <w:tcPr>
            <w:tcW w:w="560" w:type="dxa"/>
            <w:vAlign w:val="bottom"/>
            <w:tcBorders>
              <w:bottom w:val="single" w:sz="8" w:color="9AB956"/>
              <w:right w:val="single" w:sz="8" w:color="auto"/>
            </w:tcBorders>
            <w:shd w:val="clear" w:color="auto" w:fill="9AB956"/>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13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9"/>
                <w:szCs w:val="9"/>
                <w:b w:val="1"/>
                <w:bCs w:val="1"/>
                <w:color w:val="auto"/>
              </w:rPr>
              <w:t>Mr. Patrick S. Williams</w:t>
            </w:r>
          </w:p>
        </w:tc>
        <w:tc>
          <w:tcPr>
            <w:tcW w:w="240" w:type="dxa"/>
            <w:vAlign w:val="bottom"/>
            <w:tcBorders>
              <w:top w:val="single" w:sz="8" w:color="auto"/>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78"/>
              </w:rPr>
              <w:t>7</w:t>
            </w:r>
          </w:p>
        </w:tc>
        <w:tc>
          <w:tcPr>
            <w:tcW w:w="4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9"/>
                <w:szCs w:val="9"/>
                <w:color w:val="auto"/>
              </w:rPr>
              <w:t>1,377</w:t>
            </w:r>
          </w:p>
        </w:tc>
        <w:tc>
          <w:tcPr>
            <w:tcW w:w="260" w:type="dxa"/>
            <w:vAlign w:val="bottom"/>
            <w:tcBorders>
              <w:top w:val="single" w:sz="8" w:color="auto"/>
              <w:right w:val="single" w:sz="8" w:color="auto"/>
            </w:tcBorders>
          </w:tcPr>
          <w:p>
            <w:pPr>
              <w:spacing w:after="0"/>
              <w:rPr>
                <w:sz w:val="9"/>
                <w:szCs w:val="9"/>
                <w:color w:val="auto"/>
              </w:rPr>
            </w:pPr>
          </w:p>
        </w:tc>
        <w:tc>
          <w:tcPr>
            <w:tcW w:w="480" w:type="dxa"/>
            <w:vAlign w:val="bottom"/>
            <w:tcBorders>
              <w:top w:val="single" w:sz="8" w:color="auto"/>
              <w:right w:val="single" w:sz="8" w:color="auto"/>
            </w:tcBorders>
          </w:tcPr>
          <w:p>
            <w:pPr>
              <w:spacing w:after="0"/>
              <w:rPr>
                <w:sz w:val="9"/>
                <w:szCs w:val="9"/>
                <w:color w:val="auto"/>
              </w:rPr>
            </w:pPr>
          </w:p>
        </w:tc>
        <w:tc>
          <w:tcPr>
            <w:tcW w:w="280" w:type="dxa"/>
            <w:vAlign w:val="bottom"/>
            <w:tcBorders>
              <w:top w:val="single" w:sz="8" w:color="auto"/>
              <w:right w:val="single" w:sz="8" w:color="auto"/>
            </w:tcBorders>
          </w:tcPr>
          <w:p>
            <w:pPr>
              <w:spacing w:after="0"/>
              <w:rPr>
                <w:sz w:val="9"/>
                <w:szCs w:val="9"/>
                <w:color w:val="auto"/>
              </w:rPr>
            </w:pPr>
          </w:p>
        </w:tc>
        <w:tc>
          <w:tcPr>
            <w:tcW w:w="340" w:type="dxa"/>
            <w:vAlign w:val="bottom"/>
            <w:tcBorders>
              <w:top w:val="single" w:sz="8" w:color="auto"/>
              <w:right w:val="single" w:sz="8" w:color="auto"/>
            </w:tcBorders>
          </w:tcPr>
          <w:p>
            <w:pPr>
              <w:spacing w:after="0"/>
              <w:rPr>
                <w:sz w:val="9"/>
                <w:szCs w:val="9"/>
                <w:color w:val="auto"/>
              </w:rPr>
            </w:pPr>
          </w:p>
        </w:tc>
        <w:tc>
          <w:tcPr>
            <w:tcW w:w="420" w:type="dxa"/>
            <w:vAlign w:val="bottom"/>
            <w:tcBorders>
              <w:top w:val="single" w:sz="8" w:color="auto"/>
              <w:right w:val="single" w:sz="8" w:color="auto"/>
            </w:tcBorders>
          </w:tcPr>
          <w:p>
            <w:pPr>
              <w:spacing w:after="0"/>
              <w:rPr>
                <w:sz w:val="9"/>
                <w:szCs w:val="9"/>
                <w:color w:val="auto"/>
              </w:rPr>
            </w:pPr>
          </w:p>
        </w:tc>
        <w:tc>
          <w:tcPr>
            <w:tcW w:w="500" w:type="dxa"/>
            <w:vAlign w:val="bottom"/>
            <w:tcBorders>
              <w:top w:val="single" w:sz="8" w:color="auto"/>
              <w:right w:val="single" w:sz="8" w:color="auto"/>
            </w:tcBorders>
          </w:tcPr>
          <w:p>
            <w:pPr>
              <w:jc w:val="right"/>
              <w:ind w:right="35"/>
              <w:spacing w:after="0"/>
              <w:rPr>
                <w:sz w:val="20"/>
                <w:szCs w:val="20"/>
                <w:color w:val="auto"/>
              </w:rPr>
            </w:pPr>
            <w:r>
              <w:rPr>
                <w:rFonts w:ascii="Arial" w:cs="Arial" w:eastAsia="Arial" w:hAnsi="Arial"/>
                <w:sz w:val="9"/>
                <w:szCs w:val="9"/>
                <w:color w:val="auto"/>
              </w:rPr>
              <w:t>99.68</w:t>
            </w:r>
          </w:p>
        </w:tc>
        <w:tc>
          <w:tcPr>
            <w:tcW w:w="6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9"/>
                <w:szCs w:val="9"/>
                <w:color w:val="auto"/>
              </w:rPr>
              <w:t>21/02/2032</w:t>
            </w:r>
          </w:p>
        </w:tc>
        <w:tc>
          <w:tcPr>
            <w:tcW w:w="540" w:type="dxa"/>
            <w:vAlign w:val="bottom"/>
            <w:tcBorders>
              <w:top w:val="single" w:sz="8" w:color="auto"/>
              <w:right w:val="single" w:sz="8" w:color="auto"/>
            </w:tcBorders>
          </w:tcPr>
          <w:p>
            <w:pPr>
              <w:spacing w:after="0"/>
              <w:rPr>
                <w:sz w:val="9"/>
                <w:szCs w:val="9"/>
                <w:color w:val="auto"/>
              </w:rPr>
            </w:pPr>
          </w:p>
        </w:tc>
        <w:tc>
          <w:tcPr>
            <w:tcW w:w="600" w:type="dxa"/>
            <w:vAlign w:val="bottom"/>
            <w:tcBorders>
              <w:top w:val="single" w:sz="8" w:color="auto"/>
              <w:right w:val="single" w:sz="8" w:color="auto"/>
            </w:tcBorders>
          </w:tcPr>
          <w:p>
            <w:pPr>
              <w:spacing w:after="0"/>
              <w:rPr>
                <w:sz w:val="9"/>
                <w:szCs w:val="9"/>
                <w:color w:val="auto"/>
              </w:rPr>
            </w:pPr>
          </w:p>
        </w:tc>
        <w:tc>
          <w:tcPr>
            <w:tcW w:w="620" w:type="dxa"/>
            <w:vAlign w:val="bottom"/>
            <w:tcBorders>
              <w:top w:val="single" w:sz="8" w:color="auto"/>
              <w:right w:val="single" w:sz="8" w:color="auto"/>
            </w:tcBorders>
          </w:tcPr>
          <w:p>
            <w:pPr>
              <w:spacing w:after="0"/>
              <w:rPr>
                <w:sz w:val="9"/>
                <w:szCs w:val="9"/>
                <w:color w:val="auto"/>
              </w:rPr>
            </w:pPr>
          </w:p>
        </w:tc>
        <w:tc>
          <w:tcPr>
            <w:tcW w:w="620" w:type="dxa"/>
            <w:vAlign w:val="bottom"/>
            <w:tcBorders>
              <w:top w:val="single" w:sz="8" w:color="auto"/>
              <w:right w:val="single" w:sz="8" w:color="auto"/>
            </w:tcBorders>
          </w:tcPr>
          <w:p>
            <w:pPr>
              <w:spacing w:after="0"/>
              <w:rPr>
                <w:sz w:val="9"/>
                <w:szCs w:val="9"/>
                <w:color w:val="auto"/>
              </w:rPr>
            </w:pPr>
          </w:p>
        </w:tc>
        <w:tc>
          <w:tcPr>
            <w:tcW w:w="640" w:type="dxa"/>
            <w:vAlign w:val="bottom"/>
            <w:tcBorders>
              <w:top w:val="single" w:sz="8" w:color="auto"/>
              <w:right w:val="single" w:sz="8" w:color="auto"/>
            </w:tcBorders>
          </w:tcPr>
          <w:p>
            <w:pPr>
              <w:spacing w:after="0"/>
              <w:rPr>
                <w:sz w:val="9"/>
                <w:szCs w:val="9"/>
                <w:color w:val="auto"/>
              </w:rPr>
            </w:pPr>
          </w:p>
        </w:tc>
        <w:tc>
          <w:tcPr>
            <w:tcW w:w="5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President and Chief Executive</w:t>
            </w:r>
          </w:p>
        </w:tc>
        <w:tc>
          <w:tcPr>
            <w:tcW w:w="240" w:type="dxa"/>
            <w:vAlign w:val="bottom"/>
            <w:tcBorders>
              <w:right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1,326</w:t>
            </w:r>
          </w:p>
        </w:tc>
        <w:tc>
          <w:tcPr>
            <w:tcW w:w="28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109.42</w:t>
            </w:r>
          </w:p>
        </w:tc>
        <w:tc>
          <w:tcPr>
            <w:tcW w:w="6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9"/>
                <w:szCs w:val="9"/>
                <w:color w:val="auto"/>
              </w:rPr>
              <w:t>Officer</w:t>
            </w:r>
          </w:p>
        </w:tc>
        <w:tc>
          <w:tcPr>
            <w:tcW w:w="240" w:type="dxa"/>
            <w:vAlign w:val="bottom"/>
            <w:tcBorders>
              <w:right w:val="single" w:sz="8" w:color="auto"/>
            </w:tcBorders>
            <w:vMerge w:val="continue"/>
          </w:tcPr>
          <w:p>
            <w:pPr>
              <w:spacing w:after="0"/>
              <w:rPr>
                <w:sz w:val="3"/>
                <w:szCs w:val="3"/>
                <w:color w:val="auto"/>
              </w:rPr>
            </w:pPr>
          </w:p>
        </w:tc>
        <w:tc>
          <w:tcPr>
            <w:tcW w:w="220" w:type="dxa"/>
            <w:vAlign w:val="bottom"/>
            <w:tcBorders>
              <w:right w:val="single" w:sz="8" w:color="auto"/>
            </w:tcBorders>
            <w:vMerge w:val="continue"/>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80" w:type="dxa"/>
            <w:vAlign w:val="bottom"/>
            <w:tcBorders>
              <w:right w:val="single" w:sz="8" w:color="auto"/>
            </w:tcBorders>
            <w:vMerge w:val="continue"/>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640" w:type="dxa"/>
            <w:vAlign w:val="bottom"/>
            <w:tcBorders>
              <w:right w:val="single" w:sz="8" w:color="auto"/>
            </w:tcBorders>
            <w:vMerge w:val="continue"/>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tcBorders>
              <w:right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1</w:t>
            </w:r>
          </w:p>
        </w:tc>
        <w:tc>
          <w:tcPr>
            <w:tcW w:w="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78"/>
              </w:rPr>
              <w:t>7</w:t>
            </w:r>
          </w:p>
        </w:tc>
        <w:tc>
          <w:tcPr>
            <w:tcW w:w="4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4,131</w:t>
            </w:r>
          </w:p>
        </w:tc>
        <w:tc>
          <w:tcPr>
            <w:tcW w:w="260" w:type="dxa"/>
            <w:vAlign w:val="bottom"/>
            <w:tcBorders>
              <w:right w:val="single" w:sz="8" w:color="auto"/>
            </w:tcBorders>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99.68</w:t>
            </w:r>
          </w:p>
        </w:tc>
        <w:tc>
          <w:tcPr>
            <w:tcW w:w="6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21/02/2032</w:t>
            </w:r>
          </w:p>
        </w:tc>
        <w:tc>
          <w:tcPr>
            <w:tcW w:w="54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tcPr>
          <w:p>
            <w:pPr>
              <w:spacing w:after="0"/>
              <w:rPr>
                <w:sz w:val="6"/>
                <w:szCs w:val="6"/>
                <w:color w:val="auto"/>
              </w:rPr>
            </w:pPr>
          </w:p>
        </w:tc>
        <w:tc>
          <w:tcPr>
            <w:tcW w:w="240" w:type="dxa"/>
            <w:vAlign w:val="bottom"/>
            <w:tcBorders>
              <w:right w:val="single" w:sz="8" w:color="auto"/>
            </w:tcBorders>
            <w:vMerge w:val="continue"/>
          </w:tcPr>
          <w:p>
            <w:pPr>
              <w:spacing w:after="0"/>
              <w:rPr>
                <w:sz w:val="6"/>
                <w:szCs w:val="6"/>
                <w:color w:val="auto"/>
              </w:rPr>
            </w:pPr>
          </w:p>
        </w:tc>
        <w:tc>
          <w:tcPr>
            <w:tcW w:w="22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1</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3,979</w:t>
            </w: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109.42</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15/03/2027</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9,726</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749,291</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7,126</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548,987</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8,600</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662,544</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27/02/2026</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29,179</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2,247,950</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21,378</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1,646,961</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25,800</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1,987,632</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12,216</w:t>
            </w:r>
          </w:p>
        </w:tc>
        <w:tc>
          <w:tcPr>
            <w:tcW w:w="60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941,121</w:t>
            </w: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14,743</w:t>
            </w:r>
          </w:p>
        </w:tc>
        <w:tc>
          <w:tcPr>
            <w:tcW w:w="60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1,135,801</w:t>
            </w: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340" w:type="dxa"/>
            <w:vAlign w:val="bottom"/>
            <w:tcBorders>
              <w:left w:val="single" w:sz="8" w:color="auto"/>
              <w:right w:val="single" w:sz="8" w:color="auto"/>
            </w:tcBorders>
            <w:shd w:val="clear" w:color="auto" w:fill="F4F8EE"/>
          </w:tcPr>
          <w:p>
            <w:pPr>
              <w:ind w:left="60"/>
              <w:spacing w:after="0"/>
              <w:rPr>
                <w:sz w:val="20"/>
                <w:szCs w:val="20"/>
                <w:color w:val="auto"/>
              </w:rPr>
            </w:pPr>
            <w:r>
              <w:rPr>
                <w:rFonts w:ascii="Arial" w:cs="Arial" w:eastAsia="Arial" w:hAnsi="Arial"/>
                <w:sz w:val="9"/>
                <w:szCs w:val="9"/>
                <w:b w:val="1"/>
                <w:bCs w:val="1"/>
                <w:color w:val="auto"/>
              </w:rPr>
              <w:t>Mr. Ian P Cleminson</w:t>
            </w: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7</w:t>
            </w:r>
          </w:p>
        </w:tc>
        <w:tc>
          <w:tcPr>
            <w:tcW w:w="4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317</w:t>
            </w:r>
          </w:p>
        </w:tc>
        <w:tc>
          <w:tcPr>
            <w:tcW w:w="260" w:type="dxa"/>
            <w:vAlign w:val="bottom"/>
            <w:tcBorders>
              <w:right w:val="single" w:sz="8" w:color="auto"/>
            </w:tcBorders>
            <w:shd w:val="clear" w:color="auto" w:fill="F4F8EE"/>
          </w:tcPr>
          <w:p>
            <w:pPr>
              <w:spacing w:after="0"/>
              <w:rPr>
                <w:sz w:val="9"/>
                <w:szCs w:val="9"/>
                <w:color w:val="auto"/>
              </w:rPr>
            </w:pPr>
          </w:p>
        </w:tc>
        <w:tc>
          <w:tcPr>
            <w:tcW w:w="480" w:type="dxa"/>
            <w:vAlign w:val="bottom"/>
            <w:tcBorders>
              <w:right w:val="single" w:sz="8" w:color="auto"/>
            </w:tcBorders>
            <w:shd w:val="clear" w:color="auto" w:fill="F4F8EE"/>
          </w:tcPr>
          <w:p>
            <w:pPr>
              <w:spacing w:after="0"/>
              <w:rPr>
                <w:sz w:val="9"/>
                <w:szCs w:val="9"/>
                <w:color w:val="auto"/>
              </w:rPr>
            </w:pPr>
          </w:p>
        </w:tc>
        <w:tc>
          <w:tcPr>
            <w:tcW w:w="280" w:type="dxa"/>
            <w:vAlign w:val="bottom"/>
            <w:tcBorders>
              <w:right w:val="single" w:sz="8" w:color="auto"/>
            </w:tcBorders>
            <w:shd w:val="clear" w:color="auto" w:fill="F4F8EE"/>
          </w:tcPr>
          <w:p>
            <w:pPr>
              <w:spacing w:after="0"/>
              <w:rPr>
                <w:sz w:val="9"/>
                <w:szCs w:val="9"/>
                <w:color w:val="auto"/>
              </w:rPr>
            </w:pPr>
          </w:p>
        </w:tc>
        <w:tc>
          <w:tcPr>
            <w:tcW w:w="340" w:type="dxa"/>
            <w:vAlign w:val="bottom"/>
            <w:tcBorders>
              <w:right w:val="single" w:sz="8" w:color="auto"/>
            </w:tcBorders>
            <w:shd w:val="clear" w:color="auto" w:fill="F4F8EE"/>
          </w:tcPr>
          <w:p>
            <w:pPr>
              <w:spacing w:after="0"/>
              <w:rPr>
                <w:sz w:val="9"/>
                <w:szCs w:val="9"/>
                <w:color w:val="auto"/>
              </w:rPr>
            </w:pPr>
          </w:p>
        </w:tc>
        <w:tc>
          <w:tcPr>
            <w:tcW w:w="420" w:type="dxa"/>
            <w:vAlign w:val="bottom"/>
            <w:tcBorders>
              <w:right w:val="single" w:sz="8" w:color="auto"/>
            </w:tcBorders>
            <w:shd w:val="clear" w:color="auto" w:fill="F4F8EE"/>
          </w:tcPr>
          <w:p>
            <w:pPr>
              <w:spacing w:after="0"/>
              <w:rPr>
                <w:sz w:val="9"/>
                <w:szCs w:val="9"/>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99.68</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21/02/2032</w:t>
            </w:r>
          </w:p>
        </w:tc>
        <w:tc>
          <w:tcPr>
            <w:tcW w:w="540" w:type="dxa"/>
            <w:vAlign w:val="bottom"/>
            <w:tcBorders>
              <w:right w:val="single" w:sz="8" w:color="auto"/>
            </w:tcBorders>
            <w:shd w:val="clear" w:color="auto" w:fill="F4F8EE"/>
          </w:tcPr>
          <w:p>
            <w:pPr>
              <w:spacing w:after="0"/>
              <w:rPr>
                <w:sz w:val="9"/>
                <w:szCs w:val="9"/>
                <w:color w:val="auto"/>
              </w:rPr>
            </w:pPr>
          </w:p>
        </w:tc>
        <w:tc>
          <w:tcPr>
            <w:tcW w:w="600" w:type="dxa"/>
            <w:vAlign w:val="bottom"/>
            <w:tcBorders>
              <w:right w:val="single" w:sz="8" w:color="auto"/>
            </w:tcBorders>
            <w:shd w:val="clear" w:color="auto" w:fill="F4F8EE"/>
          </w:tcPr>
          <w:p>
            <w:pPr>
              <w:spacing w:after="0"/>
              <w:rPr>
                <w:sz w:val="9"/>
                <w:szCs w:val="9"/>
                <w:color w:val="auto"/>
              </w:rPr>
            </w:pPr>
          </w:p>
        </w:tc>
        <w:tc>
          <w:tcPr>
            <w:tcW w:w="620" w:type="dxa"/>
            <w:vAlign w:val="bottom"/>
            <w:tcBorders>
              <w:right w:val="single" w:sz="8" w:color="auto"/>
            </w:tcBorders>
            <w:shd w:val="clear" w:color="auto" w:fill="F4F8EE"/>
          </w:tcPr>
          <w:p>
            <w:pPr>
              <w:spacing w:after="0"/>
              <w:rPr>
                <w:sz w:val="9"/>
                <w:szCs w:val="9"/>
                <w:color w:val="auto"/>
              </w:rPr>
            </w:pPr>
          </w:p>
        </w:tc>
        <w:tc>
          <w:tcPr>
            <w:tcW w:w="620" w:type="dxa"/>
            <w:vAlign w:val="bottom"/>
            <w:tcBorders>
              <w:right w:val="single" w:sz="8" w:color="auto"/>
            </w:tcBorders>
            <w:shd w:val="clear" w:color="auto" w:fill="F4F8EE"/>
          </w:tcPr>
          <w:p>
            <w:pPr>
              <w:spacing w:after="0"/>
              <w:rPr>
                <w:sz w:val="9"/>
                <w:szCs w:val="9"/>
                <w:color w:val="auto"/>
              </w:rPr>
            </w:pPr>
          </w:p>
        </w:tc>
        <w:tc>
          <w:tcPr>
            <w:tcW w:w="640" w:type="dxa"/>
            <w:vAlign w:val="bottom"/>
            <w:tcBorders>
              <w:right w:val="single" w:sz="8" w:color="auto"/>
            </w:tcBorders>
            <w:shd w:val="clear" w:color="auto" w:fill="F4F8EE"/>
          </w:tcPr>
          <w:p>
            <w:pPr>
              <w:spacing w:after="0"/>
              <w:rPr>
                <w:sz w:val="9"/>
                <w:szCs w:val="9"/>
                <w:color w:val="auto"/>
              </w:rPr>
            </w:pPr>
          </w:p>
        </w:tc>
        <w:tc>
          <w:tcPr>
            <w:tcW w:w="560" w:type="dxa"/>
            <w:vAlign w:val="bottom"/>
            <w:tcBorders>
              <w:right w:val="single" w:sz="8" w:color="auto"/>
            </w:tcBorders>
            <w:shd w:val="clear" w:color="auto" w:fill="F4F8E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shd w:val="clear" w:color="auto" w:fill="F4F8EE"/>
          </w:tcPr>
          <w:p>
            <w:pPr>
              <w:ind w:left="60"/>
              <w:spacing w:after="0"/>
              <w:rPr>
                <w:sz w:val="20"/>
                <w:szCs w:val="20"/>
                <w:color w:val="auto"/>
              </w:rPr>
            </w:pPr>
            <w:r>
              <w:rPr>
                <w:rFonts w:ascii="Arial" w:cs="Arial" w:eastAsia="Arial" w:hAnsi="Arial"/>
                <w:sz w:val="9"/>
                <w:szCs w:val="9"/>
                <w:color w:val="auto"/>
              </w:rPr>
              <w:t>Executive Vice President and</w:t>
            </w:r>
          </w:p>
        </w:tc>
        <w:tc>
          <w:tcPr>
            <w:tcW w:w="240" w:type="dxa"/>
            <w:vAlign w:val="bottom"/>
            <w:tcBorders>
              <w:right w:val="single" w:sz="8" w:color="auto"/>
            </w:tcBorders>
            <w:vMerge w:val="restart"/>
            <w:shd w:val="clear" w:color="auto" w:fill="F4F8EE"/>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vMerge w:val="restart"/>
            <w:shd w:val="clear" w:color="auto" w:fill="F4F8EE"/>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shd w:val="clear" w:color="auto" w:fill="F4F8EE"/>
          </w:tcPr>
          <w:p>
            <w:pPr>
              <w:spacing w:after="0"/>
              <w:rPr>
                <w:sz w:val="10"/>
                <w:szCs w:val="10"/>
                <w:color w:val="auto"/>
              </w:rPr>
            </w:pPr>
          </w:p>
        </w:tc>
        <w:tc>
          <w:tcPr>
            <w:tcW w:w="260" w:type="dxa"/>
            <w:vAlign w:val="bottom"/>
            <w:tcBorders>
              <w:right w:val="single" w:sz="8" w:color="auto"/>
            </w:tcBorders>
            <w:shd w:val="clear" w:color="auto" w:fill="F4F8EE"/>
          </w:tcPr>
          <w:p>
            <w:pPr>
              <w:spacing w:after="0"/>
              <w:rPr>
                <w:sz w:val="10"/>
                <w:szCs w:val="10"/>
                <w:color w:val="auto"/>
              </w:rPr>
            </w:pPr>
          </w:p>
        </w:tc>
        <w:tc>
          <w:tcPr>
            <w:tcW w:w="48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271</w:t>
            </w:r>
          </w:p>
        </w:tc>
        <w:tc>
          <w:tcPr>
            <w:tcW w:w="280" w:type="dxa"/>
            <w:vAlign w:val="bottom"/>
            <w:tcBorders>
              <w:right w:val="single" w:sz="8" w:color="auto"/>
            </w:tcBorders>
            <w:shd w:val="clear" w:color="auto" w:fill="F4F8EE"/>
          </w:tcPr>
          <w:p>
            <w:pPr>
              <w:spacing w:after="0"/>
              <w:rPr>
                <w:sz w:val="10"/>
                <w:szCs w:val="10"/>
                <w:color w:val="auto"/>
              </w:rPr>
            </w:pPr>
          </w:p>
        </w:tc>
        <w:tc>
          <w:tcPr>
            <w:tcW w:w="340" w:type="dxa"/>
            <w:vAlign w:val="bottom"/>
            <w:tcBorders>
              <w:right w:val="single" w:sz="8" w:color="auto"/>
            </w:tcBorders>
            <w:shd w:val="clear" w:color="auto" w:fill="F4F8EE"/>
          </w:tcPr>
          <w:p>
            <w:pPr>
              <w:spacing w:after="0"/>
              <w:rPr>
                <w:sz w:val="10"/>
                <w:szCs w:val="10"/>
                <w:color w:val="auto"/>
              </w:rPr>
            </w:pPr>
          </w:p>
        </w:tc>
        <w:tc>
          <w:tcPr>
            <w:tcW w:w="420" w:type="dxa"/>
            <w:vAlign w:val="bottom"/>
            <w:tcBorders>
              <w:right w:val="single" w:sz="8" w:color="auto"/>
            </w:tcBorders>
            <w:shd w:val="clear" w:color="auto" w:fill="F4F8EE"/>
          </w:tcPr>
          <w:p>
            <w:pPr>
              <w:spacing w:after="0"/>
              <w:rPr>
                <w:sz w:val="10"/>
                <w:szCs w:val="10"/>
                <w:color w:val="auto"/>
              </w:rPr>
            </w:pPr>
          </w:p>
        </w:tc>
        <w:tc>
          <w:tcPr>
            <w:tcW w:w="500" w:type="dxa"/>
            <w:vAlign w:val="bottom"/>
            <w:tcBorders>
              <w:right w:val="single" w:sz="8" w:color="auto"/>
            </w:tcBorders>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109.42</w:t>
            </w:r>
          </w:p>
        </w:tc>
        <w:tc>
          <w:tcPr>
            <w:tcW w:w="64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shd w:val="clear" w:color="auto" w:fill="F4F8EE"/>
          </w:tcPr>
          <w:p>
            <w:pPr>
              <w:spacing w:after="0"/>
              <w:rPr>
                <w:sz w:val="10"/>
                <w:szCs w:val="10"/>
                <w:color w:val="auto"/>
              </w:rPr>
            </w:pPr>
          </w:p>
        </w:tc>
        <w:tc>
          <w:tcPr>
            <w:tcW w:w="600" w:type="dxa"/>
            <w:vAlign w:val="bottom"/>
            <w:tcBorders>
              <w:right w:val="single" w:sz="8" w:color="auto"/>
            </w:tcBorders>
            <w:shd w:val="clear" w:color="auto" w:fill="F4F8EE"/>
          </w:tcPr>
          <w:p>
            <w:pPr>
              <w:spacing w:after="0"/>
              <w:rPr>
                <w:sz w:val="10"/>
                <w:szCs w:val="10"/>
                <w:color w:val="auto"/>
              </w:rPr>
            </w:pPr>
          </w:p>
        </w:tc>
        <w:tc>
          <w:tcPr>
            <w:tcW w:w="620" w:type="dxa"/>
            <w:vAlign w:val="bottom"/>
            <w:tcBorders>
              <w:right w:val="single" w:sz="8" w:color="auto"/>
            </w:tcBorders>
            <w:shd w:val="clear" w:color="auto" w:fill="F4F8EE"/>
          </w:tcPr>
          <w:p>
            <w:pPr>
              <w:spacing w:after="0"/>
              <w:rPr>
                <w:sz w:val="10"/>
                <w:szCs w:val="10"/>
                <w:color w:val="auto"/>
              </w:rPr>
            </w:pPr>
          </w:p>
        </w:tc>
        <w:tc>
          <w:tcPr>
            <w:tcW w:w="620" w:type="dxa"/>
            <w:vAlign w:val="bottom"/>
            <w:tcBorders>
              <w:right w:val="single" w:sz="8" w:color="auto"/>
            </w:tcBorders>
            <w:shd w:val="clear" w:color="auto" w:fill="F4F8EE"/>
          </w:tcPr>
          <w:p>
            <w:pPr>
              <w:spacing w:after="0"/>
              <w:rPr>
                <w:sz w:val="10"/>
                <w:szCs w:val="10"/>
                <w:color w:val="auto"/>
              </w:rPr>
            </w:pPr>
          </w:p>
        </w:tc>
        <w:tc>
          <w:tcPr>
            <w:tcW w:w="640" w:type="dxa"/>
            <w:vAlign w:val="bottom"/>
            <w:tcBorders>
              <w:right w:val="single" w:sz="8" w:color="auto"/>
            </w:tcBorders>
            <w:shd w:val="clear" w:color="auto" w:fill="F4F8EE"/>
          </w:tcPr>
          <w:p>
            <w:pPr>
              <w:spacing w:after="0"/>
              <w:rPr>
                <w:sz w:val="10"/>
                <w:szCs w:val="10"/>
                <w:color w:val="auto"/>
              </w:rPr>
            </w:pPr>
          </w:p>
        </w:tc>
        <w:tc>
          <w:tcPr>
            <w:tcW w:w="560" w:type="dxa"/>
            <w:vAlign w:val="bottom"/>
            <w:tcBorders>
              <w:right w:val="single" w:sz="8" w:color="auto"/>
            </w:tcBorders>
            <w:shd w:val="clear" w:color="auto" w:fill="F4F8EE"/>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340" w:type="dxa"/>
            <w:vAlign w:val="bottom"/>
            <w:tcBorders>
              <w:left w:val="single" w:sz="8" w:color="auto"/>
              <w:right w:val="single" w:sz="8" w:color="auto"/>
            </w:tcBorders>
            <w:vMerge w:val="restart"/>
            <w:shd w:val="clear" w:color="auto" w:fill="F4F8EE"/>
          </w:tcPr>
          <w:p>
            <w:pPr>
              <w:ind w:left="60"/>
              <w:spacing w:after="0"/>
              <w:rPr>
                <w:sz w:val="20"/>
                <w:szCs w:val="20"/>
                <w:color w:val="auto"/>
              </w:rPr>
            </w:pPr>
            <w:r>
              <w:rPr>
                <w:rFonts w:ascii="Arial" w:cs="Arial" w:eastAsia="Arial" w:hAnsi="Arial"/>
                <w:sz w:val="9"/>
                <w:szCs w:val="9"/>
                <w:color w:val="auto"/>
              </w:rPr>
              <w:t>Chief Financial Officer</w:t>
            </w:r>
          </w:p>
        </w:tc>
        <w:tc>
          <w:tcPr>
            <w:tcW w:w="240" w:type="dxa"/>
            <w:vAlign w:val="bottom"/>
            <w:tcBorders>
              <w:right w:val="single" w:sz="8" w:color="auto"/>
            </w:tcBorders>
            <w:vMerge w:val="continue"/>
            <w:shd w:val="clear" w:color="auto" w:fill="F4F8EE"/>
          </w:tcPr>
          <w:p>
            <w:pPr>
              <w:spacing w:after="0"/>
              <w:rPr>
                <w:sz w:val="3"/>
                <w:szCs w:val="3"/>
                <w:color w:val="auto"/>
              </w:rPr>
            </w:pPr>
          </w:p>
        </w:tc>
        <w:tc>
          <w:tcPr>
            <w:tcW w:w="220" w:type="dxa"/>
            <w:vAlign w:val="bottom"/>
            <w:tcBorders>
              <w:right w:val="single" w:sz="8" w:color="auto"/>
            </w:tcBorders>
            <w:vMerge w:val="continue"/>
            <w:shd w:val="clear" w:color="auto" w:fill="F4F8EE"/>
          </w:tcPr>
          <w:p>
            <w:pPr>
              <w:spacing w:after="0"/>
              <w:rPr>
                <w:sz w:val="3"/>
                <w:szCs w:val="3"/>
                <w:color w:val="auto"/>
              </w:rPr>
            </w:pPr>
          </w:p>
        </w:tc>
        <w:tc>
          <w:tcPr>
            <w:tcW w:w="440" w:type="dxa"/>
            <w:vAlign w:val="bottom"/>
            <w:tcBorders>
              <w:right w:val="single" w:sz="8" w:color="auto"/>
            </w:tcBorders>
            <w:shd w:val="clear" w:color="auto" w:fill="F4F8EE"/>
          </w:tcPr>
          <w:p>
            <w:pPr>
              <w:spacing w:after="0"/>
              <w:rPr>
                <w:sz w:val="3"/>
                <w:szCs w:val="3"/>
                <w:color w:val="auto"/>
              </w:rPr>
            </w:pPr>
          </w:p>
        </w:tc>
        <w:tc>
          <w:tcPr>
            <w:tcW w:w="260" w:type="dxa"/>
            <w:vAlign w:val="bottom"/>
            <w:tcBorders>
              <w:right w:val="single" w:sz="8" w:color="auto"/>
            </w:tcBorders>
            <w:shd w:val="clear" w:color="auto" w:fill="F4F8EE"/>
          </w:tcPr>
          <w:p>
            <w:pPr>
              <w:spacing w:after="0"/>
              <w:rPr>
                <w:sz w:val="3"/>
                <w:szCs w:val="3"/>
                <w:color w:val="auto"/>
              </w:rPr>
            </w:pPr>
          </w:p>
        </w:tc>
        <w:tc>
          <w:tcPr>
            <w:tcW w:w="480" w:type="dxa"/>
            <w:vAlign w:val="bottom"/>
            <w:tcBorders>
              <w:right w:val="single" w:sz="8" w:color="auto"/>
            </w:tcBorders>
            <w:vMerge w:val="continue"/>
            <w:shd w:val="clear" w:color="auto" w:fill="F4F8EE"/>
          </w:tcPr>
          <w:p>
            <w:pPr>
              <w:spacing w:after="0"/>
              <w:rPr>
                <w:sz w:val="3"/>
                <w:szCs w:val="3"/>
                <w:color w:val="auto"/>
              </w:rPr>
            </w:pPr>
          </w:p>
        </w:tc>
        <w:tc>
          <w:tcPr>
            <w:tcW w:w="280" w:type="dxa"/>
            <w:vAlign w:val="bottom"/>
            <w:tcBorders>
              <w:right w:val="single" w:sz="8" w:color="auto"/>
            </w:tcBorders>
            <w:shd w:val="clear" w:color="auto" w:fill="F4F8EE"/>
          </w:tcPr>
          <w:p>
            <w:pPr>
              <w:spacing w:after="0"/>
              <w:rPr>
                <w:sz w:val="3"/>
                <w:szCs w:val="3"/>
                <w:color w:val="auto"/>
              </w:rPr>
            </w:pPr>
          </w:p>
        </w:tc>
        <w:tc>
          <w:tcPr>
            <w:tcW w:w="340" w:type="dxa"/>
            <w:vAlign w:val="bottom"/>
            <w:tcBorders>
              <w:right w:val="single" w:sz="8" w:color="auto"/>
            </w:tcBorders>
            <w:shd w:val="clear" w:color="auto" w:fill="F4F8EE"/>
          </w:tcPr>
          <w:p>
            <w:pPr>
              <w:spacing w:after="0"/>
              <w:rPr>
                <w:sz w:val="3"/>
                <w:szCs w:val="3"/>
                <w:color w:val="auto"/>
              </w:rPr>
            </w:pPr>
          </w:p>
        </w:tc>
        <w:tc>
          <w:tcPr>
            <w:tcW w:w="420" w:type="dxa"/>
            <w:vAlign w:val="bottom"/>
            <w:tcBorders>
              <w:right w:val="single" w:sz="8" w:color="auto"/>
            </w:tcBorders>
            <w:shd w:val="clear" w:color="auto" w:fill="F4F8EE"/>
          </w:tcPr>
          <w:p>
            <w:pPr>
              <w:spacing w:after="0"/>
              <w:rPr>
                <w:sz w:val="3"/>
                <w:szCs w:val="3"/>
                <w:color w:val="auto"/>
              </w:rPr>
            </w:pPr>
          </w:p>
        </w:tc>
        <w:tc>
          <w:tcPr>
            <w:tcW w:w="500" w:type="dxa"/>
            <w:vAlign w:val="bottom"/>
            <w:tcBorders>
              <w:right w:val="single" w:sz="8" w:color="auto"/>
            </w:tcBorders>
            <w:vMerge w:val="continue"/>
            <w:shd w:val="clear" w:color="auto" w:fill="F4F8EE"/>
          </w:tcPr>
          <w:p>
            <w:pPr>
              <w:spacing w:after="0"/>
              <w:rPr>
                <w:sz w:val="3"/>
                <w:szCs w:val="3"/>
                <w:color w:val="auto"/>
              </w:rPr>
            </w:pPr>
          </w:p>
        </w:tc>
        <w:tc>
          <w:tcPr>
            <w:tcW w:w="640" w:type="dxa"/>
            <w:vAlign w:val="bottom"/>
            <w:tcBorders>
              <w:right w:val="single" w:sz="8" w:color="auto"/>
            </w:tcBorders>
            <w:vMerge w:val="continue"/>
            <w:shd w:val="clear" w:color="auto" w:fill="F4F8EE"/>
          </w:tcPr>
          <w:p>
            <w:pPr>
              <w:spacing w:after="0"/>
              <w:rPr>
                <w:sz w:val="3"/>
                <w:szCs w:val="3"/>
                <w:color w:val="auto"/>
              </w:rPr>
            </w:pPr>
          </w:p>
        </w:tc>
        <w:tc>
          <w:tcPr>
            <w:tcW w:w="540" w:type="dxa"/>
            <w:vAlign w:val="bottom"/>
            <w:tcBorders>
              <w:right w:val="single" w:sz="8" w:color="auto"/>
            </w:tcBorders>
            <w:shd w:val="clear" w:color="auto" w:fill="F4F8EE"/>
          </w:tcPr>
          <w:p>
            <w:pPr>
              <w:spacing w:after="0"/>
              <w:rPr>
                <w:sz w:val="3"/>
                <w:szCs w:val="3"/>
                <w:color w:val="auto"/>
              </w:rPr>
            </w:pPr>
          </w:p>
        </w:tc>
        <w:tc>
          <w:tcPr>
            <w:tcW w:w="600" w:type="dxa"/>
            <w:vAlign w:val="bottom"/>
            <w:tcBorders>
              <w:right w:val="single" w:sz="8" w:color="auto"/>
            </w:tcBorders>
            <w:shd w:val="clear" w:color="auto" w:fill="F4F8EE"/>
          </w:tcPr>
          <w:p>
            <w:pPr>
              <w:spacing w:after="0"/>
              <w:rPr>
                <w:sz w:val="3"/>
                <w:szCs w:val="3"/>
                <w:color w:val="auto"/>
              </w:rPr>
            </w:pPr>
          </w:p>
        </w:tc>
        <w:tc>
          <w:tcPr>
            <w:tcW w:w="620" w:type="dxa"/>
            <w:vAlign w:val="bottom"/>
            <w:tcBorders>
              <w:right w:val="single" w:sz="8" w:color="auto"/>
            </w:tcBorders>
            <w:shd w:val="clear" w:color="auto" w:fill="F4F8EE"/>
          </w:tcPr>
          <w:p>
            <w:pPr>
              <w:spacing w:after="0"/>
              <w:rPr>
                <w:sz w:val="3"/>
                <w:szCs w:val="3"/>
                <w:color w:val="auto"/>
              </w:rPr>
            </w:pPr>
          </w:p>
        </w:tc>
        <w:tc>
          <w:tcPr>
            <w:tcW w:w="620" w:type="dxa"/>
            <w:vAlign w:val="bottom"/>
            <w:tcBorders>
              <w:right w:val="single" w:sz="8" w:color="auto"/>
            </w:tcBorders>
            <w:shd w:val="clear" w:color="auto" w:fill="F4F8EE"/>
          </w:tcPr>
          <w:p>
            <w:pPr>
              <w:spacing w:after="0"/>
              <w:rPr>
                <w:sz w:val="3"/>
                <w:szCs w:val="3"/>
                <w:color w:val="auto"/>
              </w:rPr>
            </w:pPr>
          </w:p>
        </w:tc>
        <w:tc>
          <w:tcPr>
            <w:tcW w:w="640" w:type="dxa"/>
            <w:vAlign w:val="bottom"/>
            <w:tcBorders>
              <w:right w:val="single" w:sz="8" w:color="auto"/>
            </w:tcBorders>
            <w:shd w:val="clear" w:color="auto" w:fill="F4F8EE"/>
          </w:tcPr>
          <w:p>
            <w:pPr>
              <w:spacing w:after="0"/>
              <w:rPr>
                <w:sz w:val="3"/>
                <w:szCs w:val="3"/>
                <w:color w:val="auto"/>
              </w:rPr>
            </w:pPr>
          </w:p>
        </w:tc>
        <w:tc>
          <w:tcPr>
            <w:tcW w:w="560" w:type="dxa"/>
            <w:vAlign w:val="bottom"/>
            <w:tcBorders>
              <w:right w:val="single" w:sz="8" w:color="auto"/>
            </w:tcBorders>
            <w:shd w:val="clear" w:color="auto" w:fill="F4F8EE"/>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vMerge w:val="continue"/>
            <w:shd w:val="clear" w:color="auto" w:fill="F4F8EE"/>
          </w:tcPr>
          <w:p>
            <w:pPr>
              <w:spacing w:after="0"/>
              <w:rPr>
                <w:sz w:val="6"/>
                <w:szCs w:val="6"/>
                <w:color w:val="auto"/>
              </w:rPr>
            </w:pPr>
          </w:p>
        </w:tc>
        <w:tc>
          <w:tcPr>
            <w:tcW w:w="240" w:type="dxa"/>
            <w:vAlign w:val="bottom"/>
            <w:tcBorders>
              <w:right w:val="single" w:sz="8" w:color="auto"/>
            </w:tcBorders>
            <w:vMerge w:val="restart"/>
            <w:shd w:val="clear" w:color="auto" w:fill="F4F8EE"/>
          </w:tcPr>
          <w:p>
            <w:pPr>
              <w:jc w:val="right"/>
              <w:ind w:right="75"/>
              <w:spacing w:after="0"/>
              <w:rPr>
                <w:sz w:val="20"/>
                <w:szCs w:val="20"/>
                <w:color w:val="auto"/>
              </w:rPr>
            </w:pPr>
            <w:r>
              <w:rPr>
                <w:rFonts w:ascii="Arial" w:cs="Arial" w:eastAsia="Arial" w:hAnsi="Arial"/>
                <w:sz w:val="9"/>
                <w:szCs w:val="9"/>
                <w:color w:val="auto"/>
              </w:rPr>
              <w:t>1</w:t>
            </w:r>
          </w:p>
        </w:tc>
        <w:tc>
          <w:tcPr>
            <w:tcW w:w="220" w:type="dxa"/>
            <w:vAlign w:val="bottom"/>
            <w:tcBorders>
              <w:right w:val="single" w:sz="8" w:color="auto"/>
            </w:tcBorders>
            <w:vMerge w:val="restart"/>
            <w:shd w:val="clear" w:color="auto" w:fill="F4F8EE"/>
          </w:tcPr>
          <w:p>
            <w:pPr>
              <w:jc w:val="center"/>
              <w:spacing w:after="0"/>
              <w:rPr>
                <w:sz w:val="20"/>
                <w:szCs w:val="20"/>
                <w:color w:val="auto"/>
              </w:rPr>
            </w:pPr>
            <w:r>
              <w:rPr>
                <w:rFonts w:ascii="Arial" w:cs="Arial" w:eastAsia="Arial" w:hAnsi="Arial"/>
                <w:sz w:val="9"/>
                <w:szCs w:val="9"/>
                <w:color w:val="auto"/>
                <w:w w:val="78"/>
              </w:rPr>
              <w:t>7</w:t>
            </w:r>
          </w:p>
        </w:tc>
        <w:tc>
          <w:tcPr>
            <w:tcW w:w="44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950</w:t>
            </w:r>
          </w:p>
        </w:tc>
        <w:tc>
          <w:tcPr>
            <w:tcW w:w="260" w:type="dxa"/>
            <w:vAlign w:val="bottom"/>
            <w:tcBorders>
              <w:right w:val="single" w:sz="8" w:color="auto"/>
            </w:tcBorders>
            <w:shd w:val="clear" w:color="auto" w:fill="F4F8EE"/>
          </w:tcPr>
          <w:p>
            <w:pPr>
              <w:spacing w:after="0"/>
              <w:rPr>
                <w:sz w:val="6"/>
                <w:szCs w:val="6"/>
                <w:color w:val="auto"/>
              </w:rPr>
            </w:pPr>
          </w:p>
        </w:tc>
        <w:tc>
          <w:tcPr>
            <w:tcW w:w="480" w:type="dxa"/>
            <w:vAlign w:val="bottom"/>
            <w:tcBorders>
              <w:right w:val="single" w:sz="8" w:color="auto"/>
            </w:tcBorders>
            <w:shd w:val="clear" w:color="auto" w:fill="F4F8EE"/>
          </w:tcPr>
          <w:p>
            <w:pPr>
              <w:spacing w:after="0"/>
              <w:rPr>
                <w:sz w:val="6"/>
                <w:szCs w:val="6"/>
                <w:color w:val="auto"/>
              </w:rPr>
            </w:pPr>
          </w:p>
        </w:tc>
        <w:tc>
          <w:tcPr>
            <w:tcW w:w="280" w:type="dxa"/>
            <w:vAlign w:val="bottom"/>
            <w:tcBorders>
              <w:right w:val="single" w:sz="8" w:color="auto"/>
            </w:tcBorders>
            <w:shd w:val="clear" w:color="auto" w:fill="F4F8EE"/>
          </w:tcPr>
          <w:p>
            <w:pPr>
              <w:spacing w:after="0"/>
              <w:rPr>
                <w:sz w:val="6"/>
                <w:szCs w:val="6"/>
                <w:color w:val="auto"/>
              </w:rPr>
            </w:pPr>
          </w:p>
        </w:tc>
        <w:tc>
          <w:tcPr>
            <w:tcW w:w="340" w:type="dxa"/>
            <w:vAlign w:val="bottom"/>
            <w:tcBorders>
              <w:right w:val="single" w:sz="8" w:color="auto"/>
            </w:tcBorders>
            <w:shd w:val="clear" w:color="auto" w:fill="F4F8EE"/>
          </w:tcPr>
          <w:p>
            <w:pPr>
              <w:spacing w:after="0"/>
              <w:rPr>
                <w:sz w:val="6"/>
                <w:szCs w:val="6"/>
                <w:color w:val="auto"/>
              </w:rPr>
            </w:pPr>
          </w:p>
        </w:tc>
        <w:tc>
          <w:tcPr>
            <w:tcW w:w="420" w:type="dxa"/>
            <w:vAlign w:val="bottom"/>
            <w:tcBorders>
              <w:right w:val="single" w:sz="8" w:color="auto"/>
            </w:tcBorders>
            <w:shd w:val="clear" w:color="auto" w:fill="F4F8EE"/>
          </w:tcPr>
          <w:p>
            <w:pPr>
              <w:spacing w:after="0"/>
              <w:rPr>
                <w:sz w:val="6"/>
                <w:szCs w:val="6"/>
                <w:color w:val="auto"/>
              </w:rPr>
            </w:pPr>
          </w:p>
        </w:tc>
        <w:tc>
          <w:tcPr>
            <w:tcW w:w="500" w:type="dxa"/>
            <w:vAlign w:val="bottom"/>
            <w:tcBorders>
              <w:right w:val="single" w:sz="8" w:color="auto"/>
            </w:tcBorders>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99.68</w:t>
            </w:r>
          </w:p>
        </w:tc>
        <w:tc>
          <w:tcPr>
            <w:tcW w:w="64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21/02/2032</w:t>
            </w:r>
          </w:p>
        </w:tc>
        <w:tc>
          <w:tcPr>
            <w:tcW w:w="540" w:type="dxa"/>
            <w:vAlign w:val="bottom"/>
            <w:tcBorders>
              <w:right w:val="single" w:sz="8" w:color="auto"/>
            </w:tcBorders>
            <w:shd w:val="clear" w:color="auto" w:fill="F4F8EE"/>
          </w:tcPr>
          <w:p>
            <w:pPr>
              <w:spacing w:after="0"/>
              <w:rPr>
                <w:sz w:val="6"/>
                <w:szCs w:val="6"/>
                <w:color w:val="auto"/>
              </w:rPr>
            </w:pPr>
          </w:p>
        </w:tc>
        <w:tc>
          <w:tcPr>
            <w:tcW w:w="600" w:type="dxa"/>
            <w:vAlign w:val="bottom"/>
            <w:tcBorders>
              <w:right w:val="single" w:sz="8" w:color="auto"/>
            </w:tcBorders>
            <w:shd w:val="clear" w:color="auto" w:fill="F4F8EE"/>
          </w:tcPr>
          <w:p>
            <w:pPr>
              <w:spacing w:after="0"/>
              <w:rPr>
                <w:sz w:val="6"/>
                <w:szCs w:val="6"/>
                <w:color w:val="auto"/>
              </w:rPr>
            </w:pPr>
          </w:p>
        </w:tc>
        <w:tc>
          <w:tcPr>
            <w:tcW w:w="620" w:type="dxa"/>
            <w:vAlign w:val="bottom"/>
            <w:tcBorders>
              <w:right w:val="single" w:sz="8" w:color="auto"/>
            </w:tcBorders>
            <w:shd w:val="clear" w:color="auto" w:fill="F4F8EE"/>
          </w:tcPr>
          <w:p>
            <w:pPr>
              <w:spacing w:after="0"/>
              <w:rPr>
                <w:sz w:val="6"/>
                <w:szCs w:val="6"/>
                <w:color w:val="auto"/>
              </w:rPr>
            </w:pPr>
          </w:p>
        </w:tc>
        <w:tc>
          <w:tcPr>
            <w:tcW w:w="620" w:type="dxa"/>
            <w:vAlign w:val="bottom"/>
            <w:tcBorders>
              <w:right w:val="single" w:sz="8" w:color="auto"/>
            </w:tcBorders>
            <w:shd w:val="clear" w:color="auto" w:fill="F4F8EE"/>
          </w:tcPr>
          <w:p>
            <w:pPr>
              <w:spacing w:after="0"/>
              <w:rPr>
                <w:sz w:val="6"/>
                <w:szCs w:val="6"/>
                <w:color w:val="auto"/>
              </w:rPr>
            </w:pPr>
          </w:p>
        </w:tc>
        <w:tc>
          <w:tcPr>
            <w:tcW w:w="640" w:type="dxa"/>
            <w:vAlign w:val="bottom"/>
            <w:tcBorders>
              <w:right w:val="single" w:sz="8" w:color="auto"/>
            </w:tcBorders>
            <w:shd w:val="clear" w:color="auto" w:fill="F4F8EE"/>
          </w:tcPr>
          <w:p>
            <w:pPr>
              <w:spacing w:after="0"/>
              <w:rPr>
                <w:sz w:val="6"/>
                <w:szCs w:val="6"/>
                <w:color w:val="auto"/>
              </w:rPr>
            </w:pPr>
          </w:p>
        </w:tc>
        <w:tc>
          <w:tcPr>
            <w:tcW w:w="560" w:type="dxa"/>
            <w:vAlign w:val="bottom"/>
            <w:tcBorders>
              <w:right w:val="single" w:sz="8" w:color="auto"/>
            </w:tcBorders>
            <w:shd w:val="clear" w:color="auto" w:fill="F4F8E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shd w:val="clear" w:color="auto" w:fill="F4F8EE"/>
          </w:tcPr>
          <w:p>
            <w:pPr>
              <w:spacing w:after="0"/>
              <w:rPr>
                <w:sz w:val="6"/>
                <w:szCs w:val="6"/>
                <w:color w:val="auto"/>
              </w:rPr>
            </w:pPr>
          </w:p>
        </w:tc>
        <w:tc>
          <w:tcPr>
            <w:tcW w:w="240" w:type="dxa"/>
            <w:vAlign w:val="bottom"/>
            <w:tcBorders>
              <w:right w:val="single" w:sz="8" w:color="auto"/>
            </w:tcBorders>
            <w:vMerge w:val="continue"/>
            <w:shd w:val="clear" w:color="auto" w:fill="F4F8EE"/>
          </w:tcPr>
          <w:p>
            <w:pPr>
              <w:spacing w:after="0"/>
              <w:rPr>
                <w:sz w:val="6"/>
                <w:szCs w:val="6"/>
                <w:color w:val="auto"/>
              </w:rPr>
            </w:pPr>
          </w:p>
        </w:tc>
        <w:tc>
          <w:tcPr>
            <w:tcW w:w="220" w:type="dxa"/>
            <w:vAlign w:val="bottom"/>
            <w:tcBorders>
              <w:right w:val="single" w:sz="8" w:color="auto"/>
            </w:tcBorders>
            <w:vMerge w:val="continue"/>
            <w:shd w:val="clear" w:color="auto" w:fill="F4F8EE"/>
          </w:tcPr>
          <w:p>
            <w:pPr>
              <w:spacing w:after="0"/>
              <w:rPr>
                <w:sz w:val="6"/>
                <w:szCs w:val="6"/>
                <w:color w:val="auto"/>
              </w:rPr>
            </w:pPr>
          </w:p>
        </w:tc>
        <w:tc>
          <w:tcPr>
            <w:tcW w:w="440" w:type="dxa"/>
            <w:vAlign w:val="bottom"/>
            <w:tcBorders>
              <w:right w:val="single" w:sz="8" w:color="auto"/>
            </w:tcBorders>
            <w:vMerge w:val="continue"/>
            <w:shd w:val="clear" w:color="auto" w:fill="F4F8EE"/>
          </w:tcPr>
          <w:p>
            <w:pPr>
              <w:spacing w:after="0"/>
              <w:rPr>
                <w:sz w:val="6"/>
                <w:szCs w:val="6"/>
                <w:color w:val="auto"/>
              </w:rPr>
            </w:pPr>
          </w:p>
        </w:tc>
        <w:tc>
          <w:tcPr>
            <w:tcW w:w="260" w:type="dxa"/>
            <w:vAlign w:val="bottom"/>
            <w:tcBorders>
              <w:right w:val="single" w:sz="8" w:color="auto"/>
            </w:tcBorders>
            <w:shd w:val="clear" w:color="auto" w:fill="F4F8EE"/>
          </w:tcPr>
          <w:p>
            <w:pPr>
              <w:spacing w:after="0"/>
              <w:rPr>
                <w:sz w:val="6"/>
                <w:szCs w:val="6"/>
                <w:color w:val="auto"/>
              </w:rPr>
            </w:pPr>
          </w:p>
        </w:tc>
        <w:tc>
          <w:tcPr>
            <w:tcW w:w="480" w:type="dxa"/>
            <w:vAlign w:val="bottom"/>
            <w:tcBorders>
              <w:right w:val="single" w:sz="8" w:color="auto"/>
            </w:tcBorders>
            <w:shd w:val="clear" w:color="auto" w:fill="F4F8EE"/>
          </w:tcPr>
          <w:p>
            <w:pPr>
              <w:spacing w:after="0"/>
              <w:rPr>
                <w:sz w:val="6"/>
                <w:szCs w:val="6"/>
                <w:color w:val="auto"/>
              </w:rPr>
            </w:pPr>
          </w:p>
        </w:tc>
        <w:tc>
          <w:tcPr>
            <w:tcW w:w="280" w:type="dxa"/>
            <w:vAlign w:val="bottom"/>
            <w:tcBorders>
              <w:right w:val="single" w:sz="8" w:color="auto"/>
            </w:tcBorders>
            <w:shd w:val="clear" w:color="auto" w:fill="F4F8EE"/>
          </w:tcPr>
          <w:p>
            <w:pPr>
              <w:spacing w:after="0"/>
              <w:rPr>
                <w:sz w:val="6"/>
                <w:szCs w:val="6"/>
                <w:color w:val="auto"/>
              </w:rPr>
            </w:pPr>
          </w:p>
        </w:tc>
        <w:tc>
          <w:tcPr>
            <w:tcW w:w="340" w:type="dxa"/>
            <w:vAlign w:val="bottom"/>
            <w:tcBorders>
              <w:right w:val="single" w:sz="8" w:color="auto"/>
            </w:tcBorders>
            <w:shd w:val="clear" w:color="auto" w:fill="F4F8EE"/>
          </w:tcPr>
          <w:p>
            <w:pPr>
              <w:spacing w:after="0"/>
              <w:rPr>
                <w:sz w:val="6"/>
                <w:szCs w:val="6"/>
                <w:color w:val="auto"/>
              </w:rPr>
            </w:pPr>
          </w:p>
        </w:tc>
        <w:tc>
          <w:tcPr>
            <w:tcW w:w="420" w:type="dxa"/>
            <w:vAlign w:val="bottom"/>
            <w:tcBorders>
              <w:right w:val="single" w:sz="8" w:color="auto"/>
            </w:tcBorders>
            <w:shd w:val="clear" w:color="auto" w:fill="F4F8EE"/>
          </w:tcPr>
          <w:p>
            <w:pPr>
              <w:spacing w:after="0"/>
              <w:rPr>
                <w:sz w:val="6"/>
                <w:szCs w:val="6"/>
                <w:color w:val="auto"/>
              </w:rPr>
            </w:pPr>
          </w:p>
        </w:tc>
        <w:tc>
          <w:tcPr>
            <w:tcW w:w="500" w:type="dxa"/>
            <w:vAlign w:val="bottom"/>
            <w:tcBorders>
              <w:right w:val="single" w:sz="8" w:color="auto"/>
            </w:tcBorders>
            <w:vMerge w:val="continue"/>
            <w:shd w:val="clear" w:color="auto" w:fill="F4F8EE"/>
          </w:tcPr>
          <w:p>
            <w:pPr>
              <w:spacing w:after="0"/>
              <w:rPr>
                <w:sz w:val="6"/>
                <w:szCs w:val="6"/>
                <w:color w:val="auto"/>
              </w:rPr>
            </w:pPr>
          </w:p>
        </w:tc>
        <w:tc>
          <w:tcPr>
            <w:tcW w:w="640" w:type="dxa"/>
            <w:vAlign w:val="bottom"/>
            <w:tcBorders>
              <w:right w:val="single" w:sz="8" w:color="auto"/>
            </w:tcBorders>
            <w:vMerge w:val="continue"/>
            <w:shd w:val="clear" w:color="auto" w:fill="F4F8EE"/>
          </w:tcPr>
          <w:p>
            <w:pPr>
              <w:spacing w:after="0"/>
              <w:rPr>
                <w:sz w:val="6"/>
                <w:szCs w:val="6"/>
                <w:color w:val="auto"/>
              </w:rPr>
            </w:pPr>
          </w:p>
        </w:tc>
        <w:tc>
          <w:tcPr>
            <w:tcW w:w="540" w:type="dxa"/>
            <w:vAlign w:val="bottom"/>
            <w:tcBorders>
              <w:right w:val="single" w:sz="8" w:color="auto"/>
            </w:tcBorders>
            <w:shd w:val="clear" w:color="auto" w:fill="F4F8EE"/>
          </w:tcPr>
          <w:p>
            <w:pPr>
              <w:spacing w:after="0"/>
              <w:rPr>
                <w:sz w:val="6"/>
                <w:szCs w:val="6"/>
                <w:color w:val="auto"/>
              </w:rPr>
            </w:pPr>
          </w:p>
        </w:tc>
        <w:tc>
          <w:tcPr>
            <w:tcW w:w="600" w:type="dxa"/>
            <w:vAlign w:val="bottom"/>
            <w:tcBorders>
              <w:right w:val="single" w:sz="8" w:color="auto"/>
            </w:tcBorders>
            <w:shd w:val="clear" w:color="auto" w:fill="F4F8EE"/>
          </w:tcPr>
          <w:p>
            <w:pPr>
              <w:spacing w:after="0"/>
              <w:rPr>
                <w:sz w:val="6"/>
                <w:szCs w:val="6"/>
                <w:color w:val="auto"/>
              </w:rPr>
            </w:pPr>
          </w:p>
        </w:tc>
        <w:tc>
          <w:tcPr>
            <w:tcW w:w="620" w:type="dxa"/>
            <w:vAlign w:val="bottom"/>
            <w:tcBorders>
              <w:right w:val="single" w:sz="8" w:color="auto"/>
            </w:tcBorders>
            <w:shd w:val="clear" w:color="auto" w:fill="F4F8EE"/>
          </w:tcPr>
          <w:p>
            <w:pPr>
              <w:spacing w:after="0"/>
              <w:rPr>
                <w:sz w:val="6"/>
                <w:szCs w:val="6"/>
                <w:color w:val="auto"/>
              </w:rPr>
            </w:pPr>
          </w:p>
        </w:tc>
        <w:tc>
          <w:tcPr>
            <w:tcW w:w="620" w:type="dxa"/>
            <w:vAlign w:val="bottom"/>
            <w:tcBorders>
              <w:right w:val="single" w:sz="8" w:color="auto"/>
            </w:tcBorders>
            <w:shd w:val="clear" w:color="auto" w:fill="F4F8EE"/>
          </w:tcPr>
          <w:p>
            <w:pPr>
              <w:spacing w:after="0"/>
              <w:rPr>
                <w:sz w:val="6"/>
                <w:szCs w:val="6"/>
                <w:color w:val="auto"/>
              </w:rPr>
            </w:pPr>
          </w:p>
        </w:tc>
        <w:tc>
          <w:tcPr>
            <w:tcW w:w="640" w:type="dxa"/>
            <w:vAlign w:val="bottom"/>
            <w:tcBorders>
              <w:right w:val="single" w:sz="8" w:color="auto"/>
            </w:tcBorders>
            <w:shd w:val="clear" w:color="auto" w:fill="F4F8EE"/>
          </w:tcPr>
          <w:p>
            <w:pPr>
              <w:spacing w:after="0"/>
              <w:rPr>
                <w:sz w:val="6"/>
                <w:szCs w:val="6"/>
                <w:color w:val="auto"/>
              </w:rPr>
            </w:pPr>
          </w:p>
        </w:tc>
        <w:tc>
          <w:tcPr>
            <w:tcW w:w="560" w:type="dxa"/>
            <w:vAlign w:val="bottom"/>
            <w:tcBorders>
              <w:right w:val="single" w:sz="8" w:color="auto"/>
            </w:tcBorders>
            <w:shd w:val="clear" w:color="auto" w:fill="F4F8E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1</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814</w:t>
            </w: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109.42</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spacing w:after="0"/>
              <w:rPr>
                <w:sz w:val="13"/>
                <w:szCs w:val="13"/>
                <w:color w:val="auto"/>
              </w:rPr>
            </w:pP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7</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21/02/2032</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1,425</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109,782</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1,220</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93,989</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1,166</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89,829</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1,670</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128,657</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27/02/2026</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3,661</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282,043</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3,497</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269,409</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5,009</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385,893</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1,999</w:t>
            </w:r>
          </w:p>
        </w:tc>
        <w:tc>
          <w:tcPr>
            <w:tcW w:w="60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154,003</w:t>
            </w:r>
          </w:p>
        </w:tc>
        <w:tc>
          <w:tcPr>
            <w:tcW w:w="62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spacing w:after="0"/>
              <w:rPr>
                <w:sz w:val="13"/>
                <w:szCs w:val="13"/>
                <w:color w:val="auto"/>
              </w:rPr>
            </w:pP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bottom w:val="single" w:sz="8" w:color="F4F8EE"/>
              <w:right w:val="single" w:sz="8" w:color="auto"/>
            </w:tcBorders>
            <w:shd w:val="clear" w:color="auto" w:fill="F4F8EE"/>
          </w:tcPr>
          <w:p>
            <w:pPr>
              <w:spacing w:after="0"/>
              <w:rPr>
                <w:sz w:val="15"/>
                <w:szCs w:val="15"/>
                <w:color w:val="auto"/>
              </w:rPr>
            </w:pPr>
          </w:p>
        </w:tc>
        <w:tc>
          <w:tcPr>
            <w:tcW w:w="240" w:type="dxa"/>
            <w:vAlign w:val="bottom"/>
            <w:tcBorders>
              <w:bottom w:val="single" w:sz="8" w:color="F4F8EE"/>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bottom w:val="single" w:sz="8" w:color="F4F8EE"/>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bottom w:val="single" w:sz="8" w:color="F4F8EE"/>
              <w:right w:val="single" w:sz="8" w:color="auto"/>
            </w:tcBorders>
            <w:shd w:val="clear" w:color="auto" w:fill="F4F8EE"/>
          </w:tcPr>
          <w:p>
            <w:pPr>
              <w:spacing w:after="0"/>
              <w:rPr>
                <w:sz w:val="15"/>
                <w:szCs w:val="15"/>
                <w:color w:val="auto"/>
              </w:rPr>
            </w:pPr>
          </w:p>
        </w:tc>
        <w:tc>
          <w:tcPr>
            <w:tcW w:w="260" w:type="dxa"/>
            <w:vAlign w:val="bottom"/>
            <w:tcBorders>
              <w:bottom w:val="single" w:sz="8" w:color="F4F8EE"/>
              <w:right w:val="single" w:sz="8" w:color="auto"/>
            </w:tcBorders>
            <w:shd w:val="clear" w:color="auto" w:fill="F4F8EE"/>
          </w:tcPr>
          <w:p>
            <w:pPr>
              <w:spacing w:after="0"/>
              <w:rPr>
                <w:sz w:val="15"/>
                <w:szCs w:val="15"/>
                <w:color w:val="auto"/>
              </w:rPr>
            </w:pPr>
          </w:p>
        </w:tc>
        <w:tc>
          <w:tcPr>
            <w:tcW w:w="480" w:type="dxa"/>
            <w:vAlign w:val="bottom"/>
            <w:tcBorders>
              <w:bottom w:val="single" w:sz="8" w:color="F4F8EE"/>
              <w:right w:val="single" w:sz="8" w:color="auto"/>
            </w:tcBorders>
            <w:shd w:val="clear" w:color="auto" w:fill="F4F8EE"/>
          </w:tcPr>
          <w:p>
            <w:pPr>
              <w:spacing w:after="0"/>
              <w:rPr>
                <w:sz w:val="15"/>
                <w:szCs w:val="15"/>
                <w:color w:val="auto"/>
              </w:rPr>
            </w:pPr>
          </w:p>
        </w:tc>
        <w:tc>
          <w:tcPr>
            <w:tcW w:w="280" w:type="dxa"/>
            <w:vAlign w:val="bottom"/>
            <w:tcBorders>
              <w:bottom w:val="single" w:sz="8" w:color="F4F8EE"/>
              <w:right w:val="single" w:sz="8" w:color="auto"/>
            </w:tcBorders>
            <w:shd w:val="clear" w:color="auto" w:fill="F4F8EE"/>
          </w:tcPr>
          <w:p>
            <w:pPr>
              <w:spacing w:after="0"/>
              <w:rPr>
                <w:sz w:val="15"/>
                <w:szCs w:val="15"/>
                <w:color w:val="auto"/>
              </w:rPr>
            </w:pPr>
          </w:p>
        </w:tc>
        <w:tc>
          <w:tcPr>
            <w:tcW w:w="340" w:type="dxa"/>
            <w:vAlign w:val="bottom"/>
            <w:tcBorders>
              <w:bottom w:val="single" w:sz="8" w:color="F4F8EE"/>
              <w:right w:val="single" w:sz="8" w:color="auto"/>
            </w:tcBorders>
            <w:shd w:val="clear" w:color="auto" w:fill="F4F8EE"/>
          </w:tcPr>
          <w:p>
            <w:pPr>
              <w:spacing w:after="0"/>
              <w:rPr>
                <w:sz w:val="15"/>
                <w:szCs w:val="15"/>
                <w:color w:val="auto"/>
              </w:rPr>
            </w:pPr>
          </w:p>
        </w:tc>
        <w:tc>
          <w:tcPr>
            <w:tcW w:w="420" w:type="dxa"/>
            <w:vAlign w:val="bottom"/>
            <w:tcBorders>
              <w:bottom w:val="single" w:sz="8" w:color="F4F8EE"/>
              <w:right w:val="single" w:sz="8" w:color="auto"/>
            </w:tcBorders>
            <w:shd w:val="clear" w:color="auto" w:fill="F4F8EE"/>
          </w:tcPr>
          <w:p>
            <w:pPr>
              <w:spacing w:after="0"/>
              <w:rPr>
                <w:sz w:val="15"/>
                <w:szCs w:val="15"/>
                <w:color w:val="auto"/>
              </w:rPr>
            </w:pPr>
          </w:p>
        </w:tc>
        <w:tc>
          <w:tcPr>
            <w:tcW w:w="500" w:type="dxa"/>
            <w:vAlign w:val="bottom"/>
            <w:tcBorders>
              <w:bottom w:val="single" w:sz="8" w:color="F4F8EE"/>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bottom w:val="single" w:sz="8" w:color="F4F8EE"/>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bottom w:val="single" w:sz="8" w:color="F4F8EE"/>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2,862</w:t>
            </w:r>
          </w:p>
        </w:tc>
        <w:tc>
          <w:tcPr>
            <w:tcW w:w="600" w:type="dxa"/>
            <w:vAlign w:val="bottom"/>
            <w:tcBorders>
              <w:bottom w:val="single" w:sz="8" w:color="F4F8EE"/>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220,488</w:t>
            </w:r>
          </w:p>
        </w:tc>
        <w:tc>
          <w:tcPr>
            <w:tcW w:w="620" w:type="dxa"/>
            <w:vAlign w:val="bottom"/>
            <w:tcBorders>
              <w:bottom w:val="single" w:sz="8" w:color="F4F8EE"/>
              <w:right w:val="single" w:sz="8" w:color="auto"/>
            </w:tcBorders>
            <w:shd w:val="clear" w:color="auto" w:fill="F4F8EE"/>
          </w:tcPr>
          <w:p>
            <w:pPr>
              <w:spacing w:after="0"/>
              <w:rPr>
                <w:sz w:val="15"/>
                <w:szCs w:val="15"/>
                <w:color w:val="auto"/>
              </w:rPr>
            </w:pPr>
          </w:p>
        </w:tc>
        <w:tc>
          <w:tcPr>
            <w:tcW w:w="620" w:type="dxa"/>
            <w:vAlign w:val="bottom"/>
            <w:tcBorders>
              <w:bottom w:val="single" w:sz="8" w:color="F4F8EE"/>
              <w:right w:val="single" w:sz="8" w:color="auto"/>
            </w:tcBorders>
            <w:shd w:val="clear" w:color="auto" w:fill="F4F8EE"/>
          </w:tcPr>
          <w:p>
            <w:pPr>
              <w:spacing w:after="0"/>
              <w:rPr>
                <w:sz w:val="15"/>
                <w:szCs w:val="15"/>
                <w:color w:val="auto"/>
              </w:rPr>
            </w:pPr>
          </w:p>
        </w:tc>
        <w:tc>
          <w:tcPr>
            <w:tcW w:w="640" w:type="dxa"/>
            <w:vAlign w:val="bottom"/>
            <w:tcBorders>
              <w:bottom w:val="single" w:sz="8" w:color="F4F8EE"/>
              <w:right w:val="single" w:sz="8" w:color="auto"/>
            </w:tcBorders>
            <w:shd w:val="clear" w:color="auto" w:fill="F4F8EE"/>
          </w:tcPr>
          <w:p>
            <w:pPr>
              <w:spacing w:after="0"/>
              <w:rPr>
                <w:sz w:val="15"/>
                <w:szCs w:val="15"/>
                <w:color w:val="auto"/>
              </w:rPr>
            </w:pPr>
          </w:p>
        </w:tc>
        <w:tc>
          <w:tcPr>
            <w:tcW w:w="560" w:type="dxa"/>
            <w:vAlign w:val="bottom"/>
            <w:tcBorders>
              <w:bottom w:val="single" w:sz="8" w:color="F4F8EE"/>
              <w:right w:val="single" w:sz="8" w:color="auto"/>
            </w:tcBorders>
            <w:shd w:val="clear" w:color="auto" w:fill="F4F8E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13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9"/>
                <w:szCs w:val="9"/>
                <w:b w:val="1"/>
                <w:bCs w:val="1"/>
                <w:color w:val="auto"/>
              </w:rPr>
              <w:t>Dr. Ian M. McRobbie</w:t>
            </w:r>
          </w:p>
        </w:tc>
        <w:tc>
          <w:tcPr>
            <w:tcW w:w="240" w:type="dxa"/>
            <w:vAlign w:val="bottom"/>
            <w:tcBorders>
              <w:top w:val="single" w:sz="8" w:color="auto"/>
              <w:right w:val="single" w:sz="8" w:color="auto"/>
            </w:tcBorders>
          </w:tcPr>
          <w:p>
            <w:pPr>
              <w:jc w:val="right"/>
              <w:ind w:right="75"/>
              <w:spacing w:after="0"/>
              <w:rPr>
                <w:sz w:val="20"/>
                <w:szCs w:val="20"/>
                <w:color w:val="auto"/>
              </w:rPr>
            </w:pPr>
            <w:r>
              <w:rPr>
                <w:rFonts w:ascii="Arial" w:cs="Arial" w:eastAsia="Arial" w:hAnsi="Arial"/>
                <w:sz w:val="9"/>
                <w:szCs w:val="9"/>
                <w:color w:val="auto"/>
              </w:rPr>
              <w:t>5</w:t>
            </w:r>
          </w:p>
        </w:tc>
        <w:tc>
          <w:tcPr>
            <w:tcW w:w="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9"/>
              </w:rPr>
              <w:t>11</w:t>
            </w:r>
          </w:p>
        </w:tc>
        <w:tc>
          <w:tcPr>
            <w:tcW w:w="4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9"/>
                <w:szCs w:val="9"/>
                <w:color w:val="auto"/>
              </w:rPr>
              <w:t>950</w:t>
            </w:r>
          </w:p>
        </w:tc>
        <w:tc>
          <w:tcPr>
            <w:tcW w:w="260" w:type="dxa"/>
            <w:vAlign w:val="bottom"/>
            <w:tcBorders>
              <w:top w:val="single" w:sz="8" w:color="auto"/>
              <w:right w:val="single" w:sz="8" w:color="auto"/>
            </w:tcBorders>
          </w:tcPr>
          <w:p>
            <w:pPr>
              <w:spacing w:after="0"/>
              <w:rPr>
                <w:sz w:val="9"/>
                <w:szCs w:val="9"/>
                <w:color w:val="auto"/>
              </w:rPr>
            </w:pPr>
          </w:p>
        </w:tc>
        <w:tc>
          <w:tcPr>
            <w:tcW w:w="480" w:type="dxa"/>
            <w:vAlign w:val="bottom"/>
            <w:tcBorders>
              <w:top w:val="single" w:sz="8" w:color="auto"/>
              <w:right w:val="single" w:sz="8" w:color="auto"/>
            </w:tcBorders>
          </w:tcPr>
          <w:p>
            <w:pPr>
              <w:spacing w:after="0"/>
              <w:rPr>
                <w:sz w:val="9"/>
                <w:szCs w:val="9"/>
                <w:color w:val="auto"/>
              </w:rPr>
            </w:pPr>
          </w:p>
        </w:tc>
        <w:tc>
          <w:tcPr>
            <w:tcW w:w="280" w:type="dxa"/>
            <w:vAlign w:val="bottom"/>
            <w:tcBorders>
              <w:top w:val="single" w:sz="8" w:color="auto"/>
              <w:right w:val="single" w:sz="8" w:color="auto"/>
            </w:tcBorders>
          </w:tcPr>
          <w:p>
            <w:pPr>
              <w:spacing w:after="0"/>
              <w:rPr>
                <w:sz w:val="9"/>
                <w:szCs w:val="9"/>
                <w:color w:val="auto"/>
              </w:rPr>
            </w:pPr>
          </w:p>
        </w:tc>
        <w:tc>
          <w:tcPr>
            <w:tcW w:w="340" w:type="dxa"/>
            <w:vAlign w:val="bottom"/>
            <w:tcBorders>
              <w:top w:val="single" w:sz="8" w:color="auto"/>
              <w:right w:val="single" w:sz="8" w:color="auto"/>
            </w:tcBorders>
          </w:tcPr>
          <w:p>
            <w:pPr>
              <w:spacing w:after="0"/>
              <w:rPr>
                <w:sz w:val="9"/>
                <w:szCs w:val="9"/>
                <w:color w:val="auto"/>
              </w:rPr>
            </w:pPr>
          </w:p>
        </w:tc>
        <w:tc>
          <w:tcPr>
            <w:tcW w:w="420" w:type="dxa"/>
            <w:vAlign w:val="bottom"/>
            <w:tcBorders>
              <w:top w:val="single" w:sz="8" w:color="auto"/>
              <w:right w:val="single" w:sz="8" w:color="auto"/>
            </w:tcBorders>
          </w:tcPr>
          <w:p>
            <w:pPr>
              <w:spacing w:after="0"/>
              <w:rPr>
                <w:sz w:val="9"/>
                <w:szCs w:val="9"/>
                <w:color w:val="auto"/>
              </w:rPr>
            </w:pPr>
          </w:p>
        </w:tc>
        <w:tc>
          <w:tcPr>
            <w:tcW w:w="500" w:type="dxa"/>
            <w:vAlign w:val="bottom"/>
            <w:tcBorders>
              <w:top w:val="single" w:sz="8" w:color="auto"/>
              <w:right w:val="single" w:sz="8" w:color="auto"/>
            </w:tcBorders>
          </w:tcPr>
          <w:p>
            <w:pPr>
              <w:jc w:val="right"/>
              <w:ind w:right="35"/>
              <w:spacing w:after="0"/>
              <w:rPr>
                <w:sz w:val="20"/>
                <w:szCs w:val="20"/>
                <w:color w:val="auto"/>
              </w:rPr>
            </w:pPr>
            <w:r>
              <w:rPr>
                <w:rFonts w:ascii="Arial" w:cs="Arial" w:eastAsia="Arial" w:hAnsi="Arial"/>
                <w:sz w:val="9"/>
                <w:szCs w:val="9"/>
                <w:color w:val="auto"/>
              </w:rPr>
              <w:t>70.60</w:t>
            </w:r>
          </w:p>
        </w:tc>
        <w:tc>
          <w:tcPr>
            <w:tcW w:w="6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9"/>
                <w:szCs w:val="9"/>
                <w:color w:val="auto"/>
              </w:rPr>
              <w:t>21/02/2027</w:t>
            </w:r>
          </w:p>
        </w:tc>
        <w:tc>
          <w:tcPr>
            <w:tcW w:w="540" w:type="dxa"/>
            <w:vAlign w:val="bottom"/>
            <w:tcBorders>
              <w:top w:val="single" w:sz="8" w:color="auto"/>
              <w:right w:val="single" w:sz="8" w:color="auto"/>
            </w:tcBorders>
          </w:tcPr>
          <w:p>
            <w:pPr>
              <w:spacing w:after="0"/>
              <w:rPr>
                <w:sz w:val="9"/>
                <w:szCs w:val="9"/>
                <w:color w:val="auto"/>
              </w:rPr>
            </w:pPr>
          </w:p>
        </w:tc>
        <w:tc>
          <w:tcPr>
            <w:tcW w:w="600" w:type="dxa"/>
            <w:vAlign w:val="bottom"/>
            <w:tcBorders>
              <w:top w:val="single" w:sz="8" w:color="auto"/>
              <w:right w:val="single" w:sz="8" w:color="auto"/>
            </w:tcBorders>
          </w:tcPr>
          <w:p>
            <w:pPr>
              <w:spacing w:after="0"/>
              <w:rPr>
                <w:sz w:val="9"/>
                <w:szCs w:val="9"/>
                <w:color w:val="auto"/>
              </w:rPr>
            </w:pPr>
          </w:p>
        </w:tc>
        <w:tc>
          <w:tcPr>
            <w:tcW w:w="620" w:type="dxa"/>
            <w:vAlign w:val="bottom"/>
            <w:tcBorders>
              <w:top w:val="single" w:sz="8" w:color="auto"/>
              <w:right w:val="single" w:sz="8" w:color="auto"/>
            </w:tcBorders>
          </w:tcPr>
          <w:p>
            <w:pPr>
              <w:spacing w:after="0"/>
              <w:rPr>
                <w:sz w:val="9"/>
                <w:szCs w:val="9"/>
                <w:color w:val="auto"/>
              </w:rPr>
            </w:pPr>
          </w:p>
        </w:tc>
        <w:tc>
          <w:tcPr>
            <w:tcW w:w="620" w:type="dxa"/>
            <w:vAlign w:val="bottom"/>
            <w:tcBorders>
              <w:top w:val="single" w:sz="8" w:color="auto"/>
              <w:right w:val="single" w:sz="8" w:color="auto"/>
            </w:tcBorders>
          </w:tcPr>
          <w:p>
            <w:pPr>
              <w:spacing w:after="0"/>
              <w:rPr>
                <w:sz w:val="9"/>
                <w:szCs w:val="9"/>
                <w:color w:val="auto"/>
              </w:rPr>
            </w:pPr>
          </w:p>
        </w:tc>
        <w:tc>
          <w:tcPr>
            <w:tcW w:w="640" w:type="dxa"/>
            <w:vAlign w:val="bottom"/>
            <w:tcBorders>
              <w:top w:val="single" w:sz="8" w:color="auto"/>
              <w:right w:val="single" w:sz="8" w:color="auto"/>
            </w:tcBorders>
          </w:tcPr>
          <w:p>
            <w:pPr>
              <w:spacing w:after="0"/>
              <w:rPr>
                <w:sz w:val="9"/>
                <w:szCs w:val="9"/>
                <w:color w:val="auto"/>
              </w:rPr>
            </w:pPr>
          </w:p>
        </w:tc>
        <w:tc>
          <w:tcPr>
            <w:tcW w:w="5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Senior Vice President and</w:t>
            </w:r>
          </w:p>
        </w:tc>
        <w:tc>
          <w:tcPr>
            <w:tcW w:w="240" w:type="dxa"/>
            <w:vAlign w:val="bottom"/>
            <w:tcBorders>
              <w:right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5</w:t>
            </w:r>
          </w:p>
        </w:tc>
        <w:tc>
          <w:tcPr>
            <w:tcW w:w="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12</w:t>
            </w:r>
          </w:p>
        </w:tc>
        <w:tc>
          <w:tcPr>
            <w:tcW w:w="4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1,138</w:t>
            </w:r>
          </w:p>
        </w:tc>
        <w:tc>
          <w:tcPr>
            <w:tcW w:w="26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68.20</w:t>
            </w:r>
          </w:p>
        </w:tc>
        <w:tc>
          <w:tcPr>
            <w:tcW w:w="6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20/02/2028</w:t>
            </w:r>
          </w:p>
        </w:tc>
        <w:tc>
          <w:tcPr>
            <w:tcW w:w="54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9"/>
                <w:szCs w:val="9"/>
                <w:color w:val="auto"/>
              </w:rPr>
              <w:t>Chief Technology Officer</w:t>
            </w:r>
          </w:p>
        </w:tc>
        <w:tc>
          <w:tcPr>
            <w:tcW w:w="240" w:type="dxa"/>
            <w:vAlign w:val="bottom"/>
            <w:tcBorders>
              <w:right w:val="single" w:sz="8" w:color="auto"/>
            </w:tcBorders>
            <w:vMerge w:val="continue"/>
          </w:tcPr>
          <w:p>
            <w:pPr>
              <w:spacing w:after="0"/>
              <w:rPr>
                <w:sz w:val="3"/>
                <w:szCs w:val="3"/>
                <w:color w:val="auto"/>
              </w:rPr>
            </w:pPr>
          </w:p>
        </w:tc>
        <w:tc>
          <w:tcPr>
            <w:tcW w:w="220" w:type="dxa"/>
            <w:vAlign w:val="bottom"/>
            <w:tcBorders>
              <w:right w:val="single" w:sz="8" w:color="auto"/>
            </w:tcBorders>
            <w:vMerge w:val="continue"/>
          </w:tcPr>
          <w:p>
            <w:pPr>
              <w:spacing w:after="0"/>
              <w:rPr>
                <w:sz w:val="3"/>
                <w:szCs w:val="3"/>
                <w:color w:val="auto"/>
              </w:rPr>
            </w:pPr>
          </w:p>
        </w:tc>
        <w:tc>
          <w:tcPr>
            <w:tcW w:w="440" w:type="dxa"/>
            <w:vAlign w:val="bottom"/>
            <w:tcBorders>
              <w:right w:val="single" w:sz="8" w:color="auto"/>
            </w:tcBorders>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500" w:type="dxa"/>
            <w:vAlign w:val="bottom"/>
            <w:tcBorders>
              <w:right w:val="single" w:sz="8" w:color="auto"/>
            </w:tcBorders>
            <w:vMerge w:val="continue"/>
          </w:tcPr>
          <w:p>
            <w:pPr>
              <w:spacing w:after="0"/>
              <w:rPr>
                <w:sz w:val="3"/>
                <w:szCs w:val="3"/>
                <w:color w:val="auto"/>
              </w:rPr>
            </w:pPr>
          </w:p>
        </w:tc>
        <w:tc>
          <w:tcPr>
            <w:tcW w:w="640" w:type="dxa"/>
            <w:vAlign w:val="bottom"/>
            <w:tcBorders>
              <w:right w:val="single" w:sz="8" w:color="auto"/>
            </w:tcBorders>
            <w:vMerge w:val="continue"/>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tcBorders>
              <w:right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99"/>
              </w:rPr>
              <w:t>13</w:t>
            </w:r>
          </w:p>
        </w:tc>
        <w:tc>
          <w:tcPr>
            <w:tcW w:w="4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919</w:t>
            </w:r>
          </w:p>
        </w:tc>
        <w:tc>
          <w:tcPr>
            <w:tcW w:w="260" w:type="dxa"/>
            <w:vAlign w:val="bottom"/>
            <w:tcBorders>
              <w:right w:val="single" w:sz="8" w:color="auto"/>
            </w:tcBorders>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81.07</w:t>
            </w:r>
          </w:p>
        </w:tc>
        <w:tc>
          <w:tcPr>
            <w:tcW w:w="6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25/02/2029</w:t>
            </w:r>
          </w:p>
        </w:tc>
        <w:tc>
          <w:tcPr>
            <w:tcW w:w="54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tcPr>
          <w:p>
            <w:pPr>
              <w:spacing w:after="0"/>
              <w:rPr>
                <w:sz w:val="6"/>
                <w:szCs w:val="6"/>
                <w:color w:val="auto"/>
              </w:rPr>
            </w:pPr>
          </w:p>
        </w:tc>
        <w:tc>
          <w:tcPr>
            <w:tcW w:w="240" w:type="dxa"/>
            <w:vAlign w:val="bottom"/>
            <w:tcBorders>
              <w:right w:val="single" w:sz="8" w:color="auto"/>
            </w:tcBorders>
            <w:vMerge w:val="continue"/>
          </w:tcPr>
          <w:p>
            <w:pPr>
              <w:spacing w:after="0"/>
              <w:rPr>
                <w:sz w:val="6"/>
                <w:szCs w:val="6"/>
                <w:color w:val="auto"/>
              </w:rPr>
            </w:pPr>
          </w:p>
        </w:tc>
        <w:tc>
          <w:tcPr>
            <w:tcW w:w="22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14</w:t>
            </w:r>
          </w:p>
        </w:tc>
        <w:tc>
          <w:tcPr>
            <w:tcW w:w="4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789</w:t>
            </w: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95.70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24/02/2030</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15</w:t>
            </w:r>
          </w:p>
        </w:tc>
        <w:tc>
          <w:tcPr>
            <w:tcW w:w="4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842</w:t>
            </w: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99.85</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24/02/2031</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7</w:t>
            </w:r>
          </w:p>
        </w:tc>
        <w:tc>
          <w:tcPr>
            <w:tcW w:w="4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842</w:t>
            </w: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99.68</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21/02/2032</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700</w:t>
            </w: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109.42</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6</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16</w:t>
            </w:r>
          </w:p>
        </w:tc>
        <w:tc>
          <w:tcPr>
            <w:tcW w:w="4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274</w:t>
            </w: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75.71</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19/03/2026</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17</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12/01/2031</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1,448</w:t>
            </w: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111,554</w:t>
            </w: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7</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21/02/2032</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3,791</w:t>
            </w: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292,059</w:t>
            </w: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3,148</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242,522</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2,991</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230,427</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3,639</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280,349</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1,306</w:t>
            </w:r>
          </w:p>
        </w:tc>
        <w:tc>
          <w:tcPr>
            <w:tcW w:w="60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100,614</w:t>
            </w: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1,687</w:t>
            </w:r>
          </w:p>
        </w:tc>
        <w:tc>
          <w:tcPr>
            <w:tcW w:w="60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129,966</w:t>
            </w: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1937385</wp:posOffset>
            </wp:positionV>
            <wp:extent cx="297180" cy="290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4" w:name="page85"/>
    <w:bookmarkEnd w:id="84"/>
    <w:p>
      <w:pPr>
        <w:spacing w:after="0" w:line="94" w:lineRule="exact"/>
        <w:rPr>
          <w:sz w:val="20"/>
          <w:szCs w:val="20"/>
          <w:color w:val="auto"/>
        </w:rPr>
      </w:pPr>
    </w:p>
    <w:tbl>
      <w:tblPr>
        <w:tblLayout w:type="fixed"/>
        <w:tblInd w:w="210" w:type="dxa"/>
        <w:tblCellMar>
          <w:top w:w="0" w:type="dxa"/>
          <w:left w:w="0" w:type="dxa"/>
          <w:bottom w:w="0" w:type="dxa"/>
          <w:right w:w="0" w:type="dxa"/>
        </w:tblCellMar>
      </w:tblPr>
      <w:tr>
        <w:trPr>
          <w:trHeight w:val="172"/>
        </w:trPr>
        <w:tc>
          <w:tcPr>
            <w:tcW w:w="1340" w:type="dxa"/>
            <w:vAlign w:val="bottom"/>
            <w:tcBorders>
              <w:top w:val="single" w:sz="8" w:color="auto"/>
              <w:left w:val="single" w:sz="8" w:color="auto"/>
              <w:bottom w:val="single" w:sz="8" w:color="9AB956"/>
              <w:right w:val="single" w:sz="8" w:color="9AB956"/>
            </w:tcBorders>
            <w:shd w:val="clear" w:color="auto" w:fill="9AB956"/>
          </w:tcPr>
          <w:p>
            <w:pPr>
              <w:spacing w:after="0"/>
              <w:rPr>
                <w:sz w:val="14"/>
                <w:szCs w:val="14"/>
                <w:color w:val="auto"/>
              </w:rPr>
            </w:pPr>
          </w:p>
        </w:tc>
        <w:tc>
          <w:tcPr>
            <w:tcW w:w="2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22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4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1020" w:type="dxa"/>
            <w:vAlign w:val="bottom"/>
            <w:tcBorders>
              <w:top w:val="single" w:sz="8" w:color="auto"/>
              <w:bottom w:val="single" w:sz="8" w:color="9AB956"/>
              <w:right w:val="single" w:sz="8" w:color="9AB956"/>
            </w:tcBorders>
            <w:gridSpan w:val="3"/>
            <w:shd w:val="clear" w:color="auto" w:fill="9AB956"/>
          </w:tcPr>
          <w:p>
            <w:pPr>
              <w:ind w:left="120"/>
              <w:spacing w:after="0"/>
              <w:rPr>
                <w:sz w:val="20"/>
                <w:szCs w:val="20"/>
                <w:color w:val="auto"/>
              </w:rPr>
            </w:pPr>
            <w:r>
              <w:rPr>
                <w:rFonts w:ascii="Arial" w:cs="Arial" w:eastAsia="Arial" w:hAnsi="Arial"/>
                <w:sz w:val="9"/>
                <w:szCs w:val="9"/>
                <w:b w:val="1"/>
                <w:bCs w:val="1"/>
                <w:color w:val="FFFFFF"/>
              </w:rPr>
              <w:t>Option Awards</w:t>
            </w:r>
          </w:p>
        </w:tc>
        <w:tc>
          <w:tcPr>
            <w:tcW w:w="3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42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50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640" w:type="dxa"/>
            <w:vAlign w:val="bottom"/>
            <w:tcBorders>
              <w:top w:val="single" w:sz="8" w:color="auto"/>
              <w:bottom w:val="single" w:sz="8" w:color="9AB956"/>
              <w:right w:val="single" w:sz="8" w:color="auto"/>
            </w:tcBorders>
            <w:shd w:val="clear" w:color="auto" w:fill="9AB956"/>
          </w:tcPr>
          <w:p>
            <w:pPr>
              <w:spacing w:after="0"/>
              <w:rPr>
                <w:sz w:val="14"/>
                <w:szCs w:val="14"/>
                <w:color w:val="auto"/>
              </w:rPr>
            </w:pPr>
          </w:p>
        </w:tc>
        <w:tc>
          <w:tcPr>
            <w:tcW w:w="5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60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1240" w:type="dxa"/>
            <w:vAlign w:val="bottom"/>
            <w:tcBorders>
              <w:top w:val="single" w:sz="8" w:color="auto"/>
              <w:bottom w:val="single" w:sz="8" w:color="9AB956"/>
              <w:right w:val="single" w:sz="8" w:color="9AB956"/>
            </w:tcBorders>
            <w:gridSpan w:val="2"/>
            <w:shd w:val="clear" w:color="auto" w:fill="9AB956"/>
          </w:tcPr>
          <w:p>
            <w:pPr>
              <w:ind w:left="320"/>
              <w:spacing w:after="0"/>
              <w:rPr>
                <w:sz w:val="20"/>
                <w:szCs w:val="20"/>
                <w:color w:val="auto"/>
              </w:rPr>
            </w:pPr>
            <w:r>
              <w:rPr>
                <w:rFonts w:ascii="Arial" w:cs="Arial" w:eastAsia="Arial" w:hAnsi="Arial"/>
                <w:sz w:val="9"/>
                <w:szCs w:val="9"/>
                <w:b w:val="1"/>
                <w:bCs w:val="1"/>
                <w:color w:val="FFFFFF"/>
              </w:rPr>
              <w:t>Stock Awards</w:t>
            </w:r>
          </w:p>
        </w:tc>
        <w:tc>
          <w:tcPr>
            <w:tcW w:w="640" w:type="dxa"/>
            <w:vAlign w:val="bottom"/>
            <w:tcBorders>
              <w:top w:val="single" w:sz="8" w:color="auto"/>
              <w:bottom w:val="single" w:sz="8" w:color="9AB956"/>
              <w:right w:val="single" w:sz="8" w:color="9AB956"/>
            </w:tcBorders>
            <w:shd w:val="clear" w:color="auto" w:fill="9AB956"/>
          </w:tcPr>
          <w:p>
            <w:pPr>
              <w:spacing w:after="0"/>
              <w:rPr>
                <w:sz w:val="14"/>
                <w:szCs w:val="14"/>
                <w:color w:val="auto"/>
              </w:rPr>
            </w:pPr>
          </w:p>
        </w:tc>
        <w:tc>
          <w:tcPr>
            <w:tcW w:w="560" w:type="dxa"/>
            <w:vAlign w:val="bottom"/>
            <w:tcBorders>
              <w:top w:val="single" w:sz="8" w:color="auto"/>
              <w:bottom w:val="single" w:sz="8" w:color="9AB956"/>
              <w:right w:val="single" w:sz="8" w:color="auto"/>
            </w:tcBorders>
            <w:shd w:val="clear" w:color="auto" w:fill="9AB956"/>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340" w:type="dxa"/>
            <w:vAlign w:val="bottom"/>
            <w:tcBorders>
              <w:top w:val="single" w:sz="8" w:color="9AB956"/>
              <w:left w:val="single" w:sz="8" w:color="auto"/>
              <w:right w:val="single" w:sz="8" w:color="9AB956"/>
            </w:tcBorders>
            <w:shd w:val="clear" w:color="auto" w:fill="9AB956"/>
          </w:tcPr>
          <w:p>
            <w:pPr>
              <w:ind w:left="60"/>
              <w:spacing w:after="0"/>
              <w:rPr>
                <w:sz w:val="20"/>
                <w:szCs w:val="20"/>
                <w:color w:val="auto"/>
              </w:rPr>
            </w:pPr>
            <w:r>
              <w:rPr>
                <w:rFonts w:ascii="Arial" w:cs="Arial" w:eastAsia="Arial" w:hAnsi="Arial"/>
                <w:sz w:val="9"/>
                <w:szCs w:val="9"/>
                <w:b w:val="1"/>
                <w:bCs w:val="1"/>
                <w:color w:val="FFFFFF"/>
              </w:rPr>
              <w:t>Name and Principal Position</w:t>
            </w:r>
          </w:p>
        </w:tc>
        <w:tc>
          <w:tcPr>
            <w:tcW w:w="240" w:type="dxa"/>
            <w:vAlign w:val="bottom"/>
            <w:tcBorders>
              <w:top w:val="single" w:sz="8" w:color="9AB956"/>
              <w:right w:val="single" w:sz="8" w:color="9AB956"/>
            </w:tcBorders>
            <w:shd w:val="clear" w:color="auto" w:fill="9AB956"/>
          </w:tcPr>
          <w:p>
            <w:pPr>
              <w:spacing w:after="0"/>
              <w:rPr>
                <w:sz w:val="9"/>
                <w:szCs w:val="9"/>
                <w:color w:val="auto"/>
              </w:rPr>
            </w:pPr>
          </w:p>
        </w:tc>
        <w:tc>
          <w:tcPr>
            <w:tcW w:w="220" w:type="dxa"/>
            <w:vAlign w:val="bottom"/>
            <w:tcBorders>
              <w:top w:val="single" w:sz="8" w:color="9AB956"/>
              <w:right w:val="single" w:sz="8" w:color="9AB956"/>
            </w:tcBorders>
            <w:shd w:val="clear" w:color="auto" w:fill="9AB956"/>
          </w:tcPr>
          <w:p>
            <w:pPr>
              <w:spacing w:after="0"/>
              <w:rPr>
                <w:sz w:val="9"/>
                <w:szCs w:val="9"/>
                <w:color w:val="auto"/>
              </w:rPr>
            </w:pPr>
          </w:p>
        </w:tc>
        <w:tc>
          <w:tcPr>
            <w:tcW w:w="700" w:type="dxa"/>
            <w:vAlign w:val="bottom"/>
            <w:tcBorders>
              <w:top w:val="single" w:sz="8" w:color="auto"/>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rPr>
              <w:t>Number of</w:t>
            </w:r>
          </w:p>
        </w:tc>
        <w:tc>
          <w:tcPr>
            <w:tcW w:w="760" w:type="dxa"/>
            <w:vAlign w:val="bottom"/>
            <w:tcBorders>
              <w:top w:val="single" w:sz="8" w:color="auto"/>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7"/>
              </w:rPr>
              <w:t>Number of</w:t>
            </w:r>
          </w:p>
        </w:tc>
        <w:tc>
          <w:tcPr>
            <w:tcW w:w="760" w:type="dxa"/>
            <w:vAlign w:val="bottom"/>
            <w:tcBorders>
              <w:top w:val="single" w:sz="8" w:color="auto"/>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4"/>
              </w:rPr>
              <w:t>Equity</w:t>
            </w:r>
          </w:p>
        </w:tc>
        <w:tc>
          <w:tcPr>
            <w:tcW w:w="500" w:type="dxa"/>
            <w:vAlign w:val="bottom"/>
            <w:tcBorders>
              <w:top w:val="single" w:sz="8" w:color="auto"/>
              <w:right w:val="single" w:sz="8" w:color="9AB956"/>
            </w:tcBorders>
            <w:shd w:val="clear" w:color="auto" w:fill="9AB956"/>
          </w:tcPr>
          <w:p>
            <w:pPr>
              <w:jc w:val="center"/>
              <w:ind w:right="15"/>
              <w:spacing w:after="0"/>
              <w:rPr>
                <w:sz w:val="20"/>
                <w:szCs w:val="20"/>
                <w:color w:val="auto"/>
              </w:rPr>
            </w:pPr>
            <w:r>
              <w:rPr>
                <w:rFonts w:ascii="Arial" w:cs="Arial" w:eastAsia="Arial" w:hAnsi="Arial"/>
                <w:sz w:val="9"/>
                <w:szCs w:val="9"/>
                <w:b w:val="1"/>
                <w:bCs w:val="1"/>
                <w:color w:val="FFFFFF"/>
                <w:w w:val="96"/>
              </w:rPr>
              <w:t>Option</w:t>
            </w:r>
          </w:p>
        </w:tc>
        <w:tc>
          <w:tcPr>
            <w:tcW w:w="640" w:type="dxa"/>
            <w:vAlign w:val="bottom"/>
            <w:tcBorders>
              <w:top w:val="single" w:sz="8" w:color="auto"/>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Option</w:t>
            </w:r>
          </w:p>
        </w:tc>
        <w:tc>
          <w:tcPr>
            <w:tcW w:w="54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Number</w:t>
            </w:r>
          </w:p>
        </w:tc>
        <w:tc>
          <w:tcPr>
            <w:tcW w:w="60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Market</w:t>
            </w:r>
          </w:p>
        </w:tc>
        <w:tc>
          <w:tcPr>
            <w:tcW w:w="62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Equity</w:t>
            </w:r>
          </w:p>
        </w:tc>
        <w:tc>
          <w:tcPr>
            <w:tcW w:w="62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Equity</w:t>
            </w:r>
          </w:p>
        </w:tc>
        <w:tc>
          <w:tcPr>
            <w:tcW w:w="64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Equity</w:t>
            </w:r>
          </w:p>
        </w:tc>
        <w:tc>
          <w:tcPr>
            <w:tcW w:w="560" w:type="dxa"/>
            <w:vAlign w:val="bottom"/>
            <w:tcBorders>
              <w:top w:val="single" w:sz="8" w:color="auto"/>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Equity</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Securities</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7"/>
              </w:rPr>
              <w:t>Securities</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rPr>
              <w:t>Incentive Plans</w:t>
            </w:r>
          </w:p>
        </w:tc>
        <w:tc>
          <w:tcPr>
            <w:tcW w:w="500" w:type="dxa"/>
            <w:vAlign w:val="bottom"/>
            <w:tcBorders>
              <w:right w:val="single" w:sz="8" w:color="9AB956"/>
            </w:tcBorders>
            <w:shd w:val="clear" w:color="auto" w:fill="9AB956"/>
          </w:tcPr>
          <w:p>
            <w:pPr>
              <w:jc w:val="center"/>
              <w:ind w:right="15"/>
              <w:spacing w:after="0"/>
              <w:rPr>
                <w:sz w:val="20"/>
                <w:szCs w:val="20"/>
                <w:color w:val="auto"/>
              </w:rPr>
            </w:pPr>
            <w:r>
              <w:rPr>
                <w:rFonts w:ascii="Arial" w:cs="Arial" w:eastAsia="Arial" w:hAnsi="Arial"/>
                <w:sz w:val="9"/>
                <w:szCs w:val="9"/>
                <w:b w:val="1"/>
                <w:bCs w:val="1"/>
                <w:color w:val="FFFFFF"/>
                <w:w w:val="97"/>
              </w:rPr>
              <w:t>Exercise</w:t>
            </w:r>
          </w:p>
        </w:tc>
        <w:tc>
          <w:tcPr>
            <w:tcW w:w="64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Expiration</w:t>
            </w: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of Shares</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Value of</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Incentive</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Incentive</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Incentive</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Incentive</w:t>
            </w:r>
          </w:p>
        </w:tc>
        <w:tc>
          <w:tcPr>
            <w:tcW w:w="0" w:type="dxa"/>
            <w:vAlign w:val="bottom"/>
          </w:tcPr>
          <w:p>
            <w:pPr>
              <w:spacing w:after="0"/>
              <w:rPr>
                <w:sz w:val="1"/>
                <w:szCs w:val="1"/>
                <w:color w:val="auto"/>
              </w:rPr>
            </w:pPr>
          </w:p>
        </w:tc>
      </w:tr>
      <w:tr>
        <w:trPr>
          <w:trHeight w:val="113"/>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Underlying</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7"/>
              </w:rPr>
              <w:t>Underlying</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5"/>
              </w:rPr>
              <w:t>Awards:</w:t>
            </w:r>
          </w:p>
        </w:tc>
        <w:tc>
          <w:tcPr>
            <w:tcW w:w="5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Price</w:t>
            </w:r>
          </w:p>
        </w:tc>
        <w:tc>
          <w:tcPr>
            <w:tcW w:w="64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Date</w:t>
            </w: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or Units</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Shares or</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Plan</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Plan</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Plan</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Plan</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rPr>
              <w:t>Unexercised</w:t>
            </w:r>
          </w:p>
        </w:tc>
        <w:tc>
          <w:tcPr>
            <w:tcW w:w="760" w:type="dxa"/>
            <w:vAlign w:val="bottom"/>
            <w:tcBorders>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7"/>
              </w:rPr>
              <w:t>Unexercised</w:t>
            </w:r>
          </w:p>
        </w:tc>
        <w:tc>
          <w:tcPr>
            <w:tcW w:w="760" w:type="dxa"/>
            <w:vAlign w:val="bottom"/>
            <w:tcBorders>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7"/>
              </w:rPr>
              <w:t>Number of</w:t>
            </w: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of Stock</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Units of</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Awards:</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Awards:</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Awards:</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Awards:</w:t>
            </w:r>
          </w:p>
        </w:tc>
        <w:tc>
          <w:tcPr>
            <w:tcW w:w="0" w:type="dxa"/>
            <w:vAlign w:val="bottom"/>
          </w:tcPr>
          <w:p>
            <w:pPr>
              <w:spacing w:after="0"/>
              <w:rPr>
                <w:sz w:val="1"/>
                <w:szCs w:val="1"/>
                <w:color w:val="auto"/>
              </w:rPr>
            </w:pPr>
          </w:p>
        </w:tc>
      </w:tr>
      <w:tr>
        <w:trPr>
          <w:trHeight w:val="113"/>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Options</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9"/>
              </w:rPr>
              <w:t>Options</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7"/>
              </w:rPr>
              <w:t>Securities</w:t>
            </w: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That Have</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5"/>
              </w:rPr>
              <w:t>Stock That</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Number of</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Number of</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Market or</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Market or</w:t>
            </w:r>
          </w:p>
        </w:tc>
        <w:tc>
          <w:tcPr>
            <w:tcW w:w="0" w:type="dxa"/>
            <w:vAlign w:val="bottom"/>
          </w:tcPr>
          <w:p>
            <w:pPr>
              <w:spacing w:after="0"/>
              <w:rPr>
                <w:sz w:val="1"/>
                <w:szCs w:val="1"/>
                <w:color w:val="auto"/>
              </w:rPr>
            </w:pPr>
          </w:p>
        </w:tc>
      </w:tr>
      <w:tr>
        <w:trPr>
          <w:trHeight w:val="111"/>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700" w:type="dxa"/>
            <w:vAlign w:val="bottom"/>
            <w:tcBorders>
              <w:right w:val="single" w:sz="8" w:color="9AB956"/>
            </w:tcBorders>
            <w:gridSpan w:val="2"/>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Exercisable</w:t>
            </w:r>
          </w:p>
        </w:tc>
        <w:tc>
          <w:tcPr>
            <w:tcW w:w="760" w:type="dxa"/>
            <w:vAlign w:val="bottom"/>
            <w:tcBorders>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8"/>
              </w:rPr>
              <w:t>Unexercisable</w:t>
            </w: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7"/>
              </w:rPr>
              <w:t>Underlying</w:t>
            </w: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3"/>
              </w:rPr>
              <w:t>Not</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Have not</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Unearned</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Shares,</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Payout Value</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Payout</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440" w:type="dxa"/>
            <w:vAlign w:val="bottom"/>
            <w:tcBorders>
              <w:right w:val="single" w:sz="8" w:color="9AB956"/>
            </w:tcBorders>
            <w:shd w:val="clear" w:color="auto" w:fill="9AB956"/>
          </w:tcPr>
          <w:p>
            <w:pPr>
              <w:jc w:val="center"/>
              <w:ind w:left="175"/>
              <w:spacing w:after="0"/>
              <w:rPr>
                <w:sz w:val="20"/>
                <w:szCs w:val="20"/>
                <w:color w:val="auto"/>
              </w:rPr>
            </w:pPr>
            <w:r>
              <w:rPr>
                <w:rFonts w:ascii="Arial" w:cs="Arial" w:eastAsia="Arial" w:hAnsi="Arial"/>
                <w:sz w:val="9"/>
                <w:szCs w:val="9"/>
                <w:b w:val="1"/>
                <w:bCs w:val="1"/>
                <w:color w:val="FFFFFF"/>
                <w:w w:val="90"/>
              </w:rPr>
              <w:t>($)</w:t>
            </w:r>
          </w:p>
        </w:tc>
        <w:tc>
          <w:tcPr>
            <w:tcW w:w="260" w:type="dxa"/>
            <w:vAlign w:val="bottom"/>
            <w:tcBorders>
              <w:right w:val="single" w:sz="8" w:color="9AB956"/>
            </w:tcBorders>
            <w:shd w:val="clear" w:color="auto" w:fill="9AB956"/>
          </w:tcPr>
          <w:p>
            <w:pPr>
              <w:spacing w:after="0"/>
              <w:rPr>
                <w:sz w:val="10"/>
                <w:szCs w:val="10"/>
                <w:color w:val="auto"/>
              </w:rPr>
            </w:pPr>
          </w:p>
        </w:tc>
        <w:tc>
          <w:tcPr>
            <w:tcW w:w="480" w:type="dxa"/>
            <w:vAlign w:val="bottom"/>
            <w:tcBorders>
              <w:right w:val="single" w:sz="8" w:color="9AB956"/>
            </w:tcBorders>
            <w:shd w:val="clear" w:color="auto" w:fill="9AB956"/>
          </w:tcPr>
          <w:p>
            <w:pPr>
              <w:spacing w:after="0"/>
              <w:rPr>
                <w:sz w:val="10"/>
                <w:szCs w:val="10"/>
                <w:color w:val="auto"/>
              </w:rPr>
            </w:pPr>
          </w:p>
        </w:tc>
        <w:tc>
          <w:tcPr>
            <w:tcW w:w="280" w:type="dxa"/>
            <w:vAlign w:val="bottom"/>
            <w:tcBorders>
              <w:right w:val="single" w:sz="8" w:color="9AB956"/>
            </w:tcBorders>
            <w:shd w:val="clear" w:color="auto" w:fill="9AB956"/>
          </w:tcPr>
          <w:p>
            <w:pPr>
              <w:spacing w:after="0"/>
              <w:rPr>
                <w:sz w:val="10"/>
                <w:szCs w:val="10"/>
                <w:color w:val="auto"/>
              </w:rPr>
            </w:pPr>
          </w:p>
        </w:tc>
        <w:tc>
          <w:tcPr>
            <w:tcW w:w="760" w:type="dxa"/>
            <w:vAlign w:val="bottom"/>
            <w:tcBorders>
              <w:right w:val="single" w:sz="8" w:color="9AB956"/>
            </w:tcBorders>
            <w:gridSpan w:val="2"/>
            <w:shd w:val="clear" w:color="auto" w:fill="9AB956"/>
          </w:tcPr>
          <w:p>
            <w:pPr>
              <w:jc w:val="center"/>
              <w:ind w:right="40"/>
              <w:spacing w:after="0"/>
              <w:rPr>
                <w:sz w:val="20"/>
                <w:szCs w:val="20"/>
                <w:color w:val="auto"/>
              </w:rPr>
            </w:pPr>
            <w:r>
              <w:rPr>
                <w:rFonts w:ascii="Arial" w:cs="Arial" w:eastAsia="Arial" w:hAnsi="Arial"/>
                <w:sz w:val="9"/>
                <w:szCs w:val="9"/>
                <w:b w:val="1"/>
                <w:bCs w:val="1"/>
                <w:color w:val="FFFFFF"/>
                <w:w w:val="98"/>
              </w:rPr>
              <w:t>Unexercisable</w:t>
            </w: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Vested</w:t>
            </w:r>
          </w:p>
        </w:tc>
        <w:tc>
          <w:tcPr>
            <w:tcW w:w="6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4"/>
              </w:rPr>
              <w:t>Vested</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Shares,</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Units or</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of Unearned</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6"/>
              </w:rPr>
              <w:t>Value of</w:t>
            </w:r>
          </w:p>
        </w:tc>
        <w:tc>
          <w:tcPr>
            <w:tcW w:w="0" w:type="dxa"/>
            <w:vAlign w:val="bottom"/>
          </w:tcPr>
          <w:p>
            <w:pPr>
              <w:spacing w:after="0"/>
              <w:rPr>
                <w:sz w:val="1"/>
                <w:szCs w:val="1"/>
                <w:color w:val="auto"/>
              </w:rPr>
            </w:pPr>
          </w:p>
        </w:tc>
      </w:tr>
      <w:tr>
        <w:trPr>
          <w:trHeight w:val="113"/>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440" w:type="dxa"/>
            <w:vAlign w:val="bottom"/>
            <w:tcBorders>
              <w:right w:val="single" w:sz="8" w:color="9AB956"/>
            </w:tcBorders>
            <w:shd w:val="clear" w:color="auto" w:fill="9AB956"/>
          </w:tcPr>
          <w:p>
            <w:pPr>
              <w:spacing w:after="0"/>
              <w:rPr>
                <w:sz w:val="9"/>
                <w:szCs w:val="9"/>
                <w:color w:val="auto"/>
              </w:rPr>
            </w:pPr>
          </w:p>
        </w:tc>
        <w:tc>
          <w:tcPr>
            <w:tcW w:w="260" w:type="dxa"/>
            <w:vAlign w:val="bottom"/>
            <w:tcBorders>
              <w:right w:val="single" w:sz="8" w:color="9AB956"/>
            </w:tcBorders>
            <w:shd w:val="clear" w:color="auto" w:fill="9AB956"/>
          </w:tcPr>
          <w:p>
            <w:pPr>
              <w:spacing w:after="0"/>
              <w:rPr>
                <w:sz w:val="9"/>
                <w:szCs w:val="9"/>
                <w:color w:val="auto"/>
              </w:rPr>
            </w:pPr>
          </w:p>
        </w:tc>
        <w:tc>
          <w:tcPr>
            <w:tcW w:w="480" w:type="dxa"/>
            <w:vAlign w:val="bottom"/>
            <w:tcBorders>
              <w:right w:val="single" w:sz="8" w:color="9AB956"/>
            </w:tcBorders>
            <w:shd w:val="clear" w:color="auto" w:fill="9AB956"/>
          </w:tcPr>
          <w:p>
            <w:pPr>
              <w:spacing w:after="0"/>
              <w:rPr>
                <w:sz w:val="9"/>
                <w:szCs w:val="9"/>
                <w:color w:val="auto"/>
              </w:rPr>
            </w:pPr>
          </w:p>
        </w:tc>
        <w:tc>
          <w:tcPr>
            <w:tcW w:w="280" w:type="dxa"/>
            <w:vAlign w:val="bottom"/>
            <w:tcBorders>
              <w:right w:val="single" w:sz="8" w:color="9AB956"/>
            </w:tcBorders>
            <w:shd w:val="clear" w:color="auto" w:fill="9AB956"/>
          </w:tcPr>
          <w:p>
            <w:pPr>
              <w:spacing w:after="0"/>
              <w:rPr>
                <w:sz w:val="9"/>
                <w:szCs w:val="9"/>
                <w:color w:val="auto"/>
              </w:rPr>
            </w:pPr>
          </w:p>
        </w:tc>
        <w:tc>
          <w:tcPr>
            <w:tcW w:w="760" w:type="dxa"/>
            <w:vAlign w:val="bottom"/>
            <w:tcBorders>
              <w:right w:val="single" w:sz="8" w:color="9AB956"/>
            </w:tcBorders>
            <w:gridSpan w:val="2"/>
            <w:shd w:val="clear" w:color="auto" w:fill="9AB956"/>
          </w:tcPr>
          <w:p>
            <w:pPr>
              <w:jc w:val="center"/>
              <w:ind w:right="60"/>
              <w:spacing w:after="0"/>
              <w:rPr>
                <w:sz w:val="20"/>
                <w:szCs w:val="20"/>
                <w:color w:val="auto"/>
              </w:rPr>
            </w:pPr>
            <w:r>
              <w:rPr>
                <w:rFonts w:ascii="Arial" w:cs="Arial" w:eastAsia="Arial" w:hAnsi="Arial"/>
                <w:sz w:val="9"/>
                <w:szCs w:val="9"/>
                <w:b w:val="1"/>
                <w:bCs w:val="1"/>
                <w:color w:val="FFFFFF"/>
                <w:w w:val="90"/>
              </w:rPr>
              <w:t>($)</w:t>
            </w: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spacing w:after="0"/>
              <w:rPr>
                <w:sz w:val="9"/>
                <w:szCs w:val="9"/>
                <w:color w:val="auto"/>
              </w:rPr>
            </w:pPr>
          </w:p>
        </w:tc>
        <w:tc>
          <w:tcPr>
            <w:tcW w:w="600" w:type="dxa"/>
            <w:vAlign w:val="bottom"/>
            <w:tcBorders>
              <w:right w:val="single" w:sz="8" w:color="9AB956"/>
            </w:tcBorders>
            <w:shd w:val="clear" w:color="auto" w:fill="9AB956"/>
          </w:tcPr>
          <w:p>
            <w:pPr>
              <w:spacing w:after="0"/>
              <w:rPr>
                <w:sz w:val="9"/>
                <w:szCs w:val="9"/>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Units or</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1"/>
              </w:rPr>
              <w:t>Other</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Shares,</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Shares,</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440" w:type="dxa"/>
            <w:vAlign w:val="bottom"/>
            <w:tcBorders>
              <w:right w:val="single" w:sz="8" w:color="9AB956"/>
            </w:tcBorders>
            <w:shd w:val="clear" w:color="auto" w:fill="9AB956"/>
          </w:tcPr>
          <w:p>
            <w:pPr>
              <w:spacing w:after="0"/>
              <w:rPr>
                <w:sz w:val="10"/>
                <w:szCs w:val="10"/>
                <w:color w:val="auto"/>
              </w:rPr>
            </w:pPr>
          </w:p>
        </w:tc>
        <w:tc>
          <w:tcPr>
            <w:tcW w:w="260" w:type="dxa"/>
            <w:vAlign w:val="bottom"/>
            <w:tcBorders>
              <w:right w:val="single" w:sz="8" w:color="9AB956"/>
            </w:tcBorders>
            <w:shd w:val="clear" w:color="auto" w:fill="9AB956"/>
          </w:tcPr>
          <w:p>
            <w:pPr>
              <w:spacing w:after="0"/>
              <w:rPr>
                <w:sz w:val="10"/>
                <w:szCs w:val="10"/>
                <w:color w:val="auto"/>
              </w:rPr>
            </w:pPr>
          </w:p>
        </w:tc>
        <w:tc>
          <w:tcPr>
            <w:tcW w:w="480" w:type="dxa"/>
            <w:vAlign w:val="bottom"/>
            <w:tcBorders>
              <w:right w:val="single" w:sz="8" w:color="9AB956"/>
            </w:tcBorders>
            <w:shd w:val="clear" w:color="auto" w:fill="9AB956"/>
          </w:tcPr>
          <w:p>
            <w:pPr>
              <w:spacing w:after="0"/>
              <w:rPr>
                <w:sz w:val="10"/>
                <w:szCs w:val="10"/>
                <w:color w:val="auto"/>
              </w:rPr>
            </w:pPr>
          </w:p>
        </w:tc>
        <w:tc>
          <w:tcPr>
            <w:tcW w:w="280" w:type="dxa"/>
            <w:vAlign w:val="bottom"/>
            <w:tcBorders>
              <w:right w:val="single" w:sz="8" w:color="9AB956"/>
            </w:tcBorders>
            <w:shd w:val="clear" w:color="auto" w:fill="9AB956"/>
          </w:tcPr>
          <w:p>
            <w:pPr>
              <w:spacing w:after="0"/>
              <w:rPr>
                <w:sz w:val="10"/>
                <w:szCs w:val="10"/>
                <w:color w:val="auto"/>
              </w:rPr>
            </w:pPr>
          </w:p>
        </w:tc>
        <w:tc>
          <w:tcPr>
            <w:tcW w:w="340" w:type="dxa"/>
            <w:vAlign w:val="bottom"/>
            <w:tcBorders>
              <w:right w:val="single" w:sz="8" w:color="9AB956"/>
            </w:tcBorders>
            <w:shd w:val="clear" w:color="auto" w:fill="9AB956"/>
          </w:tcPr>
          <w:p>
            <w:pPr>
              <w:spacing w:after="0"/>
              <w:rPr>
                <w:sz w:val="10"/>
                <w:szCs w:val="10"/>
                <w:color w:val="auto"/>
              </w:rPr>
            </w:pPr>
          </w:p>
        </w:tc>
        <w:tc>
          <w:tcPr>
            <w:tcW w:w="420" w:type="dxa"/>
            <w:vAlign w:val="bottom"/>
            <w:tcBorders>
              <w:right w:val="single" w:sz="8" w:color="9AB956"/>
            </w:tcBorders>
            <w:shd w:val="clear" w:color="auto" w:fill="9AB956"/>
          </w:tcPr>
          <w:p>
            <w:pPr>
              <w:spacing w:after="0"/>
              <w:rPr>
                <w:sz w:val="10"/>
                <w:szCs w:val="10"/>
                <w:color w:val="auto"/>
              </w:rPr>
            </w:pP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spacing w:after="0"/>
              <w:rPr>
                <w:sz w:val="10"/>
                <w:szCs w:val="10"/>
                <w:color w:val="auto"/>
              </w:rPr>
            </w:pPr>
          </w:p>
        </w:tc>
        <w:tc>
          <w:tcPr>
            <w:tcW w:w="600" w:type="dxa"/>
            <w:vAlign w:val="bottom"/>
            <w:tcBorders>
              <w:right w:val="single" w:sz="8" w:color="9AB956"/>
            </w:tcBorders>
            <w:shd w:val="clear" w:color="auto" w:fill="9AB956"/>
          </w:tcPr>
          <w:p>
            <w:pPr>
              <w:spacing w:after="0"/>
              <w:rPr>
                <w:sz w:val="10"/>
                <w:szCs w:val="10"/>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Other</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Rights That</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Units or</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Units or</w:t>
            </w:r>
          </w:p>
        </w:tc>
        <w:tc>
          <w:tcPr>
            <w:tcW w:w="0" w:type="dxa"/>
            <w:vAlign w:val="bottom"/>
          </w:tcPr>
          <w:p>
            <w:pPr>
              <w:spacing w:after="0"/>
              <w:rPr>
                <w:sz w:val="1"/>
                <w:szCs w:val="1"/>
                <w:color w:val="auto"/>
              </w:rPr>
            </w:pPr>
          </w:p>
        </w:tc>
      </w:tr>
      <w:tr>
        <w:trPr>
          <w:trHeight w:val="113"/>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440" w:type="dxa"/>
            <w:vAlign w:val="bottom"/>
            <w:tcBorders>
              <w:right w:val="single" w:sz="8" w:color="9AB956"/>
            </w:tcBorders>
            <w:shd w:val="clear" w:color="auto" w:fill="9AB956"/>
          </w:tcPr>
          <w:p>
            <w:pPr>
              <w:spacing w:after="0"/>
              <w:rPr>
                <w:sz w:val="9"/>
                <w:szCs w:val="9"/>
                <w:color w:val="auto"/>
              </w:rPr>
            </w:pPr>
          </w:p>
        </w:tc>
        <w:tc>
          <w:tcPr>
            <w:tcW w:w="260" w:type="dxa"/>
            <w:vAlign w:val="bottom"/>
            <w:tcBorders>
              <w:right w:val="single" w:sz="8" w:color="9AB956"/>
            </w:tcBorders>
            <w:shd w:val="clear" w:color="auto" w:fill="9AB956"/>
          </w:tcPr>
          <w:p>
            <w:pPr>
              <w:spacing w:after="0"/>
              <w:rPr>
                <w:sz w:val="9"/>
                <w:szCs w:val="9"/>
                <w:color w:val="auto"/>
              </w:rPr>
            </w:pPr>
          </w:p>
        </w:tc>
        <w:tc>
          <w:tcPr>
            <w:tcW w:w="480" w:type="dxa"/>
            <w:vAlign w:val="bottom"/>
            <w:tcBorders>
              <w:right w:val="single" w:sz="8" w:color="9AB956"/>
            </w:tcBorders>
            <w:shd w:val="clear" w:color="auto" w:fill="9AB956"/>
          </w:tcPr>
          <w:p>
            <w:pPr>
              <w:spacing w:after="0"/>
              <w:rPr>
                <w:sz w:val="9"/>
                <w:szCs w:val="9"/>
                <w:color w:val="auto"/>
              </w:rPr>
            </w:pPr>
          </w:p>
        </w:tc>
        <w:tc>
          <w:tcPr>
            <w:tcW w:w="280" w:type="dxa"/>
            <w:vAlign w:val="bottom"/>
            <w:tcBorders>
              <w:right w:val="single" w:sz="8" w:color="9AB956"/>
            </w:tcBorders>
            <w:shd w:val="clear" w:color="auto" w:fill="9AB956"/>
          </w:tcPr>
          <w:p>
            <w:pPr>
              <w:spacing w:after="0"/>
              <w:rPr>
                <w:sz w:val="9"/>
                <w:szCs w:val="9"/>
                <w:color w:val="auto"/>
              </w:rPr>
            </w:pPr>
          </w:p>
        </w:tc>
        <w:tc>
          <w:tcPr>
            <w:tcW w:w="340" w:type="dxa"/>
            <w:vAlign w:val="bottom"/>
            <w:tcBorders>
              <w:right w:val="single" w:sz="8" w:color="9AB956"/>
            </w:tcBorders>
            <w:shd w:val="clear" w:color="auto" w:fill="9AB956"/>
          </w:tcPr>
          <w:p>
            <w:pPr>
              <w:spacing w:after="0"/>
              <w:rPr>
                <w:sz w:val="9"/>
                <w:szCs w:val="9"/>
                <w:color w:val="auto"/>
              </w:rPr>
            </w:pPr>
          </w:p>
        </w:tc>
        <w:tc>
          <w:tcPr>
            <w:tcW w:w="420" w:type="dxa"/>
            <w:vAlign w:val="bottom"/>
            <w:tcBorders>
              <w:right w:val="single" w:sz="8" w:color="9AB956"/>
            </w:tcBorders>
            <w:shd w:val="clear" w:color="auto" w:fill="9AB956"/>
          </w:tcPr>
          <w:p>
            <w:pPr>
              <w:spacing w:after="0"/>
              <w:rPr>
                <w:sz w:val="9"/>
                <w:szCs w:val="9"/>
                <w:color w:val="auto"/>
              </w:rPr>
            </w:pP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spacing w:after="0"/>
              <w:rPr>
                <w:sz w:val="9"/>
                <w:szCs w:val="9"/>
                <w:color w:val="auto"/>
              </w:rPr>
            </w:pPr>
          </w:p>
        </w:tc>
        <w:tc>
          <w:tcPr>
            <w:tcW w:w="600" w:type="dxa"/>
            <w:vAlign w:val="bottom"/>
            <w:tcBorders>
              <w:right w:val="single" w:sz="8" w:color="9AB956"/>
            </w:tcBorders>
            <w:shd w:val="clear" w:color="auto" w:fill="9AB956"/>
          </w:tcPr>
          <w:p>
            <w:pPr>
              <w:spacing w:after="0"/>
              <w:rPr>
                <w:sz w:val="9"/>
                <w:szCs w:val="9"/>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Rights That</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Have Vested</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8"/>
              </w:rPr>
              <w:t>Other Rights</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Other</w:t>
            </w:r>
          </w:p>
        </w:tc>
        <w:tc>
          <w:tcPr>
            <w:tcW w:w="0" w:type="dxa"/>
            <w:vAlign w:val="bottom"/>
          </w:tcPr>
          <w:p>
            <w:pPr>
              <w:spacing w:after="0"/>
              <w:rPr>
                <w:sz w:val="1"/>
                <w:szCs w:val="1"/>
                <w:color w:val="auto"/>
              </w:rPr>
            </w:pPr>
          </w:p>
        </w:tc>
      </w:tr>
      <w:tr>
        <w:trPr>
          <w:trHeight w:val="111"/>
        </w:trPr>
        <w:tc>
          <w:tcPr>
            <w:tcW w:w="1340" w:type="dxa"/>
            <w:vAlign w:val="bottom"/>
            <w:tcBorders>
              <w:left w:val="single" w:sz="8" w:color="auto"/>
              <w:right w:val="single" w:sz="8" w:color="9AB956"/>
            </w:tcBorders>
            <w:shd w:val="clear" w:color="auto" w:fill="9AB956"/>
          </w:tcPr>
          <w:p>
            <w:pPr>
              <w:spacing w:after="0"/>
              <w:rPr>
                <w:sz w:val="9"/>
                <w:szCs w:val="9"/>
                <w:color w:val="auto"/>
              </w:rPr>
            </w:pPr>
          </w:p>
        </w:tc>
        <w:tc>
          <w:tcPr>
            <w:tcW w:w="240" w:type="dxa"/>
            <w:vAlign w:val="bottom"/>
            <w:tcBorders>
              <w:right w:val="single" w:sz="8" w:color="9AB956"/>
            </w:tcBorders>
            <w:shd w:val="clear" w:color="auto" w:fill="9AB956"/>
          </w:tcPr>
          <w:p>
            <w:pPr>
              <w:spacing w:after="0"/>
              <w:rPr>
                <w:sz w:val="9"/>
                <w:szCs w:val="9"/>
                <w:color w:val="auto"/>
              </w:rPr>
            </w:pPr>
          </w:p>
        </w:tc>
        <w:tc>
          <w:tcPr>
            <w:tcW w:w="220" w:type="dxa"/>
            <w:vAlign w:val="bottom"/>
            <w:tcBorders>
              <w:right w:val="single" w:sz="8" w:color="9AB956"/>
            </w:tcBorders>
            <w:shd w:val="clear" w:color="auto" w:fill="9AB956"/>
          </w:tcPr>
          <w:p>
            <w:pPr>
              <w:spacing w:after="0"/>
              <w:rPr>
                <w:sz w:val="9"/>
                <w:szCs w:val="9"/>
                <w:color w:val="auto"/>
              </w:rPr>
            </w:pPr>
          </w:p>
        </w:tc>
        <w:tc>
          <w:tcPr>
            <w:tcW w:w="440" w:type="dxa"/>
            <w:vAlign w:val="bottom"/>
            <w:tcBorders>
              <w:right w:val="single" w:sz="8" w:color="9AB956"/>
            </w:tcBorders>
            <w:shd w:val="clear" w:color="auto" w:fill="9AB956"/>
          </w:tcPr>
          <w:p>
            <w:pPr>
              <w:spacing w:after="0"/>
              <w:rPr>
                <w:sz w:val="9"/>
                <w:szCs w:val="9"/>
                <w:color w:val="auto"/>
              </w:rPr>
            </w:pPr>
          </w:p>
        </w:tc>
        <w:tc>
          <w:tcPr>
            <w:tcW w:w="260" w:type="dxa"/>
            <w:vAlign w:val="bottom"/>
            <w:tcBorders>
              <w:right w:val="single" w:sz="8" w:color="9AB956"/>
            </w:tcBorders>
            <w:shd w:val="clear" w:color="auto" w:fill="9AB956"/>
          </w:tcPr>
          <w:p>
            <w:pPr>
              <w:spacing w:after="0"/>
              <w:rPr>
                <w:sz w:val="9"/>
                <w:szCs w:val="9"/>
                <w:color w:val="auto"/>
              </w:rPr>
            </w:pPr>
          </w:p>
        </w:tc>
        <w:tc>
          <w:tcPr>
            <w:tcW w:w="480" w:type="dxa"/>
            <w:vAlign w:val="bottom"/>
            <w:tcBorders>
              <w:right w:val="single" w:sz="8" w:color="9AB956"/>
            </w:tcBorders>
            <w:shd w:val="clear" w:color="auto" w:fill="9AB956"/>
          </w:tcPr>
          <w:p>
            <w:pPr>
              <w:spacing w:after="0"/>
              <w:rPr>
                <w:sz w:val="9"/>
                <w:szCs w:val="9"/>
                <w:color w:val="auto"/>
              </w:rPr>
            </w:pPr>
          </w:p>
        </w:tc>
        <w:tc>
          <w:tcPr>
            <w:tcW w:w="280" w:type="dxa"/>
            <w:vAlign w:val="bottom"/>
            <w:tcBorders>
              <w:right w:val="single" w:sz="8" w:color="9AB956"/>
            </w:tcBorders>
            <w:shd w:val="clear" w:color="auto" w:fill="9AB956"/>
          </w:tcPr>
          <w:p>
            <w:pPr>
              <w:spacing w:after="0"/>
              <w:rPr>
                <w:sz w:val="9"/>
                <w:szCs w:val="9"/>
                <w:color w:val="auto"/>
              </w:rPr>
            </w:pPr>
          </w:p>
        </w:tc>
        <w:tc>
          <w:tcPr>
            <w:tcW w:w="340" w:type="dxa"/>
            <w:vAlign w:val="bottom"/>
            <w:tcBorders>
              <w:right w:val="single" w:sz="8" w:color="9AB956"/>
            </w:tcBorders>
            <w:shd w:val="clear" w:color="auto" w:fill="9AB956"/>
          </w:tcPr>
          <w:p>
            <w:pPr>
              <w:spacing w:after="0"/>
              <w:rPr>
                <w:sz w:val="9"/>
                <w:szCs w:val="9"/>
                <w:color w:val="auto"/>
              </w:rPr>
            </w:pPr>
          </w:p>
        </w:tc>
        <w:tc>
          <w:tcPr>
            <w:tcW w:w="420" w:type="dxa"/>
            <w:vAlign w:val="bottom"/>
            <w:tcBorders>
              <w:right w:val="single" w:sz="8" w:color="9AB956"/>
            </w:tcBorders>
            <w:shd w:val="clear" w:color="auto" w:fill="9AB956"/>
          </w:tcPr>
          <w:p>
            <w:pPr>
              <w:spacing w:after="0"/>
              <w:rPr>
                <w:sz w:val="9"/>
                <w:szCs w:val="9"/>
                <w:color w:val="auto"/>
              </w:rPr>
            </w:pPr>
          </w:p>
        </w:tc>
        <w:tc>
          <w:tcPr>
            <w:tcW w:w="500" w:type="dxa"/>
            <w:vAlign w:val="bottom"/>
            <w:tcBorders>
              <w:right w:val="single" w:sz="8" w:color="9AB956"/>
            </w:tcBorders>
            <w:shd w:val="clear" w:color="auto" w:fill="9AB956"/>
          </w:tcPr>
          <w:p>
            <w:pPr>
              <w:spacing w:after="0"/>
              <w:rPr>
                <w:sz w:val="9"/>
                <w:szCs w:val="9"/>
                <w:color w:val="auto"/>
              </w:rPr>
            </w:pPr>
          </w:p>
        </w:tc>
        <w:tc>
          <w:tcPr>
            <w:tcW w:w="640" w:type="dxa"/>
            <w:vAlign w:val="bottom"/>
            <w:tcBorders>
              <w:right w:val="single" w:sz="8" w:color="auto"/>
            </w:tcBorders>
            <w:shd w:val="clear" w:color="auto" w:fill="9AB956"/>
          </w:tcPr>
          <w:p>
            <w:pPr>
              <w:spacing w:after="0"/>
              <w:rPr>
                <w:sz w:val="9"/>
                <w:szCs w:val="9"/>
                <w:color w:val="auto"/>
              </w:rPr>
            </w:pPr>
          </w:p>
        </w:tc>
        <w:tc>
          <w:tcPr>
            <w:tcW w:w="540" w:type="dxa"/>
            <w:vAlign w:val="bottom"/>
            <w:tcBorders>
              <w:right w:val="single" w:sz="8" w:color="9AB956"/>
            </w:tcBorders>
            <w:shd w:val="clear" w:color="auto" w:fill="9AB956"/>
          </w:tcPr>
          <w:p>
            <w:pPr>
              <w:spacing w:after="0"/>
              <w:rPr>
                <w:sz w:val="9"/>
                <w:szCs w:val="9"/>
                <w:color w:val="auto"/>
              </w:rPr>
            </w:pPr>
          </w:p>
        </w:tc>
        <w:tc>
          <w:tcPr>
            <w:tcW w:w="600" w:type="dxa"/>
            <w:vAlign w:val="bottom"/>
            <w:tcBorders>
              <w:right w:val="single" w:sz="8" w:color="9AB956"/>
            </w:tcBorders>
            <w:shd w:val="clear" w:color="auto" w:fill="9AB956"/>
          </w:tcPr>
          <w:p>
            <w:pPr>
              <w:spacing w:after="0"/>
              <w:rPr>
                <w:sz w:val="9"/>
                <w:szCs w:val="9"/>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Have Not</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3"/>
              </w:rPr>
              <w:t>and are</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That Have</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Rights</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440" w:type="dxa"/>
            <w:vAlign w:val="bottom"/>
            <w:tcBorders>
              <w:right w:val="single" w:sz="8" w:color="9AB956"/>
            </w:tcBorders>
            <w:shd w:val="clear" w:color="auto" w:fill="9AB956"/>
          </w:tcPr>
          <w:p>
            <w:pPr>
              <w:spacing w:after="0"/>
              <w:rPr>
                <w:sz w:val="10"/>
                <w:szCs w:val="10"/>
                <w:color w:val="auto"/>
              </w:rPr>
            </w:pPr>
          </w:p>
        </w:tc>
        <w:tc>
          <w:tcPr>
            <w:tcW w:w="260" w:type="dxa"/>
            <w:vAlign w:val="bottom"/>
            <w:tcBorders>
              <w:right w:val="single" w:sz="8" w:color="9AB956"/>
            </w:tcBorders>
            <w:shd w:val="clear" w:color="auto" w:fill="9AB956"/>
          </w:tcPr>
          <w:p>
            <w:pPr>
              <w:spacing w:after="0"/>
              <w:rPr>
                <w:sz w:val="10"/>
                <w:szCs w:val="10"/>
                <w:color w:val="auto"/>
              </w:rPr>
            </w:pPr>
          </w:p>
        </w:tc>
        <w:tc>
          <w:tcPr>
            <w:tcW w:w="480" w:type="dxa"/>
            <w:vAlign w:val="bottom"/>
            <w:tcBorders>
              <w:right w:val="single" w:sz="8" w:color="9AB956"/>
            </w:tcBorders>
            <w:shd w:val="clear" w:color="auto" w:fill="9AB956"/>
          </w:tcPr>
          <w:p>
            <w:pPr>
              <w:spacing w:after="0"/>
              <w:rPr>
                <w:sz w:val="10"/>
                <w:szCs w:val="10"/>
                <w:color w:val="auto"/>
              </w:rPr>
            </w:pPr>
          </w:p>
        </w:tc>
        <w:tc>
          <w:tcPr>
            <w:tcW w:w="280" w:type="dxa"/>
            <w:vAlign w:val="bottom"/>
            <w:tcBorders>
              <w:right w:val="single" w:sz="8" w:color="9AB956"/>
            </w:tcBorders>
            <w:shd w:val="clear" w:color="auto" w:fill="9AB956"/>
          </w:tcPr>
          <w:p>
            <w:pPr>
              <w:spacing w:after="0"/>
              <w:rPr>
                <w:sz w:val="10"/>
                <w:szCs w:val="10"/>
                <w:color w:val="auto"/>
              </w:rPr>
            </w:pPr>
          </w:p>
        </w:tc>
        <w:tc>
          <w:tcPr>
            <w:tcW w:w="340" w:type="dxa"/>
            <w:vAlign w:val="bottom"/>
            <w:tcBorders>
              <w:right w:val="single" w:sz="8" w:color="9AB956"/>
            </w:tcBorders>
            <w:shd w:val="clear" w:color="auto" w:fill="9AB956"/>
          </w:tcPr>
          <w:p>
            <w:pPr>
              <w:spacing w:after="0"/>
              <w:rPr>
                <w:sz w:val="10"/>
                <w:szCs w:val="10"/>
                <w:color w:val="auto"/>
              </w:rPr>
            </w:pPr>
          </w:p>
        </w:tc>
        <w:tc>
          <w:tcPr>
            <w:tcW w:w="420" w:type="dxa"/>
            <w:vAlign w:val="bottom"/>
            <w:tcBorders>
              <w:right w:val="single" w:sz="8" w:color="9AB956"/>
            </w:tcBorders>
            <w:shd w:val="clear" w:color="auto" w:fill="9AB956"/>
          </w:tcPr>
          <w:p>
            <w:pPr>
              <w:spacing w:after="0"/>
              <w:rPr>
                <w:sz w:val="10"/>
                <w:szCs w:val="10"/>
                <w:color w:val="auto"/>
              </w:rPr>
            </w:pP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spacing w:after="0"/>
              <w:rPr>
                <w:sz w:val="10"/>
                <w:szCs w:val="10"/>
                <w:color w:val="auto"/>
              </w:rPr>
            </w:pPr>
          </w:p>
        </w:tc>
        <w:tc>
          <w:tcPr>
            <w:tcW w:w="600" w:type="dxa"/>
            <w:vAlign w:val="bottom"/>
            <w:tcBorders>
              <w:right w:val="single" w:sz="8" w:color="9AB956"/>
            </w:tcBorders>
            <w:shd w:val="clear" w:color="auto" w:fill="9AB956"/>
          </w:tcPr>
          <w:p>
            <w:pPr>
              <w:spacing w:after="0"/>
              <w:rPr>
                <w:sz w:val="10"/>
                <w:szCs w:val="10"/>
                <w:color w:val="auto"/>
              </w:rPr>
            </w:pP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Vested</w:t>
            </w:r>
          </w:p>
        </w:tc>
        <w:tc>
          <w:tcPr>
            <w:tcW w:w="62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9"/>
              </w:rPr>
              <w:t>Exercisable</w:t>
            </w:r>
          </w:p>
        </w:tc>
        <w:tc>
          <w:tcPr>
            <w:tcW w:w="64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Not Vested</w:t>
            </w: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7"/>
              </w:rPr>
              <w:t>That Have</w:t>
            </w:r>
          </w:p>
        </w:tc>
        <w:tc>
          <w:tcPr>
            <w:tcW w:w="0" w:type="dxa"/>
            <w:vAlign w:val="bottom"/>
          </w:tcPr>
          <w:p>
            <w:pPr>
              <w:spacing w:after="0"/>
              <w:rPr>
                <w:sz w:val="1"/>
                <w:szCs w:val="1"/>
                <w:color w:val="auto"/>
              </w:rPr>
            </w:pPr>
          </w:p>
        </w:tc>
      </w:tr>
      <w:tr>
        <w:trPr>
          <w:trHeight w:val="122"/>
        </w:trPr>
        <w:tc>
          <w:tcPr>
            <w:tcW w:w="1340" w:type="dxa"/>
            <w:vAlign w:val="bottom"/>
            <w:tcBorders>
              <w:left w:val="single" w:sz="8" w:color="auto"/>
              <w:right w:val="single" w:sz="8" w:color="9AB956"/>
            </w:tcBorders>
            <w:shd w:val="clear" w:color="auto" w:fill="9AB956"/>
          </w:tcPr>
          <w:p>
            <w:pPr>
              <w:spacing w:after="0"/>
              <w:rPr>
                <w:sz w:val="10"/>
                <w:szCs w:val="10"/>
                <w:color w:val="auto"/>
              </w:rPr>
            </w:pPr>
          </w:p>
        </w:tc>
        <w:tc>
          <w:tcPr>
            <w:tcW w:w="240" w:type="dxa"/>
            <w:vAlign w:val="bottom"/>
            <w:tcBorders>
              <w:right w:val="single" w:sz="8" w:color="9AB956"/>
            </w:tcBorders>
            <w:shd w:val="clear" w:color="auto" w:fill="9AB956"/>
          </w:tcPr>
          <w:p>
            <w:pPr>
              <w:spacing w:after="0"/>
              <w:rPr>
                <w:sz w:val="10"/>
                <w:szCs w:val="10"/>
                <w:color w:val="auto"/>
              </w:rPr>
            </w:pPr>
          </w:p>
        </w:tc>
        <w:tc>
          <w:tcPr>
            <w:tcW w:w="220" w:type="dxa"/>
            <w:vAlign w:val="bottom"/>
            <w:tcBorders>
              <w:right w:val="single" w:sz="8" w:color="9AB956"/>
            </w:tcBorders>
            <w:shd w:val="clear" w:color="auto" w:fill="9AB956"/>
          </w:tcPr>
          <w:p>
            <w:pPr>
              <w:spacing w:after="0"/>
              <w:rPr>
                <w:sz w:val="10"/>
                <w:szCs w:val="10"/>
                <w:color w:val="auto"/>
              </w:rPr>
            </w:pPr>
          </w:p>
        </w:tc>
        <w:tc>
          <w:tcPr>
            <w:tcW w:w="440" w:type="dxa"/>
            <w:vAlign w:val="bottom"/>
            <w:tcBorders>
              <w:right w:val="single" w:sz="8" w:color="9AB956"/>
            </w:tcBorders>
            <w:shd w:val="clear" w:color="auto" w:fill="9AB956"/>
          </w:tcPr>
          <w:p>
            <w:pPr>
              <w:spacing w:after="0"/>
              <w:rPr>
                <w:sz w:val="10"/>
                <w:szCs w:val="10"/>
                <w:color w:val="auto"/>
              </w:rPr>
            </w:pPr>
          </w:p>
        </w:tc>
        <w:tc>
          <w:tcPr>
            <w:tcW w:w="260" w:type="dxa"/>
            <w:vAlign w:val="bottom"/>
            <w:tcBorders>
              <w:right w:val="single" w:sz="8" w:color="9AB956"/>
            </w:tcBorders>
            <w:shd w:val="clear" w:color="auto" w:fill="9AB956"/>
          </w:tcPr>
          <w:p>
            <w:pPr>
              <w:spacing w:after="0"/>
              <w:rPr>
                <w:sz w:val="10"/>
                <w:szCs w:val="10"/>
                <w:color w:val="auto"/>
              </w:rPr>
            </w:pPr>
          </w:p>
        </w:tc>
        <w:tc>
          <w:tcPr>
            <w:tcW w:w="480" w:type="dxa"/>
            <w:vAlign w:val="bottom"/>
            <w:tcBorders>
              <w:right w:val="single" w:sz="8" w:color="9AB956"/>
            </w:tcBorders>
            <w:shd w:val="clear" w:color="auto" w:fill="9AB956"/>
          </w:tcPr>
          <w:p>
            <w:pPr>
              <w:spacing w:after="0"/>
              <w:rPr>
                <w:sz w:val="10"/>
                <w:szCs w:val="10"/>
                <w:color w:val="auto"/>
              </w:rPr>
            </w:pPr>
          </w:p>
        </w:tc>
        <w:tc>
          <w:tcPr>
            <w:tcW w:w="280" w:type="dxa"/>
            <w:vAlign w:val="bottom"/>
            <w:tcBorders>
              <w:right w:val="single" w:sz="8" w:color="9AB956"/>
            </w:tcBorders>
            <w:shd w:val="clear" w:color="auto" w:fill="9AB956"/>
          </w:tcPr>
          <w:p>
            <w:pPr>
              <w:spacing w:after="0"/>
              <w:rPr>
                <w:sz w:val="10"/>
                <w:szCs w:val="10"/>
                <w:color w:val="auto"/>
              </w:rPr>
            </w:pPr>
          </w:p>
        </w:tc>
        <w:tc>
          <w:tcPr>
            <w:tcW w:w="340" w:type="dxa"/>
            <w:vAlign w:val="bottom"/>
            <w:tcBorders>
              <w:right w:val="single" w:sz="8" w:color="9AB956"/>
            </w:tcBorders>
            <w:shd w:val="clear" w:color="auto" w:fill="9AB956"/>
          </w:tcPr>
          <w:p>
            <w:pPr>
              <w:spacing w:after="0"/>
              <w:rPr>
                <w:sz w:val="10"/>
                <w:szCs w:val="10"/>
                <w:color w:val="auto"/>
              </w:rPr>
            </w:pPr>
          </w:p>
        </w:tc>
        <w:tc>
          <w:tcPr>
            <w:tcW w:w="420" w:type="dxa"/>
            <w:vAlign w:val="bottom"/>
            <w:tcBorders>
              <w:right w:val="single" w:sz="8" w:color="9AB956"/>
            </w:tcBorders>
            <w:shd w:val="clear" w:color="auto" w:fill="9AB956"/>
          </w:tcPr>
          <w:p>
            <w:pPr>
              <w:spacing w:after="0"/>
              <w:rPr>
                <w:sz w:val="10"/>
                <w:szCs w:val="10"/>
                <w:color w:val="auto"/>
              </w:rPr>
            </w:pPr>
          </w:p>
        </w:tc>
        <w:tc>
          <w:tcPr>
            <w:tcW w:w="50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auto"/>
            </w:tcBorders>
            <w:shd w:val="clear" w:color="auto" w:fill="9AB956"/>
          </w:tcPr>
          <w:p>
            <w:pPr>
              <w:spacing w:after="0"/>
              <w:rPr>
                <w:sz w:val="10"/>
                <w:szCs w:val="10"/>
                <w:color w:val="auto"/>
              </w:rPr>
            </w:pPr>
          </w:p>
        </w:tc>
        <w:tc>
          <w:tcPr>
            <w:tcW w:w="540" w:type="dxa"/>
            <w:vAlign w:val="bottom"/>
            <w:tcBorders>
              <w:right w:val="single" w:sz="8" w:color="9AB956"/>
            </w:tcBorders>
            <w:shd w:val="clear" w:color="auto" w:fill="9AB956"/>
          </w:tcPr>
          <w:p>
            <w:pPr>
              <w:spacing w:after="0"/>
              <w:rPr>
                <w:sz w:val="10"/>
                <w:szCs w:val="10"/>
                <w:color w:val="auto"/>
              </w:rPr>
            </w:pPr>
          </w:p>
        </w:tc>
        <w:tc>
          <w:tcPr>
            <w:tcW w:w="600" w:type="dxa"/>
            <w:vAlign w:val="bottom"/>
            <w:tcBorders>
              <w:right w:val="single" w:sz="8" w:color="9AB956"/>
            </w:tcBorders>
            <w:shd w:val="clear" w:color="auto" w:fill="9AB956"/>
          </w:tcPr>
          <w:p>
            <w:pPr>
              <w:spacing w:after="0"/>
              <w:rPr>
                <w:sz w:val="10"/>
                <w:szCs w:val="10"/>
                <w:color w:val="auto"/>
              </w:rPr>
            </w:pPr>
          </w:p>
        </w:tc>
        <w:tc>
          <w:tcPr>
            <w:tcW w:w="620" w:type="dxa"/>
            <w:vAlign w:val="bottom"/>
            <w:tcBorders>
              <w:right w:val="single" w:sz="8" w:color="9AB956"/>
            </w:tcBorders>
            <w:shd w:val="clear" w:color="auto" w:fill="9AB956"/>
          </w:tcPr>
          <w:p>
            <w:pPr>
              <w:spacing w:after="0"/>
              <w:rPr>
                <w:sz w:val="10"/>
                <w:szCs w:val="10"/>
                <w:color w:val="auto"/>
              </w:rPr>
            </w:pPr>
          </w:p>
        </w:tc>
        <w:tc>
          <w:tcPr>
            <w:tcW w:w="620" w:type="dxa"/>
            <w:vAlign w:val="bottom"/>
            <w:tcBorders>
              <w:right w:val="single" w:sz="8" w:color="9AB956"/>
            </w:tcBorders>
            <w:shd w:val="clear" w:color="auto" w:fill="9AB956"/>
          </w:tcPr>
          <w:p>
            <w:pPr>
              <w:spacing w:after="0"/>
              <w:rPr>
                <w:sz w:val="10"/>
                <w:szCs w:val="10"/>
                <w:color w:val="auto"/>
              </w:rPr>
            </w:pPr>
          </w:p>
        </w:tc>
        <w:tc>
          <w:tcPr>
            <w:tcW w:w="640" w:type="dxa"/>
            <w:vAlign w:val="bottom"/>
            <w:tcBorders>
              <w:right w:val="single" w:sz="8" w:color="9AB956"/>
            </w:tcBorders>
            <w:shd w:val="clear" w:color="auto" w:fill="9AB956"/>
          </w:tcPr>
          <w:p>
            <w:pPr>
              <w:spacing w:after="0"/>
              <w:rPr>
                <w:sz w:val="10"/>
                <w:szCs w:val="10"/>
                <w:color w:val="auto"/>
              </w:rPr>
            </w:pPr>
          </w:p>
        </w:tc>
        <w:tc>
          <w:tcPr>
            <w:tcW w:w="56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Vested</w:t>
            </w:r>
          </w:p>
        </w:tc>
        <w:tc>
          <w:tcPr>
            <w:tcW w:w="0" w:type="dxa"/>
            <w:vAlign w:val="bottom"/>
          </w:tcPr>
          <w:p>
            <w:pPr>
              <w:spacing w:after="0"/>
              <w:rPr>
                <w:sz w:val="1"/>
                <w:szCs w:val="1"/>
                <w:color w:val="auto"/>
              </w:rPr>
            </w:pPr>
          </w:p>
        </w:tc>
      </w:tr>
      <w:tr>
        <w:trPr>
          <w:trHeight w:val="185"/>
        </w:trPr>
        <w:tc>
          <w:tcPr>
            <w:tcW w:w="1340" w:type="dxa"/>
            <w:vAlign w:val="bottom"/>
            <w:tcBorders>
              <w:left w:val="single" w:sz="8" w:color="auto"/>
              <w:bottom w:val="single" w:sz="8" w:color="9AB956"/>
              <w:right w:val="single" w:sz="8" w:color="9AB956"/>
            </w:tcBorders>
            <w:shd w:val="clear" w:color="auto" w:fill="9AB956"/>
          </w:tcPr>
          <w:p>
            <w:pPr>
              <w:spacing w:after="0"/>
              <w:rPr>
                <w:sz w:val="15"/>
                <w:szCs w:val="15"/>
                <w:color w:val="auto"/>
              </w:rPr>
            </w:pPr>
          </w:p>
        </w:tc>
        <w:tc>
          <w:tcPr>
            <w:tcW w:w="240" w:type="dxa"/>
            <w:vAlign w:val="bottom"/>
            <w:tcBorders>
              <w:bottom w:val="single" w:sz="8" w:color="9AB956"/>
              <w:right w:val="single" w:sz="8" w:color="9AB956"/>
            </w:tcBorders>
            <w:shd w:val="clear" w:color="auto" w:fill="9AB956"/>
          </w:tcPr>
          <w:p>
            <w:pPr>
              <w:spacing w:after="0"/>
              <w:rPr>
                <w:sz w:val="15"/>
                <w:szCs w:val="15"/>
                <w:color w:val="auto"/>
              </w:rPr>
            </w:pPr>
          </w:p>
        </w:tc>
        <w:tc>
          <w:tcPr>
            <w:tcW w:w="220" w:type="dxa"/>
            <w:vAlign w:val="bottom"/>
            <w:tcBorders>
              <w:bottom w:val="single" w:sz="8" w:color="9AB956"/>
              <w:right w:val="single" w:sz="8" w:color="9AB956"/>
            </w:tcBorders>
            <w:shd w:val="clear" w:color="auto" w:fill="9AB956"/>
          </w:tcPr>
          <w:p>
            <w:pPr>
              <w:spacing w:after="0"/>
              <w:rPr>
                <w:sz w:val="15"/>
                <w:szCs w:val="15"/>
                <w:color w:val="auto"/>
              </w:rPr>
            </w:pPr>
          </w:p>
        </w:tc>
        <w:tc>
          <w:tcPr>
            <w:tcW w:w="440" w:type="dxa"/>
            <w:vAlign w:val="bottom"/>
            <w:tcBorders>
              <w:bottom w:val="single" w:sz="8" w:color="9AB956"/>
              <w:right w:val="single" w:sz="8" w:color="9AB956"/>
            </w:tcBorders>
            <w:shd w:val="clear" w:color="auto" w:fill="9AB956"/>
          </w:tcPr>
          <w:p>
            <w:pPr>
              <w:spacing w:after="0"/>
              <w:rPr>
                <w:sz w:val="15"/>
                <w:szCs w:val="15"/>
                <w:color w:val="auto"/>
              </w:rPr>
            </w:pPr>
          </w:p>
        </w:tc>
        <w:tc>
          <w:tcPr>
            <w:tcW w:w="260" w:type="dxa"/>
            <w:vAlign w:val="bottom"/>
            <w:tcBorders>
              <w:bottom w:val="single" w:sz="8" w:color="9AB956"/>
              <w:right w:val="single" w:sz="8" w:color="9AB956"/>
            </w:tcBorders>
            <w:shd w:val="clear" w:color="auto" w:fill="9AB956"/>
          </w:tcPr>
          <w:p>
            <w:pPr>
              <w:spacing w:after="0"/>
              <w:rPr>
                <w:sz w:val="15"/>
                <w:szCs w:val="15"/>
                <w:color w:val="auto"/>
              </w:rPr>
            </w:pPr>
          </w:p>
        </w:tc>
        <w:tc>
          <w:tcPr>
            <w:tcW w:w="480" w:type="dxa"/>
            <w:vAlign w:val="bottom"/>
            <w:tcBorders>
              <w:bottom w:val="single" w:sz="8" w:color="9AB956"/>
              <w:right w:val="single" w:sz="8" w:color="9AB956"/>
            </w:tcBorders>
            <w:shd w:val="clear" w:color="auto" w:fill="9AB956"/>
          </w:tcPr>
          <w:p>
            <w:pPr>
              <w:spacing w:after="0"/>
              <w:rPr>
                <w:sz w:val="15"/>
                <w:szCs w:val="15"/>
                <w:color w:val="auto"/>
              </w:rPr>
            </w:pPr>
          </w:p>
        </w:tc>
        <w:tc>
          <w:tcPr>
            <w:tcW w:w="280" w:type="dxa"/>
            <w:vAlign w:val="bottom"/>
            <w:tcBorders>
              <w:bottom w:val="single" w:sz="8" w:color="9AB956"/>
              <w:right w:val="single" w:sz="8" w:color="9AB956"/>
            </w:tcBorders>
            <w:shd w:val="clear" w:color="auto" w:fill="9AB956"/>
          </w:tcPr>
          <w:p>
            <w:pPr>
              <w:spacing w:after="0"/>
              <w:rPr>
                <w:sz w:val="15"/>
                <w:szCs w:val="15"/>
                <w:color w:val="auto"/>
              </w:rPr>
            </w:pPr>
          </w:p>
        </w:tc>
        <w:tc>
          <w:tcPr>
            <w:tcW w:w="340" w:type="dxa"/>
            <w:vAlign w:val="bottom"/>
            <w:tcBorders>
              <w:bottom w:val="single" w:sz="8" w:color="9AB956"/>
              <w:right w:val="single" w:sz="8" w:color="9AB956"/>
            </w:tcBorders>
            <w:shd w:val="clear" w:color="auto" w:fill="9AB956"/>
          </w:tcPr>
          <w:p>
            <w:pPr>
              <w:spacing w:after="0"/>
              <w:rPr>
                <w:sz w:val="15"/>
                <w:szCs w:val="15"/>
                <w:color w:val="auto"/>
              </w:rPr>
            </w:pPr>
          </w:p>
        </w:tc>
        <w:tc>
          <w:tcPr>
            <w:tcW w:w="420" w:type="dxa"/>
            <w:vAlign w:val="bottom"/>
            <w:tcBorders>
              <w:bottom w:val="single" w:sz="8" w:color="9AB956"/>
              <w:right w:val="single" w:sz="8" w:color="9AB956"/>
            </w:tcBorders>
            <w:shd w:val="clear" w:color="auto" w:fill="9AB956"/>
          </w:tcPr>
          <w:p>
            <w:pPr>
              <w:spacing w:after="0"/>
              <w:rPr>
                <w:sz w:val="15"/>
                <w:szCs w:val="15"/>
                <w:color w:val="auto"/>
              </w:rPr>
            </w:pPr>
          </w:p>
        </w:tc>
        <w:tc>
          <w:tcPr>
            <w:tcW w:w="500" w:type="dxa"/>
            <w:vAlign w:val="bottom"/>
            <w:tcBorders>
              <w:bottom w:val="single" w:sz="8" w:color="9AB956"/>
              <w:right w:val="single" w:sz="8" w:color="9AB956"/>
            </w:tcBorders>
            <w:shd w:val="clear" w:color="auto" w:fill="9AB956"/>
          </w:tcPr>
          <w:p>
            <w:pPr>
              <w:spacing w:after="0"/>
              <w:rPr>
                <w:sz w:val="15"/>
                <w:szCs w:val="15"/>
                <w:color w:val="auto"/>
              </w:rPr>
            </w:pPr>
          </w:p>
        </w:tc>
        <w:tc>
          <w:tcPr>
            <w:tcW w:w="640" w:type="dxa"/>
            <w:vAlign w:val="bottom"/>
            <w:tcBorders>
              <w:bottom w:val="single" w:sz="8" w:color="9AB956"/>
              <w:right w:val="single" w:sz="8" w:color="auto"/>
            </w:tcBorders>
            <w:shd w:val="clear" w:color="auto" w:fill="9AB956"/>
          </w:tcPr>
          <w:p>
            <w:pPr>
              <w:jc w:val="center"/>
              <w:spacing w:after="0"/>
              <w:rPr>
                <w:sz w:val="20"/>
                <w:szCs w:val="20"/>
                <w:color w:val="auto"/>
              </w:rPr>
            </w:pPr>
            <w:r>
              <w:rPr>
                <w:rFonts w:ascii="Arial" w:cs="Arial" w:eastAsia="Arial" w:hAnsi="Arial"/>
                <w:sz w:val="9"/>
                <w:szCs w:val="9"/>
                <w:b w:val="1"/>
                <w:bCs w:val="1"/>
                <w:color w:val="FFFFFF"/>
              </w:rPr>
              <w:t>($)</w:t>
            </w:r>
          </w:p>
        </w:tc>
        <w:tc>
          <w:tcPr>
            <w:tcW w:w="540" w:type="dxa"/>
            <w:vAlign w:val="bottom"/>
            <w:tcBorders>
              <w:bottom w:val="single" w:sz="8" w:color="9AB956"/>
              <w:right w:val="single" w:sz="8" w:color="9AB956"/>
            </w:tcBorders>
            <w:shd w:val="clear" w:color="auto" w:fill="9AB956"/>
          </w:tcPr>
          <w:p>
            <w:pPr>
              <w:jc w:val="center"/>
              <w:spacing w:after="0"/>
              <w:rPr>
                <w:sz w:val="20"/>
                <w:szCs w:val="20"/>
                <w:color w:val="auto"/>
              </w:rPr>
            </w:pPr>
            <w:r>
              <w:rPr>
                <w:rFonts w:ascii="Arial" w:cs="Arial" w:eastAsia="Arial" w:hAnsi="Arial"/>
                <w:sz w:val="9"/>
                <w:szCs w:val="9"/>
                <w:b w:val="1"/>
                <w:bCs w:val="1"/>
                <w:color w:val="FFFFFF"/>
                <w:w w:val="90"/>
              </w:rPr>
              <w:t>($)</w:t>
            </w:r>
          </w:p>
        </w:tc>
        <w:tc>
          <w:tcPr>
            <w:tcW w:w="600" w:type="dxa"/>
            <w:vAlign w:val="bottom"/>
            <w:tcBorders>
              <w:bottom w:val="single" w:sz="8" w:color="9AB956"/>
              <w:right w:val="single" w:sz="8" w:color="9AB956"/>
            </w:tcBorders>
            <w:shd w:val="clear" w:color="auto" w:fill="9AB956"/>
          </w:tcPr>
          <w:p>
            <w:pPr>
              <w:spacing w:after="0"/>
              <w:rPr>
                <w:sz w:val="15"/>
                <w:szCs w:val="15"/>
                <w:color w:val="auto"/>
              </w:rPr>
            </w:pPr>
          </w:p>
        </w:tc>
        <w:tc>
          <w:tcPr>
            <w:tcW w:w="620" w:type="dxa"/>
            <w:vAlign w:val="bottom"/>
            <w:tcBorders>
              <w:bottom w:val="single" w:sz="8" w:color="9AB956"/>
              <w:right w:val="single" w:sz="8" w:color="9AB956"/>
            </w:tcBorders>
            <w:shd w:val="clear" w:color="auto" w:fill="9AB956"/>
          </w:tcPr>
          <w:p>
            <w:pPr>
              <w:spacing w:after="0"/>
              <w:rPr>
                <w:sz w:val="15"/>
                <w:szCs w:val="15"/>
                <w:color w:val="auto"/>
              </w:rPr>
            </w:pPr>
          </w:p>
        </w:tc>
        <w:tc>
          <w:tcPr>
            <w:tcW w:w="620" w:type="dxa"/>
            <w:vAlign w:val="bottom"/>
            <w:tcBorders>
              <w:bottom w:val="single" w:sz="8" w:color="9AB956"/>
              <w:right w:val="single" w:sz="8" w:color="9AB956"/>
            </w:tcBorders>
            <w:shd w:val="clear" w:color="auto" w:fill="9AB956"/>
          </w:tcPr>
          <w:p>
            <w:pPr>
              <w:spacing w:after="0"/>
              <w:rPr>
                <w:sz w:val="15"/>
                <w:szCs w:val="15"/>
                <w:color w:val="auto"/>
              </w:rPr>
            </w:pPr>
          </w:p>
        </w:tc>
        <w:tc>
          <w:tcPr>
            <w:tcW w:w="640" w:type="dxa"/>
            <w:vAlign w:val="bottom"/>
            <w:tcBorders>
              <w:bottom w:val="single" w:sz="8" w:color="9AB956"/>
              <w:right w:val="single" w:sz="8" w:color="9AB956"/>
            </w:tcBorders>
            <w:shd w:val="clear" w:color="auto" w:fill="9AB956"/>
          </w:tcPr>
          <w:p>
            <w:pPr>
              <w:spacing w:after="0"/>
              <w:rPr>
                <w:sz w:val="15"/>
                <w:szCs w:val="15"/>
                <w:color w:val="auto"/>
              </w:rPr>
            </w:pPr>
          </w:p>
        </w:tc>
        <w:tc>
          <w:tcPr>
            <w:tcW w:w="560" w:type="dxa"/>
            <w:vAlign w:val="bottom"/>
            <w:tcBorders>
              <w:bottom w:val="single" w:sz="8" w:color="9AB956"/>
              <w:right w:val="single" w:sz="8" w:color="auto"/>
            </w:tcBorders>
            <w:shd w:val="clear" w:color="auto" w:fill="9AB956"/>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340" w:type="dxa"/>
            <w:vAlign w:val="bottom"/>
            <w:tcBorders>
              <w:top w:val="single" w:sz="8" w:color="auto"/>
              <w:left w:val="single" w:sz="8" w:color="auto"/>
              <w:right w:val="single" w:sz="8" w:color="auto"/>
            </w:tcBorders>
            <w:shd w:val="clear" w:color="auto" w:fill="F4F8EE"/>
          </w:tcPr>
          <w:p>
            <w:pPr>
              <w:ind w:left="60"/>
              <w:spacing w:after="0"/>
              <w:rPr>
                <w:sz w:val="20"/>
                <w:szCs w:val="20"/>
                <w:color w:val="auto"/>
              </w:rPr>
            </w:pPr>
            <w:r>
              <w:rPr>
                <w:rFonts w:ascii="Arial" w:cs="Arial" w:eastAsia="Arial" w:hAnsi="Arial"/>
                <w:sz w:val="9"/>
                <w:szCs w:val="9"/>
                <w:color w:val="auto"/>
              </w:rPr>
              <w:t>Mr. Corbin Barnes</w:t>
            </w:r>
          </w:p>
        </w:tc>
        <w:tc>
          <w:tcPr>
            <w:tcW w:w="240" w:type="dxa"/>
            <w:vAlign w:val="bottom"/>
            <w:tcBorders>
              <w:top w:val="single" w:sz="8" w:color="auto"/>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1</w:t>
            </w:r>
          </w:p>
        </w:tc>
        <w:tc>
          <w:tcPr>
            <w:tcW w:w="220" w:type="dxa"/>
            <w:vAlign w:val="bottom"/>
            <w:tcBorders>
              <w:top w:val="single" w:sz="8" w:color="auto"/>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top w:val="single" w:sz="8" w:color="auto"/>
              <w:right w:val="single" w:sz="8" w:color="auto"/>
            </w:tcBorders>
            <w:shd w:val="clear" w:color="auto" w:fill="F4F8EE"/>
          </w:tcPr>
          <w:p>
            <w:pPr>
              <w:spacing w:after="0"/>
              <w:rPr>
                <w:sz w:val="10"/>
                <w:szCs w:val="10"/>
                <w:color w:val="auto"/>
              </w:rPr>
            </w:pPr>
          </w:p>
        </w:tc>
        <w:tc>
          <w:tcPr>
            <w:tcW w:w="260" w:type="dxa"/>
            <w:vAlign w:val="bottom"/>
            <w:tcBorders>
              <w:top w:val="single" w:sz="8" w:color="auto"/>
              <w:right w:val="single" w:sz="8" w:color="auto"/>
            </w:tcBorders>
            <w:shd w:val="clear" w:color="auto" w:fill="F4F8EE"/>
          </w:tcPr>
          <w:p>
            <w:pPr>
              <w:spacing w:after="0"/>
              <w:rPr>
                <w:sz w:val="10"/>
                <w:szCs w:val="10"/>
                <w:color w:val="auto"/>
              </w:rPr>
            </w:pPr>
          </w:p>
        </w:tc>
        <w:tc>
          <w:tcPr>
            <w:tcW w:w="480" w:type="dxa"/>
            <w:vAlign w:val="bottom"/>
            <w:tcBorders>
              <w:top w:val="single" w:sz="8" w:color="auto"/>
              <w:right w:val="single" w:sz="8" w:color="auto"/>
            </w:tcBorders>
            <w:shd w:val="clear" w:color="auto" w:fill="F4F8EE"/>
          </w:tcPr>
          <w:p>
            <w:pPr>
              <w:jc w:val="center"/>
              <w:ind w:left="175"/>
              <w:spacing w:after="0"/>
              <w:rPr>
                <w:sz w:val="20"/>
                <w:szCs w:val="20"/>
                <w:color w:val="auto"/>
              </w:rPr>
            </w:pPr>
            <w:r>
              <w:rPr>
                <w:rFonts w:ascii="Arial" w:cs="Arial" w:eastAsia="Arial" w:hAnsi="Arial"/>
                <w:sz w:val="9"/>
                <w:szCs w:val="9"/>
                <w:color w:val="auto"/>
                <w:w w:val="92"/>
              </w:rPr>
              <w:t>591</w:t>
            </w:r>
          </w:p>
        </w:tc>
        <w:tc>
          <w:tcPr>
            <w:tcW w:w="280" w:type="dxa"/>
            <w:vAlign w:val="bottom"/>
            <w:tcBorders>
              <w:top w:val="single" w:sz="8" w:color="auto"/>
              <w:right w:val="single" w:sz="8" w:color="auto"/>
            </w:tcBorders>
            <w:shd w:val="clear" w:color="auto" w:fill="F4F8EE"/>
          </w:tcPr>
          <w:p>
            <w:pPr>
              <w:spacing w:after="0"/>
              <w:rPr>
                <w:sz w:val="10"/>
                <w:szCs w:val="10"/>
                <w:color w:val="auto"/>
              </w:rPr>
            </w:pPr>
          </w:p>
        </w:tc>
        <w:tc>
          <w:tcPr>
            <w:tcW w:w="340" w:type="dxa"/>
            <w:vAlign w:val="bottom"/>
            <w:tcBorders>
              <w:top w:val="single" w:sz="8" w:color="auto"/>
              <w:right w:val="single" w:sz="8" w:color="auto"/>
            </w:tcBorders>
            <w:shd w:val="clear" w:color="auto" w:fill="F4F8EE"/>
          </w:tcPr>
          <w:p>
            <w:pPr>
              <w:spacing w:after="0"/>
              <w:rPr>
                <w:sz w:val="10"/>
                <w:szCs w:val="10"/>
                <w:color w:val="auto"/>
              </w:rPr>
            </w:pPr>
          </w:p>
        </w:tc>
        <w:tc>
          <w:tcPr>
            <w:tcW w:w="420" w:type="dxa"/>
            <w:vAlign w:val="bottom"/>
            <w:tcBorders>
              <w:top w:val="single" w:sz="8" w:color="auto"/>
              <w:right w:val="single" w:sz="8" w:color="auto"/>
            </w:tcBorders>
            <w:shd w:val="clear" w:color="auto" w:fill="F4F8EE"/>
          </w:tcPr>
          <w:p>
            <w:pPr>
              <w:spacing w:after="0"/>
              <w:rPr>
                <w:sz w:val="10"/>
                <w:szCs w:val="10"/>
                <w:color w:val="auto"/>
              </w:rPr>
            </w:pPr>
          </w:p>
        </w:tc>
        <w:tc>
          <w:tcPr>
            <w:tcW w:w="500" w:type="dxa"/>
            <w:vAlign w:val="bottom"/>
            <w:tcBorders>
              <w:top w:val="single" w:sz="8" w:color="auto"/>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109.42</w:t>
            </w:r>
          </w:p>
        </w:tc>
        <w:tc>
          <w:tcPr>
            <w:tcW w:w="640" w:type="dxa"/>
            <w:vAlign w:val="bottom"/>
            <w:tcBorders>
              <w:top w:val="single" w:sz="8" w:color="auto"/>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top w:val="single" w:sz="8" w:color="auto"/>
              <w:right w:val="single" w:sz="8" w:color="auto"/>
            </w:tcBorders>
            <w:shd w:val="clear" w:color="auto" w:fill="F4F8EE"/>
          </w:tcPr>
          <w:p>
            <w:pPr>
              <w:spacing w:after="0"/>
              <w:rPr>
                <w:sz w:val="10"/>
                <w:szCs w:val="10"/>
                <w:color w:val="auto"/>
              </w:rPr>
            </w:pPr>
          </w:p>
        </w:tc>
        <w:tc>
          <w:tcPr>
            <w:tcW w:w="600" w:type="dxa"/>
            <w:vAlign w:val="bottom"/>
            <w:tcBorders>
              <w:top w:val="single" w:sz="8" w:color="auto"/>
              <w:right w:val="single" w:sz="8" w:color="auto"/>
            </w:tcBorders>
            <w:shd w:val="clear" w:color="auto" w:fill="F4F8EE"/>
          </w:tcPr>
          <w:p>
            <w:pPr>
              <w:spacing w:after="0"/>
              <w:rPr>
                <w:sz w:val="10"/>
                <w:szCs w:val="10"/>
                <w:color w:val="auto"/>
              </w:rPr>
            </w:pPr>
          </w:p>
        </w:tc>
        <w:tc>
          <w:tcPr>
            <w:tcW w:w="620" w:type="dxa"/>
            <w:vAlign w:val="bottom"/>
            <w:tcBorders>
              <w:top w:val="single" w:sz="8" w:color="auto"/>
              <w:right w:val="single" w:sz="8" w:color="auto"/>
            </w:tcBorders>
            <w:shd w:val="clear" w:color="auto" w:fill="F4F8EE"/>
          </w:tcPr>
          <w:p>
            <w:pPr>
              <w:spacing w:after="0"/>
              <w:rPr>
                <w:sz w:val="10"/>
                <w:szCs w:val="10"/>
                <w:color w:val="auto"/>
              </w:rPr>
            </w:pPr>
          </w:p>
        </w:tc>
        <w:tc>
          <w:tcPr>
            <w:tcW w:w="620" w:type="dxa"/>
            <w:vAlign w:val="bottom"/>
            <w:tcBorders>
              <w:top w:val="single" w:sz="8" w:color="auto"/>
              <w:right w:val="single" w:sz="8" w:color="auto"/>
            </w:tcBorders>
            <w:shd w:val="clear" w:color="auto" w:fill="F4F8EE"/>
          </w:tcPr>
          <w:p>
            <w:pPr>
              <w:spacing w:after="0"/>
              <w:rPr>
                <w:sz w:val="10"/>
                <w:szCs w:val="10"/>
                <w:color w:val="auto"/>
              </w:rPr>
            </w:pPr>
          </w:p>
        </w:tc>
        <w:tc>
          <w:tcPr>
            <w:tcW w:w="640" w:type="dxa"/>
            <w:vAlign w:val="bottom"/>
            <w:tcBorders>
              <w:top w:val="single" w:sz="8" w:color="auto"/>
              <w:right w:val="single" w:sz="8" w:color="auto"/>
            </w:tcBorders>
            <w:shd w:val="clear" w:color="auto" w:fill="F4F8EE"/>
          </w:tcPr>
          <w:p>
            <w:pPr>
              <w:spacing w:after="0"/>
              <w:rPr>
                <w:sz w:val="10"/>
                <w:szCs w:val="10"/>
                <w:color w:val="auto"/>
              </w:rPr>
            </w:pPr>
          </w:p>
        </w:tc>
        <w:tc>
          <w:tcPr>
            <w:tcW w:w="560" w:type="dxa"/>
            <w:vAlign w:val="bottom"/>
            <w:tcBorders>
              <w:top w:val="single" w:sz="8" w:color="auto"/>
              <w:right w:val="single" w:sz="8" w:color="auto"/>
            </w:tcBorders>
            <w:shd w:val="clear" w:color="auto" w:fill="F4F8E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vMerge w:val="restart"/>
            <w:shd w:val="clear" w:color="auto" w:fill="F4F8EE"/>
          </w:tcPr>
          <w:p>
            <w:pPr>
              <w:ind w:left="60"/>
              <w:spacing w:after="0"/>
              <w:rPr>
                <w:sz w:val="20"/>
                <w:szCs w:val="20"/>
                <w:color w:val="auto"/>
              </w:rPr>
            </w:pPr>
            <w:r>
              <w:rPr>
                <w:rFonts w:ascii="Arial" w:cs="Arial" w:eastAsia="Arial" w:hAnsi="Arial"/>
                <w:sz w:val="9"/>
                <w:szCs w:val="9"/>
                <w:color w:val="auto"/>
              </w:rPr>
              <w:t>Senior Vice President,</w:t>
            </w: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jc w:val="center"/>
              <w:ind w:left="175"/>
              <w:spacing w:after="0"/>
              <w:rPr>
                <w:sz w:val="20"/>
                <w:szCs w:val="20"/>
                <w:color w:val="auto"/>
              </w:rPr>
            </w:pPr>
            <w:r>
              <w:rPr>
                <w:rFonts w:ascii="Arial" w:cs="Arial" w:eastAsia="Arial" w:hAnsi="Arial"/>
                <w:sz w:val="9"/>
                <w:szCs w:val="9"/>
                <w:color w:val="auto"/>
                <w:w w:val="92"/>
              </w:rPr>
              <w:t>197</w:t>
            </w: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109.42</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spacing w:after="0"/>
              <w:rPr>
                <w:sz w:val="13"/>
                <w:szCs w:val="13"/>
                <w:color w:val="auto"/>
              </w:rPr>
            </w:pP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1340" w:type="dxa"/>
            <w:vAlign w:val="bottom"/>
            <w:tcBorders>
              <w:left w:val="single" w:sz="8" w:color="auto"/>
              <w:right w:val="single" w:sz="8" w:color="auto"/>
            </w:tcBorders>
            <w:vMerge w:val="continue"/>
            <w:shd w:val="clear" w:color="auto" w:fill="F4F8EE"/>
          </w:tcPr>
          <w:p>
            <w:pPr>
              <w:spacing w:after="0"/>
              <w:rPr>
                <w:sz w:val="6"/>
                <w:szCs w:val="6"/>
                <w:color w:val="auto"/>
              </w:rPr>
            </w:pPr>
          </w:p>
        </w:tc>
        <w:tc>
          <w:tcPr>
            <w:tcW w:w="240" w:type="dxa"/>
            <w:vAlign w:val="bottom"/>
            <w:tcBorders>
              <w:right w:val="single" w:sz="8" w:color="auto"/>
            </w:tcBorders>
            <w:vMerge w:val="restart"/>
            <w:shd w:val="clear" w:color="auto" w:fill="F4F8EE"/>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vMerge w:val="restart"/>
            <w:shd w:val="clear" w:color="auto" w:fill="F4F8EE"/>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shd w:val="clear" w:color="auto" w:fill="F4F8EE"/>
          </w:tcPr>
          <w:p>
            <w:pPr>
              <w:spacing w:after="0"/>
              <w:rPr>
                <w:sz w:val="6"/>
                <w:szCs w:val="6"/>
                <w:color w:val="auto"/>
              </w:rPr>
            </w:pPr>
          </w:p>
        </w:tc>
        <w:tc>
          <w:tcPr>
            <w:tcW w:w="260" w:type="dxa"/>
            <w:vAlign w:val="bottom"/>
            <w:tcBorders>
              <w:right w:val="single" w:sz="8" w:color="auto"/>
            </w:tcBorders>
            <w:shd w:val="clear" w:color="auto" w:fill="F4F8EE"/>
          </w:tcPr>
          <w:p>
            <w:pPr>
              <w:spacing w:after="0"/>
              <w:rPr>
                <w:sz w:val="6"/>
                <w:szCs w:val="6"/>
                <w:color w:val="auto"/>
              </w:rPr>
            </w:pPr>
          </w:p>
        </w:tc>
        <w:tc>
          <w:tcPr>
            <w:tcW w:w="480" w:type="dxa"/>
            <w:vAlign w:val="bottom"/>
            <w:tcBorders>
              <w:right w:val="single" w:sz="8" w:color="auto"/>
            </w:tcBorders>
            <w:shd w:val="clear" w:color="auto" w:fill="F4F8EE"/>
          </w:tcPr>
          <w:p>
            <w:pPr>
              <w:spacing w:after="0"/>
              <w:rPr>
                <w:sz w:val="6"/>
                <w:szCs w:val="6"/>
                <w:color w:val="auto"/>
              </w:rPr>
            </w:pPr>
          </w:p>
        </w:tc>
        <w:tc>
          <w:tcPr>
            <w:tcW w:w="280" w:type="dxa"/>
            <w:vAlign w:val="bottom"/>
            <w:tcBorders>
              <w:right w:val="single" w:sz="8" w:color="auto"/>
            </w:tcBorders>
            <w:shd w:val="clear" w:color="auto" w:fill="F4F8EE"/>
          </w:tcPr>
          <w:p>
            <w:pPr>
              <w:spacing w:after="0"/>
              <w:rPr>
                <w:sz w:val="6"/>
                <w:szCs w:val="6"/>
                <w:color w:val="auto"/>
              </w:rPr>
            </w:pPr>
          </w:p>
        </w:tc>
        <w:tc>
          <w:tcPr>
            <w:tcW w:w="340" w:type="dxa"/>
            <w:vAlign w:val="bottom"/>
            <w:tcBorders>
              <w:right w:val="single" w:sz="8" w:color="auto"/>
            </w:tcBorders>
            <w:shd w:val="clear" w:color="auto" w:fill="F4F8EE"/>
          </w:tcPr>
          <w:p>
            <w:pPr>
              <w:spacing w:after="0"/>
              <w:rPr>
                <w:sz w:val="6"/>
                <w:szCs w:val="6"/>
                <w:color w:val="auto"/>
              </w:rPr>
            </w:pPr>
          </w:p>
        </w:tc>
        <w:tc>
          <w:tcPr>
            <w:tcW w:w="420" w:type="dxa"/>
            <w:vAlign w:val="bottom"/>
            <w:tcBorders>
              <w:right w:val="single" w:sz="8" w:color="auto"/>
            </w:tcBorders>
            <w:shd w:val="clear" w:color="auto" w:fill="F4F8EE"/>
          </w:tcPr>
          <w:p>
            <w:pPr>
              <w:spacing w:after="0"/>
              <w:rPr>
                <w:sz w:val="6"/>
                <w:szCs w:val="6"/>
                <w:color w:val="auto"/>
              </w:rPr>
            </w:pPr>
          </w:p>
        </w:tc>
        <w:tc>
          <w:tcPr>
            <w:tcW w:w="500" w:type="dxa"/>
            <w:vAlign w:val="bottom"/>
            <w:tcBorders>
              <w:right w:val="single" w:sz="8" w:color="auto"/>
            </w:tcBorders>
            <w:vMerge w:val="restart"/>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15/03/2027</w:t>
            </w:r>
          </w:p>
        </w:tc>
        <w:tc>
          <w:tcPr>
            <w:tcW w:w="540" w:type="dxa"/>
            <w:vAlign w:val="bottom"/>
            <w:tcBorders>
              <w:right w:val="single" w:sz="8" w:color="auto"/>
            </w:tcBorders>
            <w:shd w:val="clear" w:color="auto" w:fill="F4F8EE"/>
          </w:tcPr>
          <w:p>
            <w:pPr>
              <w:spacing w:after="0"/>
              <w:rPr>
                <w:sz w:val="6"/>
                <w:szCs w:val="6"/>
                <w:color w:val="auto"/>
              </w:rPr>
            </w:pPr>
          </w:p>
        </w:tc>
        <w:tc>
          <w:tcPr>
            <w:tcW w:w="600" w:type="dxa"/>
            <w:vAlign w:val="bottom"/>
            <w:tcBorders>
              <w:right w:val="single" w:sz="8" w:color="auto"/>
            </w:tcBorders>
            <w:shd w:val="clear" w:color="auto" w:fill="F4F8EE"/>
          </w:tcPr>
          <w:p>
            <w:pPr>
              <w:spacing w:after="0"/>
              <w:rPr>
                <w:sz w:val="6"/>
                <w:szCs w:val="6"/>
                <w:color w:val="auto"/>
              </w:rPr>
            </w:pPr>
          </w:p>
        </w:tc>
        <w:tc>
          <w:tcPr>
            <w:tcW w:w="62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886</w:t>
            </w:r>
          </w:p>
        </w:tc>
        <w:tc>
          <w:tcPr>
            <w:tcW w:w="620" w:type="dxa"/>
            <w:vAlign w:val="bottom"/>
            <w:tcBorders>
              <w:right w:val="single" w:sz="8" w:color="auto"/>
            </w:tcBorders>
            <w:shd w:val="clear" w:color="auto" w:fill="F4F8EE"/>
          </w:tcPr>
          <w:p>
            <w:pPr>
              <w:spacing w:after="0"/>
              <w:rPr>
                <w:sz w:val="6"/>
                <w:szCs w:val="6"/>
                <w:color w:val="auto"/>
              </w:rPr>
            </w:pPr>
          </w:p>
        </w:tc>
        <w:tc>
          <w:tcPr>
            <w:tcW w:w="640" w:type="dxa"/>
            <w:vAlign w:val="bottom"/>
            <w:tcBorders>
              <w:right w:val="single" w:sz="8" w:color="auto"/>
            </w:tcBorders>
            <w:vMerge w:val="restart"/>
            <w:shd w:val="clear" w:color="auto" w:fill="F4F8EE"/>
          </w:tcPr>
          <w:p>
            <w:pPr>
              <w:jc w:val="right"/>
              <w:ind w:right="15"/>
              <w:spacing w:after="0"/>
              <w:rPr>
                <w:sz w:val="20"/>
                <w:szCs w:val="20"/>
                <w:color w:val="auto"/>
              </w:rPr>
            </w:pPr>
            <w:r>
              <w:rPr>
                <w:rFonts w:ascii="Arial" w:cs="Arial" w:eastAsia="Arial" w:hAnsi="Arial"/>
                <w:sz w:val="9"/>
                <w:szCs w:val="9"/>
                <w:color w:val="auto"/>
              </w:rPr>
              <w:t>68,257</w:t>
            </w:r>
          </w:p>
        </w:tc>
        <w:tc>
          <w:tcPr>
            <w:tcW w:w="560" w:type="dxa"/>
            <w:vAlign w:val="bottom"/>
            <w:tcBorders>
              <w:right w:val="single" w:sz="8" w:color="auto"/>
            </w:tcBorders>
            <w:shd w:val="clear" w:color="auto" w:fill="F4F8E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340" w:type="dxa"/>
            <w:vAlign w:val="bottom"/>
            <w:tcBorders>
              <w:left w:val="single" w:sz="8" w:color="auto"/>
              <w:right w:val="single" w:sz="8" w:color="auto"/>
            </w:tcBorders>
            <w:vMerge w:val="restart"/>
            <w:shd w:val="clear" w:color="auto" w:fill="F4F8EE"/>
          </w:tcPr>
          <w:p>
            <w:pPr>
              <w:ind w:left="60"/>
              <w:spacing w:after="0"/>
              <w:rPr>
                <w:sz w:val="20"/>
                <w:szCs w:val="20"/>
                <w:color w:val="auto"/>
              </w:rPr>
            </w:pPr>
            <w:r>
              <w:rPr>
                <w:rFonts w:ascii="Arial" w:cs="Arial" w:eastAsia="Arial" w:hAnsi="Arial"/>
                <w:sz w:val="9"/>
                <w:szCs w:val="9"/>
                <w:color w:val="auto"/>
              </w:rPr>
              <w:t>Corporate Development and</w:t>
            </w:r>
          </w:p>
        </w:tc>
        <w:tc>
          <w:tcPr>
            <w:tcW w:w="240" w:type="dxa"/>
            <w:vAlign w:val="bottom"/>
            <w:tcBorders>
              <w:right w:val="single" w:sz="8" w:color="auto"/>
            </w:tcBorders>
            <w:vMerge w:val="continue"/>
            <w:shd w:val="clear" w:color="auto" w:fill="F4F8EE"/>
          </w:tcPr>
          <w:p>
            <w:pPr>
              <w:spacing w:after="0"/>
              <w:rPr>
                <w:sz w:val="7"/>
                <w:szCs w:val="7"/>
                <w:color w:val="auto"/>
              </w:rPr>
            </w:pPr>
          </w:p>
        </w:tc>
        <w:tc>
          <w:tcPr>
            <w:tcW w:w="220" w:type="dxa"/>
            <w:vAlign w:val="bottom"/>
            <w:tcBorders>
              <w:right w:val="single" w:sz="8" w:color="auto"/>
            </w:tcBorders>
            <w:vMerge w:val="continue"/>
            <w:shd w:val="clear" w:color="auto" w:fill="F4F8EE"/>
          </w:tcPr>
          <w:p>
            <w:pPr>
              <w:spacing w:after="0"/>
              <w:rPr>
                <w:sz w:val="7"/>
                <w:szCs w:val="7"/>
                <w:color w:val="auto"/>
              </w:rPr>
            </w:pPr>
          </w:p>
        </w:tc>
        <w:tc>
          <w:tcPr>
            <w:tcW w:w="440" w:type="dxa"/>
            <w:vAlign w:val="bottom"/>
            <w:tcBorders>
              <w:right w:val="single" w:sz="8" w:color="auto"/>
            </w:tcBorders>
            <w:shd w:val="clear" w:color="auto" w:fill="F4F8EE"/>
          </w:tcPr>
          <w:p>
            <w:pPr>
              <w:spacing w:after="0"/>
              <w:rPr>
                <w:sz w:val="7"/>
                <w:szCs w:val="7"/>
                <w:color w:val="auto"/>
              </w:rPr>
            </w:pPr>
          </w:p>
        </w:tc>
        <w:tc>
          <w:tcPr>
            <w:tcW w:w="260" w:type="dxa"/>
            <w:vAlign w:val="bottom"/>
            <w:tcBorders>
              <w:right w:val="single" w:sz="8" w:color="auto"/>
            </w:tcBorders>
            <w:shd w:val="clear" w:color="auto" w:fill="F4F8EE"/>
          </w:tcPr>
          <w:p>
            <w:pPr>
              <w:spacing w:after="0"/>
              <w:rPr>
                <w:sz w:val="7"/>
                <w:szCs w:val="7"/>
                <w:color w:val="auto"/>
              </w:rPr>
            </w:pPr>
          </w:p>
        </w:tc>
        <w:tc>
          <w:tcPr>
            <w:tcW w:w="480" w:type="dxa"/>
            <w:vAlign w:val="bottom"/>
            <w:tcBorders>
              <w:right w:val="single" w:sz="8" w:color="auto"/>
            </w:tcBorders>
            <w:shd w:val="clear" w:color="auto" w:fill="F4F8EE"/>
          </w:tcPr>
          <w:p>
            <w:pPr>
              <w:spacing w:after="0"/>
              <w:rPr>
                <w:sz w:val="7"/>
                <w:szCs w:val="7"/>
                <w:color w:val="auto"/>
              </w:rPr>
            </w:pPr>
          </w:p>
        </w:tc>
        <w:tc>
          <w:tcPr>
            <w:tcW w:w="280" w:type="dxa"/>
            <w:vAlign w:val="bottom"/>
            <w:tcBorders>
              <w:right w:val="single" w:sz="8" w:color="auto"/>
            </w:tcBorders>
            <w:shd w:val="clear" w:color="auto" w:fill="F4F8EE"/>
          </w:tcPr>
          <w:p>
            <w:pPr>
              <w:spacing w:after="0"/>
              <w:rPr>
                <w:sz w:val="7"/>
                <w:szCs w:val="7"/>
                <w:color w:val="auto"/>
              </w:rPr>
            </w:pPr>
          </w:p>
        </w:tc>
        <w:tc>
          <w:tcPr>
            <w:tcW w:w="340" w:type="dxa"/>
            <w:vAlign w:val="bottom"/>
            <w:tcBorders>
              <w:right w:val="single" w:sz="8" w:color="auto"/>
            </w:tcBorders>
            <w:shd w:val="clear" w:color="auto" w:fill="F4F8EE"/>
          </w:tcPr>
          <w:p>
            <w:pPr>
              <w:spacing w:after="0"/>
              <w:rPr>
                <w:sz w:val="7"/>
                <w:szCs w:val="7"/>
                <w:color w:val="auto"/>
              </w:rPr>
            </w:pPr>
          </w:p>
        </w:tc>
        <w:tc>
          <w:tcPr>
            <w:tcW w:w="420" w:type="dxa"/>
            <w:vAlign w:val="bottom"/>
            <w:tcBorders>
              <w:right w:val="single" w:sz="8" w:color="auto"/>
            </w:tcBorders>
            <w:shd w:val="clear" w:color="auto" w:fill="F4F8EE"/>
          </w:tcPr>
          <w:p>
            <w:pPr>
              <w:spacing w:after="0"/>
              <w:rPr>
                <w:sz w:val="7"/>
                <w:szCs w:val="7"/>
                <w:color w:val="auto"/>
              </w:rPr>
            </w:pPr>
          </w:p>
        </w:tc>
        <w:tc>
          <w:tcPr>
            <w:tcW w:w="500" w:type="dxa"/>
            <w:vAlign w:val="bottom"/>
            <w:tcBorders>
              <w:right w:val="single" w:sz="8" w:color="auto"/>
            </w:tcBorders>
            <w:vMerge w:val="continue"/>
            <w:shd w:val="clear" w:color="auto" w:fill="F4F8EE"/>
          </w:tcPr>
          <w:p>
            <w:pPr>
              <w:spacing w:after="0"/>
              <w:rPr>
                <w:sz w:val="7"/>
                <w:szCs w:val="7"/>
                <w:color w:val="auto"/>
              </w:rPr>
            </w:pPr>
          </w:p>
        </w:tc>
        <w:tc>
          <w:tcPr>
            <w:tcW w:w="640" w:type="dxa"/>
            <w:vAlign w:val="bottom"/>
            <w:tcBorders>
              <w:right w:val="single" w:sz="8" w:color="auto"/>
            </w:tcBorders>
            <w:vMerge w:val="continue"/>
            <w:shd w:val="clear" w:color="auto" w:fill="F4F8EE"/>
          </w:tcPr>
          <w:p>
            <w:pPr>
              <w:spacing w:after="0"/>
              <w:rPr>
                <w:sz w:val="7"/>
                <w:szCs w:val="7"/>
                <w:color w:val="auto"/>
              </w:rPr>
            </w:pPr>
          </w:p>
        </w:tc>
        <w:tc>
          <w:tcPr>
            <w:tcW w:w="540" w:type="dxa"/>
            <w:vAlign w:val="bottom"/>
            <w:tcBorders>
              <w:right w:val="single" w:sz="8" w:color="auto"/>
            </w:tcBorders>
            <w:shd w:val="clear" w:color="auto" w:fill="F4F8EE"/>
          </w:tcPr>
          <w:p>
            <w:pPr>
              <w:spacing w:after="0"/>
              <w:rPr>
                <w:sz w:val="7"/>
                <w:szCs w:val="7"/>
                <w:color w:val="auto"/>
              </w:rPr>
            </w:pPr>
          </w:p>
        </w:tc>
        <w:tc>
          <w:tcPr>
            <w:tcW w:w="600" w:type="dxa"/>
            <w:vAlign w:val="bottom"/>
            <w:tcBorders>
              <w:right w:val="single" w:sz="8" w:color="auto"/>
            </w:tcBorders>
            <w:shd w:val="clear" w:color="auto" w:fill="F4F8EE"/>
          </w:tcPr>
          <w:p>
            <w:pPr>
              <w:spacing w:after="0"/>
              <w:rPr>
                <w:sz w:val="7"/>
                <w:szCs w:val="7"/>
                <w:color w:val="auto"/>
              </w:rPr>
            </w:pPr>
          </w:p>
        </w:tc>
        <w:tc>
          <w:tcPr>
            <w:tcW w:w="620" w:type="dxa"/>
            <w:vAlign w:val="bottom"/>
            <w:tcBorders>
              <w:right w:val="single" w:sz="8" w:color="auto"/>
            </w:tcBorders>
            <w:vMerge w:val="continue"/>
            <w:shd w:val="clear" w:color="auto" w:fill="F4F8EE"/>
          </w:tcPr>
          <w:p>
            <w:pPr>
              <w:spacing w:after="0"/>
              <w:rPr>
                <w:sz w:val="7"/>
                <w:szCs w:val="7"/>
                <w:color w:val="auto"/>
              </w:rPr>
            </w:pPr>
          </w:p>
        </w:tc>
        <w:tc>
          <w:tcPr>
            <w:tcW w:w="620" w:type="dxa"/>
            <w:vAlign w:val="bottom"/>
            <w:tcBorders>
              <w:right w:val="single" w:sz="8" w:color="auto"/>
            </w:tcBorders>
            <w:shd w:val="clear" w:color="auto" w:fill="F4F8EE"/>
          </w:tcPr>
          <w:p>
            <w:pPr>
              <w:spacing w:after="0"/>
              <w:rPr>
                <w:sz w:val="7"/>
                <w:szCs w:val="7"/>
                <w:color w:val="auto"/>
              </w:rPr>
            </w:pPr>
          </w:p>
        </w:tc>
        <w:tc>
          <w:tcPr>
            <w:tcW w:w="640" w:type="dxa"/>
            <w:vAlign w:val="bottom"/>
            <w:tcBorders>
              <w:right w:val="single" w:sz="8" w:color="auto"/>
            </w:tcBorders>
            <w:vMerge w:val="continue"/>
            <w:shd w:val="clear" w:color="auto" w:fill="F4F8EE"/>
          </w:tcPr>
          <w:p>
            <w:pPr>
              <w:spacing w:after="0"/>
              <w:rPr>
                <w:sz w:val="7"/>
                <w:szCs w:val="7"/>
                <w:color w:val="auto"/>
              </w:rPr>
            </w:pPr>
          </w:p>
        </w:tc>
        <w:tc>
          <w:tcPr>
            <w:tcW w:w="560" w:type="dxa"/>
            <w:vAlign w:val="bottom"/>
            <w:tcBorders>
              <w:right w:val="single" w:sz="8" w:color="auto"/>
            </w:tcBorders>
            <w:shd w:val="clear" w:color="auto" w:fill="F4F8E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340" w:type="dxa"/>
            <w:vAlign w:val="bottom"/>
            <w:tcBorders>
              <w:left w:val="single" w:sz="8" w:color="auto"/>
              <w:right w:val="single" w:sz="8" w:color="auto"/>
            </w:tcBorders>
            <w:vMerge w:val="continue"/>
            <w:shd w:val="clear" w:color="auto" w:fill="F4F8EE"/>
          </w:tcPr>
          <w:p>
            <w:pPr>
              <w:spacing w:after="0"/>
              <w:rPr>
                <w:sz w:val="2"/>
                <w:szCs w:val="2"/>
                <w:color w:val="auto"/>
              </w:rPr>
            </w:pPr>
          </w:p>
        </w:tc>
        <w:tc>
          <w:tcPr>
            <w:tcW w:w="240" w:type="dxa"/>
            <w:vAlign w:val="bottom"/>
            <w:tcBorders>
              <w:right w:val="single" w:sz="8" w:color="auto"/>
            </w:tcBorders>
            <w:shd w:val="clear" w:color="auto" w:fill="F4F8EE"/>
          </w:tcPr>
          <w:p>
            <w:pPr>
              <w:spacing w:after="0"/>
              <w:rPr>
                <w:sz w:val="2"/>
                <w:szCs w:val="2"/>
                <w:color w:val="auto"/>
              </w:rPr>
            </w:pPr>
          </w:p>
        </w:tc>
        <w:tc>
          <w:tcPr>
            <w:tcW w:w="220" w:type="dxa"/>
            <w:vAlign w:val="bottom"/>
            <w:tcBorders>
              <w:right w:val="single" w:sz="8" w:color="auto"/>
            </w:tcBorders>
            <w:shd w:val="clear" w:color="auto" w:fill="F4F8EE"/>
          </w:tcPr>
          <w:p>
            <w:pPr>
              <w:spacing w:after="0"/>
              <w:rPr>
                <w:sz w:val="2"/>
                <w:szCs w:val="2"/>
                <w:color w:val="auto"/>
              </w:rPr>
            </w:pPr>
          </w:p>
        </w:tc>
        <w:tc>
          <w:tcPr>
            <w:tcW w:w="440" w:type="dxa"/>
            <w:vAlign w:val="bottom"/>
            <w:tcBorders>
              <w:right w:val="single" w:sz="8" w:color="auto"/>
            </w:tcBorders>
            <w:shd w:val="clear" w:color="auto" w:fill="F4F8EE"/>
          </w:tcPr>
          <w:p>
            <w:pPr>
              <w:spacing w:after="0"/>
              <w:rPr>
                <w:sz w:val="2"/>
                <w:szCs w:val="2"/>
                <w:color w:val="auto"/>
              </w:rPr>
            </w:pPr>
          </w:p>
        </w:tc>
        <w:tc>
          <w:tcPr>
            <w:tcW w:w="260" w:type="dxa"/>
            <w:vAlign w:val="bottom"/>
            <w:tcBorders>
              <w:right w:val="single" w:sz="8" w:color="auto"/>
            </w:tcBorders>
            <w:shd w:val="clear" w:color="auto" w:fill="F4F8EE"/>
          </w:tcPr>
          <w:p>
            <w:pPr>
              <w:spacing w:after="0"/>
              <w:rPr>
                <w:sz w:val="2"/>
                <w:szCs w:val="2"/>
                <w:color w:val="auto"/>
              </w:rPr>
            </w:pPr>
          </w:p>
        </w:tc>
        <w:tc>
          <w:tcPr>
            <w:tcW w:w="480" w:type="dxa"/>
            <w:vAlign w:val="bottom"/>
            <w:tcBorders>
              <w:right w:val="single" w:sz="8" w:color="auto"/>
            </w:tcBorders>
            <w:shd w:val="clear" w:color="auto" w:fill="F4F8EE"/>
          </w:tcPr>
          <w:p>
            <w:pPr>
              <w:spacing w:after="0"/>
              <w:rPr>
                <w:sz w:val="2"/>
                <w:szCs w:val="2"/>
                <w:color w:val="auto"/>
              </w:rPr>
            </w:pPr>
          </w:p>
        </w:tc>
        <w:tc>
          <w:tcPr>
            <w:tcW w:w="280" w:type="dxa"/>
            <w:vAlign w:val="bottom"/>
            <w:tcBorders>
              <w:right w:val="single" w:sz="8" w:color="auto"/>
            </w:tcBorders>
            <w:shd w:val="clear" w:color="auto" w:fill="F4F8EE"/>
          </w:tcPr>
          <w:p>
            <w:pPr>
              <w:spacing w:after="0"/>
              <w:rPr>
                <w:sz w:val="2"/>
                <w:szCs w:val="2"/>
                <w:color w:val="auto"/>
              </w:rPr>
            </w:pPr>
          </w:p>
        </w:tc>
        <w:tc>
          <w:tcPr>
            <w:tcW w:w="340" w:type="dxa"/>
            <w:vAlign w:val="bottom"/>
            <w:tcBorders>
              <w:right w:val="single" w:sz="8" w:color="auto"/>
            </w:tcBorders>
            <w:shd w:val="clear" w:color="auto" w:fill="F4F8EE"/>
          </w:tcPr>
          <w:p>
            <w:pPr>
              <w:spacing w:after="0"/>
              <w:rPr>
                <w:sz w:val="2"/>
                <w:szCs w:val="2"/>
                <w:color w:val="auto"/>
              </w:rPr>
            </w:pPr>
          </w:p>
        </w:tc>
        <w:tc>
          <w:tcPr>
            <w:tcW w:w="420" w:type="dxa"/>
            <w:vAlign w:val="bottom"/>
            <w:tcBorders>
              <w:right w:val="single" w:sz="8" w:color="auto"/>
            </w:tcBorders>
            <w:shd w:val="clear" w:color="auto" w:fill="F4F8EE"/>
          </w:tcPr>
          <w:p>
            <w:pPr>
              <w:spacing w:after="0"/>
              <w:rPr>
                <w:sz w:val="2"/>
                <w:szCs w:val="2"/>
                <w:color w:val="auto"/>
              </w:rPr>
            </w:pPr>
          </w:p>
        </w:tc>
        <w:tc>
          <w:tcPr>
            <w:tcW w:w="500" w:type="dxa"/>
            <w:vAlign w:val="bottom"/>
            <w:tcBorders>
              <w:right w:val="single" w:sz="8" w:color="auto"/>
            </w:tcBorders>
            <w:shd w:val="clear" w:color="auto" w:fill="F4F8EE"/>
          </w:tcPr>
          <w:p>
            <w:pPr>
              <w:spacing w:after="0"/>
              <w:rPr>
                <w:sz w:val="2"/>
                <w:szCs w:val="2"/>
                <w:color w:val="auto"/>
              </w:rPr>
            </w:pPr>
          </w:p>
        </w:tc>
        <w:tc>
          <w:tcPr>
            <w:tcW w:w="640" w:type="dxa"/>
            <w:vAlign w:val="bottom"/>
            <w:tcBorders>
              <w:right w:val="single" w:sz="8" w:color="auto"/>
            </w:tcBorders>
            <w:shd w:val="clear" w:color="auto" w:fill="F4F8EE"/>
          </w:tcPr>
          <w:p>
            <w:pPr>
              <w:spacing w:after="0"/>
              <w:rPr>
                <w:sz w:val="2"/>
                <w:szCs w:val="2"/>
                <w:color w:val="auto"/>
              </w:rPr>
            </w:pPr>
          </w:p>
        </w:tc>
        <w:tc>
          <w:tcPr>
            <w:tcW w:w="540" w:type="dxa"/>
            <w:vAlign w:val="bottom"/>
            <w:tcBorders>
              <w:right w:val="single" w:sz="8" w:color="auto"/>
            </w:tcBorders>
            <w:shd w:val="clear" w:color="auto" w:fill="F4F8EE"/>
          </w:tcPr>
          <w:p>
            <w:pPr>
              <w:spacing w:after="0"/>
              <w:rPr>
                <w:sz w:val="2"/>
                <w:szCs w:val="2"/>
                <w:color w:val="auto"/>
              </w:rPr>
            </w:pPr>
          </w:p>
        </w:tc>
        <w:tc>
          <w:tcPr>
            <w:tcW w:w="600" w:type="dxa"/>
            <w:vAlign w:val="bottom"/>
            <w:tcBorders>
              <w:right w:val="single" w:sz="8" w:color="auto"/>
            </w:tcBorders>
            <w:shd w:val="clear" w:color="auto" w:fill="F4F8EE"/>
          </w:tcPr>
          <w:p>
            <w:pPr>
              <w:spacing w:after="0"/>
              <w:rPr>
                <w:sz w:val="2"/>
                <w:szCs w:val="2"/>
                <w:color w:val="auto"/>
              </w:rPr>
            </w:pPr>
          </w:p>
        </w:tc>
        <w:tc>
          <w:tcPr>
            <w:tcW w:w="620" w:type="dxa"/>
            <w:vAlign w:val="bottom"/>
            <w:tcBorders>
              <w:right w:val="single" w:sz="8" w:color="auto"/>
            </w:tcBorders>
            <w:shd w:val="clear" w:color="auto" w:fill="F4F8EE"/>
          </w:tcPr>
          <w:p>
            <w:pPr>
              <w:spacing w:after="0"/>
              <w:rPr>
                <w:sz w:val="2"/>
                <w:szCs w:val="2"/>
                <w:color w:val="auto"/>
              </w:rPr>
            </w:pPr>
          </w:p>
        </w:tc>
        <w:tc>
          <w:tcPr>
            <w:tcW w:w="620" w:type="dxa"/>
            <w:vAlign w:val="bottom"/>
            <w:tcBorders>
              <w:right w:val="single" w:sz="8" w:color="auto"/>
            </w:tcBorders>
            <w:shd w:val="clear" w:color="auto" w:fill="F4F8EE"/>
          </w:tcPr>
          <w:p>
            <w:pPr>
              <w:spacing w:after="0"/>
              <w:rPr>
                <w:sz w:val="2"/>
                <w:szCs w:val="2"/>
                <w:color w:val="auto"/>
              </w:rPr>
            </w:pPr>
          </w:p>
        </w:tc>
        <w:tc>
          <w:tcPr>
            <w:tcW w:w="640" w:type="dxa"/>
            <w:vAlign w:val="bottom"/>
            <w:tcBorders>
              <w:right w:val="single" w:sz="8" w:color="auto"/>
            </w:tcBorders>
            <w:shd w:val="clear" w:color="auto" w:fill="F4F8EE"/>
          </w:tcPr>
          <w:p>
            <w:pPr>
              <w:spacing w:after="0"/>
              <w:rPr>
                <w:sz w:val="2"/>
                <w:szCs w:val="2"/>
                <w:color w:val="auto"/>
              </w:rPr>
            </w:pPr>
          </w:p>
        </w:tc>
        <w:tc>
          <w:tcPr>
            <w:tcW w:w="560" w:type="dxa"/>
            <w:vAlign w:val="bottom"/>
            <w:tcBorders>
              <w:right w:val="single" w:sz="8" w:color="auto"/>
            </w:tcBorders>
            <w:shd w:val="clear" w:color="auto" w:fill="F4F8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1340" w:type="dxa"/>
            <w:vAlign w:val="bottom"/>
            <w:tcBorders>
              <w:left w:val="single" w:sz="8" w:color="auto"/>
              <w:right w:val="single" w:sz="8" w:color="auto"/>
            </w:tcBorders>
            <w:shd w:val="clear" w:color="auto" w:fill="F4F8EE"/>
          </w:tcPr>
          <w:p>
            <w:pPr>
              <w:ind w:left="60"/>
              <w:spacing w:after="0"/>
              <w:rPr>
                <w:sz w:val="20"/>
                <w:szCs w:val="20"/>
                <w:color w:val="auto"/>
              </w:rPr>
            </w:pPr>
            <w:r>
              <w:rPr>
                <w:rFonts w:ascii="Arial" w:cs="Arial" w:eastAsia="Arial" w:hAnsi="Arial"/>
                <w:sz w:val="9"/>
                <w:szCs w:val="9"/>
                <w:color w:val="auto"/>
              </w:rPr>
              <w:t>Investor Relations</w:t>
            </w: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shd w:val="clear" w:color="auto" w:fill="F4F8EE"/>
          </w:tcPr>
          <w:p>
            <w:pPr>
              <w:spacing w:after="0"/>
              <w:rPr>
                <w:sz w:val="11"/>
                <w:szCs w:val="11"/>
                <w:color w:val="auto"/>
              </w:rPr>
            </w:pPr>
          </w:p>
        </w:tc>
        <w:tc>
          <w:tcPr>
            <w:tcW w:w="260" w:type="dxa"/>
            <w:vAlign w:val="bottom"/>
            <w:tcBorders>
              <w:right w:val="single" w:sz="8" w:color="auto"/>
            </w:tcBorders>
            <w:shd w:val="clear" w:color="auto" w:fill="F4F8EE"/>
          </w:tcPr>
          <w:p>
            <w:pPr>
              <w:spacing w:after="0"/>
              <w:rPr>
                <w:sz w:val="11"/>
                <w:szCs w:val="11"/>
                <w:color w:val="auto"/>
              </w:rPr>
            </w:pPr>
          </w:p>
        </w:tc>
        <w:tc>
          <w:tcPr>
            <w:tcW w:w="480" w:type="dxa"/>
            <w:vAlign w:val="bottom"/>
            <w:tcBorders>
              <w:right w:val="single" w:sz="8" w:color="auto"/>
            </w:tcBorders>
            <w:shd w:val="clear" w:color="auto" w:fill="F4F8EE"/>
          </w:tcPr>
          <w:p>
            <w:pPr>
              <w:spacing w:after="0"/>
              <w:rPr>
                <w:sz w:val="11"/>
                <w:szCs w:val="11"/>
                <w:color w:val="auto"/>
              </w:rPr>
            </w:pPr>
          </w:p>
        </w:tc>
        <w:tc>
          <w:tcPr>
            <w:tcW w:w="280" w:type="dxa"/>
            <w:vAlign w:val="bottom"/>
            <w:tcBorders>
              <w:right w:val="single" w:sz="8" w:color="auto"/>
            </w:tcBorders>
            <w:shd w:val="clear" w:color="auto" w:fill="F4F8EE"/>
          </w:tcPr>
          <w:p>
            <w:pPr>
              <w:spacing w:after="0"/>
              <w:rPr>
                <w:sz w:val="11"/>
                <w:szCs w:val="11"/>
                <w:color w:val="auto"/>
              </w:rPr>
            </w:pPr>
          </w:p>
        </w:tc>
        <w:tc>
          <w:tcPr>
            <w:tcW w:w="340" w:type="dxa"/>
            <w:vAlign w:val="bottom"/>
            <w:tcBorders>
              <w:right w:val="single" w:sz="8" w:color="auto"/>
            </w:tcBorders>
            <w:shd w:val="clear" w:color="auto" w:fill="F4F8EE"/>
          </w:tcPr>
          <w:p>
            <w:pPr>
              <w:spacing w:after="0"/>
              <w:rPr>
                <w:sz w:val="11"/>
                <w:szCs w:val="11"/>
                <w:color w:val="auto"/>
              </w:rPr>
            </w:pPr>
          </w:p>
        </w:tc>
        <w:tc>
          <w:tcPr>
            <w:tcW w:w="420" w:type="dxa"/>
            <w:vAlign w:val="bottom"/>
            <w:tcBorders>
              <w:right w:val="single" w:sz="8" w:color="auto"/>
            </w:tcBorders>
            <w:shd w:val="clear" w:color="auto" w:fill="F4F8EE"/>
          </w:tcPr>
          <w:p>
            <w:pPr>
              <w:spacing w:after="0"/>
              <w:rPr>
                <w:sz w:val="11"/>
                <w:szCs w:val="11"/>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shd w:val="clear" w:color="auto" w:fill="F4F8EE"/>
          </w:tcPr>
          <w:p>
            <w:pPr>
              <w:spacing w:after="0"/>
              <w:rPr>
                <w:sz w:val="11"/>
                <w:szCs w:val="11"/>
                <w:color w:val="auto"/>
              </w:rPr>
            </w:pPr>
          </w:p>
        </w:tc>
        <w:tc>
          <w:tcPr>
            <w:tcW w:w="600" w:type="dxa"/>
            <w:vAlign w:val="bottom"/>
            <w:tcBorders>
              <w:right w:val="single" w:sz="8" w:color="auto"/>
            </w:tcBorders>
            <w:shd w:val="clear" w:color="auto" w:fill="F4F8EE"/>
          </w:tcPr>
          <w:p>
            <w:pPr>
              <w:spacing w:after="0"/>
              <w:rPr>
                <w:sz w:val="11"/>
                <w:szCs w:val="11"/>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762</w:t>
            </w:r>
          </w:p>
        </w:tc>
        <w:tc>
          <w:tcPr>
            <w:tcW w:w="620" w:type="dxa"/>
            <w:vAlign w:val="bottom"/>
            <w:tcBorders>
              <w:right w:val="single" w:sz="8" w:color="auto"/>
            </w:tcBorders>
            <w:shd w:val="clear" w:color="auto" w:fill="F4F8EE"/>
          </w:tcPr>
          <w:p>
            <w:pPr>
              <w:spacing w:after="0"/>
              <w:rPr>
                <w:sz w:val="11"/>
                <w:szCs w:val="11"/>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58,704</w:t>
            </w:r>
          </w:p>
        </w:tc>
        <w:tc>
          <w:tcPr>
            <w:tcW w:w="560" w:type="dxa"/>
            <w:vAlign w:val="bottom"/>
            <w:tcBorders>
              <w:right w:val="single" w:sz="8" w:color="auto"/>
            </w:tcBorders>
            <w:shd w:val="clear" w:color="auto" w:fill="F4F8E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984</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75,807</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27/02/2026</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2,661</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205,003</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2,286</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176,113</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shd w:val="clear" w:color="auto" w:fill="F4F8EE"/>
          </w:tcPr>
          <w:p>
            <w:pPr>
              <w:spacing w:after="0"/>
              <w:rPr>
                <w:sz w:val="13"/>
                <w:szCs w:val="13"/>
                <w:color w:val="auto"/>
              </w:rPr>
            </w:pPr>
          </w:p>
        </w:tc>
        <w:tc>
          <w:tcPr>
            <w:tcW w:w="60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2,952</w:t>
            </w: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227,422</w:t>
            </w: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shd w:val="clear" w:color="auto" w:fill="F4F8EE"/>
          </w:tcPr>
          <w:p>
            <w:pPr>
              <w:spacing w:after="0"/>
              <w:rPr>
                <w:sz w:val="13"/>
                <w:szCs w:val="13"/>
                <w:color w:val="auto"/>
              </w:rPr>
            </w:pPr>
          </w:p>
        </w:tc>
        <w:tc>
          <w:tcPr>
            <w:tcW w:w="240" w:type="dxa"/>
            <w:vAlign w:val="bottom"/>
            <w:tcBorders>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shd w:val="clear" w:color="auto" w:fill="F4F8EE"/>
          </w:tcPr>
          <w:p>
            <w:pPr>
              <w:spacing w:after="0"/>
              <w:rPr>
                <w:sz w:val="13"/>
                <w:szCs w:val="13"/>
                <w:color w:val="auto"/>
              </w:rPr>
            </w:pPr>
          </w:p>
        </w:tc>
        <w:tc>
          <w:tcPr>
            <w:tcW w:w="260" w:type="dxa"/>
            <w:vAlign w:val="bottom"/>
            <w:tcBorders>
              <w:right w:val="single" w:sz="8" w:color="auto"/>
            </w:tcBorders>
            <w:shd w:val="clear" w:color="auto" w:fill="F4F8EE"/>
          </w:tcPr>
          <w:p>
            <w:pPr>
              <w:spacing w:after="0"/>
              <w:rPr>
                <w:sz w:val="13"/>
                <w:szCs w:val="13"/>
                <w:color w:val="auto"/>
              </w:rPr>
            </w:pPr>
          </w:p>
        </w:tc>
        <w:tc>
          <w:tcPr>
            <w:tcW w:w="480" w:type="dxa"/>
            <w:vAlign w:val="bottom"/>
            <w:tcBorders>
              <w:right w:val="single" w:sz="8" w:color="auto"/>
            </w:tcBorders>
            <w:shd w:val="clear" w:color="auto" w:fill="F4F8EE"/>
          </w:tcPr>
          <w:p>
            <w:pPr>
              <w:spacing w:after="0"/>
              <w:rPr>
                <w:sz w:val="13"/>
                <w:szCs w:val="13"/>
                <w:color w:val="auto"/>
              </w:rPr>
            </w:pPr>
          </w:p>
        </w:tc>
        <w:tc>
          <w:tcPr>
            <w:tcW w:w="280" w:type="dxa"/>
            <w:vAlign w:val="bottom"/>
            <w:tcBorders>
              <w:right w:val="single" w:sz="8" w:color="auto"/>
            </w:tcBorders>
            <w:shd w:val="clear" w:color="auto" w:fill="F4F8EE"/>
          </w:tcPr>
          <w:p>
            <w:pPr>
              <w:spacing w:after="0"/>
              <w:rPr>
                <w:sz w:val="13"/>
                <w:szCs w:val="13"/>
                <w:color w:val="auto"/>
              </w:rPr>
            </w:pPr>
          </w:p>
        </w:tc>
        <w:tc>
          <w:tcPr>
            <w:tcW w:w="340" w:type="dxa"/>
            <w:vAlign w:val="bottom"/>
            <w:tcBorders>
              <w:right w:val="single" w:sz="8" w:color="auto"/>
            </w:tcBorders>
            <w:shd w:val="clear" w:color="auto" w:fill="F4F8EE"/>
          </w:tcPr>
          <w:p>
            <w:pPr>
              <w:spacing w:after="0"/>
              <w:rPr>
                <w:sz w:val="13"/>
                <w:szCs w:val="13"/>
                <w:color w:val="auto"/>
              </w:rPr>
            </w:pPr>
          </w:p>
        </w:tc>
        <w:tc>
          <w:tcPr>
            <w:tcW w:w="420" w:type="dxa"/>
            <w:vAlign w:val="bottom"/>
            <w:tcBorders>
              <w:right w:val="single" w:sz="8" w:color="auto"/>
            </w:tcBorders>
            <w:shd w:val="clear" w:color="auto" w:fill="F4F8EE"/>
          </w:tcPr>
          <w:p>
            <w:pPr>
              <w:spacing w:after="0"/>
              <w:rPr>
                <w:sz w:val="13"/>
                <w:szCs w:val="13"/>
                <w:color w:val="auto"/>
              </w:rPr>
            </w:pPr>
          </w:p>
        </w:tc>
        <w:tc>
          <w:tcPr>
            <w:tcW w:w="50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1,306</w:t>
            </w:r>
          </w:p>
        </w:tc>
        <w:tc>
          <w:tcPr>
            <w:tcW w:w="600" w:type="dxa"/>
            <w:vAlign w:val="bottom"/>
            <w:tcBorders>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100,614</w:t>
            </w:r>
          </w:p>
        </w:tc>
        <w:tc>
          <w:tcPr>
            <w:tcW w:w="620" w:type="dxa"/>
            <w:vAlign w:val="bottom"/>
            <w:tcBorders>
              <w:right w:val="single" w:sz="8" w:color="auto"/>
            </w:tcBorders>
            <w:shd w:val="clear" w:color="auto" w:fill="F4F8EE"/>
          </w:tcPr>
          <w:p>
            <w:pPr>
              <w:spacing w:after="0"/>
              <w:rPr>
                <w:sz w:val="13"/>
                <w:szCs w:val="13"/>
                <w:color w:val="auto"/>
              </w:rPr>
            </w:pPr>
          </w:p>
        </w:tc>
        <w:tc>
          <w:tcPr>
            <w:tcW w:w="620" w:type="dxa"/>
            <w:vAlign w:val="bottom"/>
            <w:tcBorders>
              <w:right w:val="single" w:sz="8" w:color="auto"/>
            </w:tcBorders>
            <w:shd w:val="clear" w:color="auto" w:fill="F4F8EE"/>
          </w:tcPr>
          <w:p>
            <w:pPr>
              <w:spacing w:after="0"/>
              <w:rPr>
                <w:sz w:val="13"/>
                <w:szCs w:val="13"/>
                <w:color w:val="auto"/>
              </w:rPr>
            </w:pPr>
          </w:p>
        </w:tc>
        <w:tc>
          <w:tcPr>
            <w:tcW w:w="640" w:type="dxa"/>
            <w:vAlign w:val="bottom"/>
            <w:tcBorders>
              <w:right w:val="single" w:sz="8" w:color="auto"/>
            </w:tcBorders>
            <w:shd w:val="clear" w:color="auto" w:fill="F4F8EE"/>
          </w:tcPr>
          <w:p>
            <w:pPr>
              <w:spacing w:after="0"/>
              <w:rPr>
                <w:sz w:val="13"/>
                <w:szCs w:val="13"/>
                <w:color w:val="auto"/>
              </w:rPr>
            </w:pPr>
          </w:p>
        </w:tc>
        <w:tc>
          <w:tcPr>
            <w:tcW w:w="560" w:type="dxa"/>
            <w:vAlign w:val="bottom"/>
            <w:tcBorders>
              <w:right w:val="single" w:sz="8" w:color="auto"/>
            </w:tcBorders>
            <w:shd w:val="clear" w:color="auto" w:fill="F4F8E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bottom w:val="single" w:sz="8" w:color="F4F8EE"/>
              <w:right w:val="single" w:sz="8" w:color="auto"/>
            </w:tcBorders>
            <w:shd w:val="clear" w:color="auto" w:fill="F4F8EE"/>
          </w:tcPr>
          <w:p>
            <w:pPr>
              <w:spacing w:after="0"/>
              <w:rPr>
                <w:sz w:val="15"/>
                <w:szCs w:val="15"/>
                <w:color w:val="auto"/>
              </w:rPr>
            </w:pPr>
          </w:p>
        </w:tc>
        <w:tc>
          <w:tcPr>
            <w:tcW w:w="240" w:type="dxa"/>
            <w:vAlign w:val="bottom"/>
            <w:tcBorders>
              <w:bottom w:val="single" w:sz="8" w:color="F4F8EE"/>
              <w:right w:val="single" w:sz="8" w:color="auto"/>
            </w:tcBorders>
            <w:shd w:val="clear" w:color="auto" w:fill="F4F8EE"/>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bottom w:val="single" w:sz="8" w:color="F4F8EE"/>
              <w:right w:val="single" w:sz="8" w:color="auto"/>
            </w:tcBorders>
            <w:shd w:val="clear" w:color="auto" w:fill="F4F8EE"/>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bottom w:val="single" w:sz="8" w:color="F4F8EE"/>
              <w:right w:val="single" w:sz="8" w:color="auto"/>
            </w:tcBorders>
            <w:shd w:val="clear" w:color="auto" w:fill="F4F8EE"/>
          </w:tcPr>
          <w:p>
            <w:pPr>
              <w:spacing w:after="0"/>
              <w:rPr>
                <w:sz w:val="15"/>
                <w:szCs w:val="15"/>
                <w:color w:val="auto"/>
              </w:rPr>
            </w:pPr>
          </w:p>
        </w:tc>
        <w:tc>
          <w:tcPr>
            <w:tcW w:w="260" w:type="dxa"/>
            <w:vAlign w:val="bottom"/>
            <w:tcBorders>
              <w:bottom w:val="single" w:sz="8" w:color="F4F8EE"/>
              <w:right w:val="single" w:sz="8" w:color="auto"/>
            </w:tcBorders>
            <w:shd w:val="clear" w:color="auto" w:fill="F4F8EE"/>
          </w:tcPr>
          <w:p>
            <w:pPr>
              <w:spacing w:after="0"/>
              <w:rPr>
                <w:sz w:val="15"/>
                <w:szCs w:val="15"/>
                <w:color w:val="auto"/>
              </w:rPr>
            </w:pPr>
          </w:p>
        </w:tc>
        <w:tc>
          <w:tcPr>
            <w:tcW w:w="480" w:type="dxa"/>
            <w:vAlign w:val="bottom"/>
            <w:tcBorders>
              <w:bottom w:val="single" w:sz="8" w:color="F4F8EE"/>
              <w:right w:val="single" w:sz="8" w:color="auto"/>
            </w:tcBorders>
            <w:shd w:val="clear" w:color="auto" w:fill="F4F8EE"/>
          </w:tcPr>
          <w:p>
            <w:pPr>
              <w:spacing w:after="0"/>
              <w:rPr>
                <w:sz w:val="15"/>
                <w:szCs w:val="15"/>
                <w:color w:val="auto"/>
              </w:rPr>
            </w:pPr>
          </w:p>
        </w:tc>
        <w:tc>
          <w:tcPr>
            <w:tcW w:w="280" w:type="dxa"/>
            <w:vAlign w:val="bottom"/>
            <w:tcBorders>
              <w:bottom w:val="single" w:sz="8" w:color="F4F8EE"/>
              <w:right w:val="single" w:sz="8" w:color="auto"/>
            </w:tcBorders>
            <w:shd w:val="clear" w:color="auto" w:fill="F4F8EE"/>
          </w:tcPr>
          <w:p>
            <w:pPr>
              <w:spacing w:after="0"/>
              <w:rPr>
                <w:sz w:val="15"/>
                <w:szCs w:val="15"/>
                <w:color w:val="auto"/>
              </w:rPr>
            </w:pPr>
          </w:p>
        </w:tc>
        <w:tc>
          <w:tcPr>
            <w:tcW w:w="340" w:type="dxa"/>
            <w:vAlign w:val="bottom"/>
            <w:tcBorders>
              <w:bottom w:val="single" w:sz="8" w:color="F4F8EE"/>
              <w:right w:val="single" w:sz="8" w:color="auto"/>
            </w:tcBorders>
            <w:shd w:val="clear" w:color="auto" w:fill="F4F8EE"/>
          </w:tcPr>
          <w:p>
            <w:pPr>
              <w:spacing w:after="0"/>
              <w:rPr>
                <w:sz w:val="15"/>
                <w:szCs w:val="15"/>
                <w:color w:val="auto"/>
              </w:rPr>
            </w:pPr>
          </w:p>
        </w:tc>
        <w:tc>
          <w:tcPr>
            <w:tcW w:w="420" w:type="dxa"/>
            <w:vAlign w:val="bottom"/>
            <w:tcBorders>
              <w:bottom w:val="single" w:sz="8" w:color="F4F8EE"/>
              <w:right w:val="single" w:sz="8" w:color="auto"/>
            </w:tcBorders>
            <w:shd w:val="clear" w:color="auto" w:fill="F4F8EE"/>
          </w:tcPr>
          <w:p>
            <w:pPr>
              <w:spacing w:after="0"/>
              <w:rPr>
                <w:sz w:val="15"/>
                <w:szCs w:val="15"/>
                <w:color w:val="auto"/>
              </w:rPr>
            </w:pPr>
          </w:p>
        </w:tc>
        <w:tc>
          <w:tcPr>
            <w:tcW w:w="500" w:type="dxa"/>
            <w:vAlign w:val="bottom"/>
            <w:tcBorders>
              <w:bottom w:val="single" w:sz="8" w:color="F4F8EE"/>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bottom w:val="single" w:sz="8" w:color="F4F8EE"/>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bottom w:val="single" w:sz="8" w:color="F4F8EE"/>
              <w:right w:val="single" w:sz="8" w:color="auto"/>
            </w:tcBorders>
            <w:shd w:val="clear" w:color="auto" w:fill="F4F8EE"/>
          </w:tcPr>
          <w:p>
            <w:pPr>
              <w:jc w:val="right"/>
              <w:ind w:right="35"/>
              <w:spacing w:after="0"/>
              <w:rPr>
                <w:sz w:val="20"/>
                <w:szCs w:val="20"/>
                <w:color w:val="auto"/>
              </w:rPr>
            </w:pPr>
            <w:r>
              <w:rPr>
                <w:rFonts w:ascii="Arial" w:cs="Arial" w:eastAsia="Arial" w:hAnsi="Arial"/>
                <w:sz w:val="9"/>
                <w:szCs w:val="9"/>
                <w:color w:val="auto"/>
              </w:rPr>
              <w:t>1,687</w:t>
            </w:r>
          </w:p>
        </w:tc>
        <w:tc>
          <w:tcPr>
            <w:tcW w:w="600" w:type="dxa"/>
            <w:vAlign w:val="bottom"/>
            <w:tcBorders>
              <w:bottom w:val="single" w:sz="8" w:color="F4F8EE"/>
              <w:right w:val="single" w:sz="8" w:color="auto"/>
            </w:tcBorders>
            <w:shd w:val="clear" w:color="auto" w:fill="F4F8EE"/>
          </w:tcPr>
          <w:p>
            <w:pPr>
              <w:jc w:val="right"/>
              <w:ind w:right="15"/>
              <w:spacing w:after="0"/>
              <w:rPr>
                <w:sz w:val="20"/>
                <w:szCs w:val="20"/>
                <w:color w:val="auto"/>
              </w:rPr>
            </w:pPr>
            <w:r>
              <w:rPr>
                <w:rFonts w:ascii="Arial" w:cs="Arial" w:eastAsia="Arial" w:hAnsi="Arial"/>
                <w:sz w:val="9"/>
                <w:szCs w:val="9"/>
                <w:color w:val="auto"/>
              </w:rPr>
              <w:t>129,966</w:t>
            </w:r>
          </w:p>
        </w:tc>
        <w:tc>
          <w:tcPr>
            <w:tcW w:w="620" w:type="dxa"/>
            <w:vAlign w:val="bottom"/>
            <w:tcBorders>
              <w:bottom w:val="single" w:sz="8" w:color="F4F8EE"/>
              <w:right w:val="single" w:sz="8" w:color="auto"/>
            </w:tcBorders>
            <w:shd w:val="clear" w:color="auto" w:fill="F4F8EE"/>
          </w:tcPr>
          <w:p>
            <w:pPr>
              <w:spacing w:after="0"/>
              <w:rPr>
                <w:sz w:val="15"/>
                <w:szCs w:val="15"/>
                <w:color w:val="auto"/>
              </w:rPr>
            </w:pPr>
          </w:p>
        </w:tc>
        <w:tc>
          <w:tcPr>
            <w:tcW w:w="620" w:type="dxa"/>
            <w:vAlign w:val="bottom"/>
            <w:tcBorders>
              <w:bottom w:val="single" w:sz="8" w:color="F4F8EE"/>
              <w:right w:val="single" w:sz="8" w:color="auto"/>
            </w:tcBorders>
            <w:shd w:val="clear" w:color="auto" w:fill="F4F8EE"/>
          </w:tcPr>
          <w:p>
            <w:pPr>
              <w:spacing w:after="0"/>
              <w:rPr>
                <w:sz w:val="15"/>
                <w:szCs w:val="15"/>
                <w:color w:val="auto"/>
              </w:rPr>
            </w:pPr>
          </w:p>
        </w:tc>
        <w:tc>
          <w:tcPr>
            <w:tcW w:w="640" w:type="dxa"/>
            <w:vAlign w:val="bottom"/>
            <w:tcBorders>
              <w:bottom w:val="single" w:sz="8" w:color="F4F8EE"/>
              <w:right w:val="single" w:sz="8" w:color="auto"/>
            </w:tcBorders>
            <w:shd w:val="clear" w:color="auto" w:fill="F4F8EE"/>
          </w:tcPr>
          <w:p>
            <w:pPr>
              <w:spacing w:after="0"/>
              <w:rPr>
                <w:sz w:val="15"/>
                <w:szCs w:val="15"/>
                <w:color w:val="auto"/>
              </w:rPr>
            </w:pPr>
          </w:p>
        </w:tc>
        <w:tc>
          <w:tcPr>
            <w:tcW w:w="560" w:type="dxa"/>
            <w:vAlign w:val="bottom"/>
            <w:tcBorders>
              <w:bottom w:val="single" w:sz="8" w:color="F4F8EE"/>
              <w:right w:val="single" w:sz="8" w:color="auto"/>
            </w:tcBorders>
            <w:shd w:val="clear" w:color="auto" w:fill="F4F8E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3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Mr. David B. Jones</w:t>
            </w:r>
          </w:p>
        </w:tc>
        <w:tc>
          <w:tcPr>
            <w:tcW w:w="240" w:type="dxa"/>
            <w:vAlign w:val="bottom"/>
            <w:tcBorders>
              <w:top w:val="single" w:sz="8" w:color="auto"/>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78"/>
              </w:rPr>
              <w:t>7</w:t>
            </w:r>
          </w:p>
        </w:tc>
        <w:tc>
          <w:tcPr>
            <w:tcW w:w="440" w:type="dxa"/>
            <w:vAlign w:val="bottom"/>
            <w:tcBorders>
              <w:top w:val="single" w:sz="8" w:color="auto"/>
              <w:right w:val="single" w:sz="8" w:color="auto"/>
            </w:tcBorders>
          </w:tcPr>
          <w:p>
            <w:pPr>
              <w:spacing w:after="0"/>
              <w:rPr>
                <w:sz w:val="10"/>
                <w:szCs w:val="10"/>
                <w:color w:val="auto"/>
              </w:rPr>
            </w:pPr>
          </w:p>
        </w:tc>
        <w:tc>
          <w:tcPr>
            <w:tcW w:w="260" w:type="dxa"/>
            <w:vAlign w:val="bottom"/>
            <w:tcBorders>
              <w:top w:val="single" w:sz="8" w:color="auto"/>
              <w:right w:val="single" w:sz="8" w:color="auto"/>
            </w:tcBorders>
          </w:tcPr>
          <w:p>
            <w:pPr>
              <w:spacing w:after="0"/>
              <w:rPr>
                <w:sz w:val="10"/>
                <w:szCs w:val="10"/>
                <w:color w:val="auto"/>
              </w:rPr>
            </w:pPr>
          </w:p>
        </w:tc>
        <w:tc>
          <w:tcPr>
            <w:tcW w:w="480" w:type="dxa"/>
            <w:vAlign w:val="bottom"/>
            <w:tcBorders>
              <w:top w:val="single" w:sz="8" w:color="auto"/>
              <w:right w:val="single" w:sz="8" w:color="auto"/>
            </w:tcBorders>
          </w:tcPr>
          <w:p>
            <w:pPr>
              <w:jc w:val="center"/>
              <w:ind w:left="175"/>
              <w:spacing w:after="0"/>
              <w:rPr>
                <w:sz w:val="20"/>
                <w:szCs w:val="20"/>
                <w:color w:val="auto"/>
              </w:rPr>
            </w:pPr>
            <w:r>
              <w:rPr>
                <w:rFonts w:ascii="Arial" w:cs="Arial" w:eastAsia="Arial" w:hAnsi="Arial"/>
                <w:sz w:val="9"/>
                <w:szCs w:val="9"/>
                <w:color w:val="auto"/>
                <w:w w:val="92"/>
              </w:rPr>
              <w:t>229</w:t>
            </w:r>
          </w:p>
        </w:tc>
        <w:tc>
          <w:tcPr>
            <w:tcW w:w="280" w:type="dxa"/>
            <w:vAlign w:val="bottom"/>
            <w:tcBorders>
              <w:top w:val="single" w:sz="8" w:color="auto"/>
              <w:right w:val="single" w:sz="8" w:color="auto"/>
            </w:tcBorders>
          </w:tcPr>
          <w:p>
            <w:pPr>
              <w:spacing w:after="0"/>
              <w:rPr>
                <w:sz w:val="10"/>
                <w:szCs w:val="10"/>
                <w:color w:val="auto"/>
              </w:rPr>
            </w:pPr>
          </w:p>
        </w:tc>
        <w:tc>
          <w:tcPr>
            <w:tcW w:w="340" w:type="dxa"/>
            <w:vAlign w:val="bottom"/>
            <w:tcBorders>
              <w:top w:val="single" w:sz="8" w:color="auto"/>
              <w:right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500" w:type="dxa"/>
            <w:vAlign w:val="bottom"/>
            <w:tcBorders>
              <w:top w:val="single" w:sz="8" w:color="auto"/>
              <w:right w:val="single" w:sz="8" w:color="auto"/>
            </w:tcBorders>
          </w:tcPr>
          <w:p>
            <w:pPr>
              <w:jc w:val="right"/>
              <w:ind w:right="35"/>
              <w:spacing w:after="0"/>
              <w:rPr>
                <w:sz w:val="20"/>
                <w:szCs w:val="20"/>
                <w:color w:val="auto"/>
              </w:rPr>
            </w:pPr>
            <w:r>
              <w:rPr>
                <w:rFonts w:ascii="Arial" w:cs="Arial" w:eastAsia="Arial" w:hAnsi="Arial"/>
                <w:sz w:val="9"/>
                <w:szCs w:val="9"/>
                <w:color w:val="auto"/>
              </w:rPr>
              <w:t>99.68</w:t>
            </w:r>
          </w:p>
        </w:tc>
        <w:tc>
          <w:tcPr>
            <w:tcW w:w="64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9"/>
                <w:szCs w:val="9"/>
                <w:color w:val="auto"/>
              </w:rPr>
              <w:t>21/02/2032</w:t>
            </w:r>
          </w:p>
        </w:tc>
        <w:tc>
          <w:tcPr>
            <w:tcW w:w="540" w:type="dxa"/>
            <w:vAlign w:val="bottom"/>
            <w:tcBorders>
              <w:top w:val="single" w:sz="8" w:color="auto"/>
              <w:right w:val="single" w:sz="8" w:color="auto"/>
            </w:tcBorders>
          </w:tcPr>
          <w:p>
            <w:pPr>
              <w:spacing w:after="0"/>
              <w:rPr>
                <w:sz w:val="10"/>
                <w:szCs w:val="10"/>
                <w:color w:val="auto"/>
              </w:rPr>
            </w:pPr>
          </w:p>
        </w:tc>
        <w:tc>
          <w:tcPr>
            <w:tcW w:w="600" w:type="dxa"/>
            <w:vAlign w:val="bottom"/>
            <w:tcBorders>
              <w:top w:val="single" w:sz="8" w:color="auto"/>
              <w:right w:val="single" w:sz="8" w:color="auto"/>
            </w:tcBorders>
          </w:tcPr>
          <w:p>
            <w:pPr>
              <w:spacing w:after="0"/>
              <w:rPr>
                <w:sz w:val="10"/>
                <w:szCs w:val="10"/>
                <w:color w:val="auto"/>
              </w:rPr>
            </w:pPr>
          </w:p>
        </w:tc>
        <w:tc>
          <w:tcPr>
            <w:tcW w:w="620" w:type="dxa"/>
            <w:vAlign w:val="bottom"/>
            <w:tcBorders>
              <w:top w:val="single" w:sz="8" w:color="auto"/>
              <w:right w:val="single" w:sz="8" w:color="auto"/>
            </w:tcBorders>
          </w:tcPr>
          <w:p>
            <w:pPr>
              <w:spacing w:after="0"/>
              <w:rPr>
                <w:sz w:val="10"/>
                <w:szCs w:val="10"/>
                <w:color w:val="auto"/>
              </w:rPr>
            </w:pPr>
          </w:p>
        </w:tc>
        <w:tc>
          <w:tcPr>
            <w:tcW w:w="620" w:type="dxa"/>
            <w:vAlign w:val="bottom"/>
            <w:tcBorders>
              <w:top w:val="single" w:sz="8" w:color="auto"/>
              <w:right w:val="single" w:sz="8" w:color="auto"/>
            </w:tcBorders>
          </w:tcPr>
          <w:p>
            <w:pPr>
              <w:spacing w:after="0"/>
              <w:rPr>
                <w:sz w:val="10"/>
                <w:szCs w:val="10"/>
                <w:color w:val="auto"/>
              </w:rPr>
            </w:pPr>
          </w:p>
        </w:tc>
        <w:tc>
          <w:tcPr>
            <w:tcW w:w="640" w:type="dxa"/>
            <w:vAlign w:val="bottom"/>
            <w:tcBorders>
              <w:top w:val="single" w:sz="8" w:color="auto"/>
              <w:right w:val="single" w:sz="8" w:color="auto"/>
            </w:tcBorders>
          </w:tcPr>
          <w:p>
            <w:pPr>
              <w:spacing w:after="0"/>
              <w:rPr>
                <w:sz w:val="10"/>
                <w:szCs w:val="10"/>
                <w:color w:val="auto"/>
              </w:rPr>
            </w:pPr>
          </w:p>
        </w:tc>
        <w:tc>
          <w:tcPr>
            <w:tcW w:w="5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9"/>
                <w:szCs w:val="9"/>
                <w:color w:val="auto"/>
              </w:rPr>
              <w:t>Senior Vice President,</w:t>
            </w: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4</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480" w:type="dxa"/>
            <w:vAlign w:val="bottom"/>
            <w:tcBorders>
              <w:right w:val="single" w:sz="8" w:color="auto"/>
            </w:tcBorders>
          </w:tcPr>
          <w:p>
            <w:pPr>
              <w:jc w:val="center"/>
              <w:ind w:left="175"/>
              <w:spacing w:after="0"/>
              <w:rPr>
                <w:sz w:val="20"/>
                <w:szCs w:val="20"/>
                <w:color w:val="auto"/>
              </w:rPr>
            </w:pPr>
            <w:r>
              <w:rPr>
                <w:rFonts w:ascii="Arial" w:cs="Arial" w:eastAsia="Arial" w:hAnsi="Arial"/>
                <w:sz w:val="9"/>
                <w:szCs w:val="9"/>
                <w:color w:val="auto"/>
                <w:w w:val="92"/>
              </w:rPr>
              <w:t>217</w:t>
            </w:r>
          </w:p>
        </w:tc>
        <w:tc>
          <w:tcPr>
            <w:tcW w:w="2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109.42</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340" w:type="dxa"/>
            <w:vAlign w:val="bottom"/>
            <w:tcBorders>
              <w:left w:val="single" w:sz="8" w:color="auto"/>
              <w:right w:val="single" w:sz="8" w:color="auto"/>
            </w:tcBorders>
            <w:vMerge w:val="continue"/>
          </w:tcPr>
          <w:p>
            <w:pPr>
              <w:spacing w:after="0"/>
              <w:rPr>
                <w:sz w:val="5"/>
                <w:szCs w:val="5"/>
                <w:color w:val="auto"/>
              </w:rPr>
            </w:pPr>
          </w:p>
        </w:tc>
        <w:tc>
          <w:tcPr>
            <w:tcW w:w="240" w:type="dxa"/>
            <w:vAlign w:val="bottom"/>
            <w:tcBorders>
              <w:right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1</w:t>
            </w:r>
          </w:p>
        </w:tc>
        <w:tc>
          <w:tcPr>
            <w:tcW w:w="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78"/>
              </w:rPr>
              <w:t>7</w:t>
            </w:r>
          </w:p>
        </w:tc>
        <w:tc>
          <w:tcPr>
            <w:tcW w:w="440" w:type="dxa"/>
            <w:vAlign w:val="bottom"/>
            <w:tcBorders>
              <w:right w:val="single" w:sz="8" w:color="auto"/>
            </w:tcBorders>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vMerge w:val="restart"/>
          </w:tcPr>
          <w:p>
            <w:pPr>
              <w:jc w:val="center"/>
              <w:ind w:left="175"/>
              <w:spacing w:after="0"/>
              <w:rPr>
                <w:sz w:val="20"/>
                <w:szCs w:val="20"/>
                <w:color w:val="auto"/>
              </w:rPr>
            </w:pPr>
            <w:r>
              <w:rPr>
                <w:rFonts w:ascii="Arial" w:cs="Arial" w:eastAsia="Arial" w:hAnsi="Arial"/>
                <w:sz w:val="9"/>
                <w:szCs w:val="9"/>
                <w:color w:val="auto"/>
                <w:w w:val="92"/>
              </w:rPr>
              <w:t>687</w:t>
            </w:r>
          </w:p>
        </w:tc>
        <w:tc>
          <w:tcPr>
            <w:tcW w:w="28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99.68</w:t>
            </w:r>
          </w:p>
        </w:tc>
        <w:tc>
          <w:tcPr>
            <w:tcW w:w="6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21/02/2032</w:t>
            </w:r>
          </w:p>
        </w:tc>
        <w:tc>
          <w:tcPr>
            <w:tcW w:w="54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General Counsel,</w:t>
            </w:r>
          </w:p>
        </w:tc>
        <w:tc>
          <w:tcPr>
            <w:tcW w:w="24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9"/>
                <w:szCs w:val="9"/>
                <w:color w:val="auto"/>
              </w:rPr>
              <w:t>Chief Compliance Officer and</w:t>
            </w: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1</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480" w:type="dxa"/>
            <w:vAlign w:val="bottom"/>
            <w:tcBorders>
              <w:right w:val="single" w:sz="8" w:color="auto"/>
            </w:tcBorders>
          </w:tcPr>
          <w:p>
            <w:pPr>
              <w:jc w:val="center"/>
              <w:ind w:left="175"/>
              <w:spacing w:after="0"/>
              <w:rPr>
                <w:sz w:val="20"/>
                <w:szCs w:val="20"/>
                <w:color w:val="auto"/>
              </w:rPr>
            </w:pPr>
            <w:r>
              <w:rPr>
                <w:rFonts w:ascii="Arial" w:cs="Arial" w:eastAsia="Arial" w:hAnsi="Arial"/>
                <w:sz w:val="9"/>
                <w:szCs w:val="9"/>
                <w:color w:val="auto"/>
                <w:w w:val="92"/>
              </w:rPr>
              <w:t>651</w:t>
            </w:r>
          </w:p>
        </w:tc>
        <w:tc>
          <w:tcPr>
            <w:tcW w:w="28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109.42</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27/02/2033</w:t>
            </w:r>
          </w:p>
        </w:tc>
        <w:tc>
          <w:tcPr>
            <w:tcW w:w="54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40" w:type="dxa"/>
            <w:vAlign w:val="bottom"/>
            <w:tcBorders>
              <w:left w:val="single" w:sz="8" w:color="auto"/>
              <w:right w:val="single" w:sz="8" w:color="auto"/>
            </w:tcBorders>
            <w:vMerge w:val="continue"/>
          </w:tcPr>
          <w:p>
            <w:pPr>
              <w:spacing w:after="0"/>
              <w:rPr>
                <w:sz w:val="5"/>
                <w:szCs w:val="5"/>
                <w:color w:val="auto"/>
              </w:rPr>
            </w:pPr>
          </w:p>
        </w:tc>
        <w:tc>
          <w:tcPr>
            <w:tcW w:w="240" w:type="dxa"/>
            <w:vAlign w:val="bottom"/>
            <w:tcBorders>
              <w:right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15/03/2027</w:t>
            </w:r>
          </w:p>
        </w:tc>
        <w:tc>
          <w:tcPr>
            <w:tcW w:w="540" w:type="dxa"/>
            <w:vAlign w:val="bottom"/>
            <w:tcBorders>
              <w:right w:val="single" w:sz="8" w:color="auto"/>
            </w:tcBorders>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976</w:t>
            </w:r>
          </w:p>
        </w:tc>
        <w:tc>
          <w:tcPr>
            <w:tcW w:w="62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75,191</w:t>
            </w:r>
          </w:p>
        </w:tc>
        <w:tc>
          <w:tcPr>
            <w:tcW w:w="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Corporate Secretary</w:t>
            </w:r>
          </w:p>
        </w:tc>
        <w:tc>
          <w:tcPr>
            <w:tcW w:w="240" w:type="dxa"/>
            <w:vAlign w:val="bottom"/>
            <w:tcBorders>
              <w:right w:val="single" w:sz="8" w:color="auto"/>
            </w:tcBorders>
            <w:vMerge w:val="continue"/>
          </w:tcPr>
          <w:p>
            <w:pPr>
              <w:spacing w:after="0"/>
              <w:rPr>
                <w:sz w:val="10"/>
                <w:szCs w:val="10"/>
                <w:color w:val="auto"/>
              </w:rPr>
            </w:pPr>
          </w:p>
        </w:tc>
        <w:tc>
          <w:tcPr>
            <w:tcW w:w="22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894</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68,874</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3</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1,187</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91,446</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8</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27/02/2026</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2,928</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225,573</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2,683</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206,698</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3,562</w:t>
            </w: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274,416</w:t>
            </w: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78"/>
              </w:rPr>
              <w:t>9</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26/02/2027</w:t>
            </w:r>
          </w:p>
        </w:tc>
        <w:tc>
          <w:tcPr>
            <w:tcW w:w="54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1,533</w:t>
            </w:r>
          </w:p>
        </w:tc>
        <w:tc>
          <w:tcPr>
            <w:tcW w:w="60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118,102</w:t>
            </w: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right w:val="single" w:sz="8" w:color="auto"/>
            </w:tcBorders>
          </w:tcPr>
          <w:p>
            <w:pPr>
              <w:spacing w:after="0"/>
              <w:rPr>
                <w:sz w:val="13"/>
                <w:szCs w:val="13"/>
                <w:color w:val="auto"/>
              </w:rPr>
            </w:pPr>
          </w:p>
        </w:tc>
        <w:tc>
          <w:tcPr>
            <w:tcW w:w="240" w:type="dxa"/>
            <w:vAlign w:val="bottom"/>
            <w:tcBorders>
              <w:right w:val="single" w:sz="8" w:color="auto"/>
            </w:tcBorders>
          </w:tcPr>
          <w:p>
            <w:pPr>
              <w:jc w:val="right"/>
              <w:ind w:right="75"/>
              <w:spacing w:after="0"/>
              <w:rPr>
                <w:sz w:val="20"/>
                <w:szCs w:val="20"/>
                <w:color w:val="auto"/>
              </w:rPr>
            </w:pPr>
            <w:r>
              <w:rPr>
                <w:rFonts w:ascii="Arial" w:cs="Arial" w:eastAsia="Arial" w:hAnsi="Arial"/>
                <w:sz w:val="9"/>
                <w:szCs w:val="9"/>
                <w:color w:val="auto"/>
              </w:rPr>
              <w:t>2</w:t>
            </w:r>
          </w:p>
        </w:tc>
        <w:tc>
          <w:tcPr>
            <w:tcW w:w="2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9"/>
              </w:rPr>
              <w:t>10</w:t>
            </w:r>
          </w:p>
        </w:tc>
        <w:tc>
          <w:tcPr>
            <w:tcW w:w="440" w:type="dxa"/>
            <w:vAlign w:val="bottom"/>
            <w:tcBorders>
              <w:right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0.00</w:t>
            </w:r>
          </w:p>
        </w:tc>
        <w:tc>
          <w:tcPr>
            <w:tcW w:w="64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24/02/2028</w:t>
            </w:r>
          </w:p>
        </w:tc>
        <w:tc>
          <w:tcPr>
            <w:tcW w:w="540" w:type="dxa"/>
            <w:vAlign w:val="bottom"/>
            <w:tcBorders>
              <w:right w:val="single" w:sz="8" w:color="auto"/>
            </w:tcBorders>
          </w:tcPr>
          <w:p>
            <w:pPr>
              <w:jc w:val="right"/>
              <w:ind w:right="35"/>
              <w:spacing w:after="0"/>
              <w:rPr>
                <w:sz w:val="20"/>
                <w:szCs w:val="20"/>
                <w:color w:val="auto"/>
              </w:rPr>
            </w:pPr>
            <w:r>
              <w:rPr>
                <w:rFonts w:ascii="Arial" w:cs="Arial" w:eastAsia="Arial" w:hAnsi="Arial"/>
                <w:sz w:val="9"/>
                <w:szCs w:val="9"/>
                <w:color w:val="auto"/>
              </w:rPr>
              <w:t>2,036</w:t>
            </w:r>
          </w:p>
        </w:tc>
        <w:tc>
          <w:tcPr>
            <w:tcW w:w="600" w:type="dxa"/>
            <w:vAlign w:val="bottom"/>
            <w:tcBorders>
              <w:right w:val="single" w:sz="8" w:color="auto"/>
            </w:tcBorders>
          </w:tcPr>
          <w:p>
            <w:pPr>
              <w:jc w:val="right"/>
              <w:ind w:right="15"/>
              <w:spacing w:after="0"/>
              <w:rPr>
                <w:sz w:val="20"/>
                <w:szCs w:val="20"/>
                <w:color w:val="auto"/>
              </w:rPr>
            </w:pPr>
            <w:r>
              <w:rPr>
                <w:rFonts w:ascii="Arial" w:cs="Arial" w:eastAsia="Arial" w:hAnsi="Arial"/>
                <w:sz w:val="9"/>
                <w:szCs w:val="9"/>
                <w:color w:val="auto"/>
              </w:rPr>
              <w:t>156,853</w:t>
            </w: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Footnotes to “Outstanding Equity Awards at Fiscal Year End 2025” table:</w:t>
      </w:r>
    </w:p>
    <w:p>
      <w:pPr>
        <w:spacing w:after="0" w:line="128" w:lineRule="exact"/>
        <w:rPr>
          <w:sz w:val="20"/>
          <w:szCs w:val="20"/>
          <w:color w:val="auto"/>
        </w:rPr>
      </w:pPr>
    </w:p>
    <w:p>
      <w:pPr>
        <w:jc w:val="both"/>
        <w:ind w:left="540" w:right="139" w:hanging="335"/>
        <w:spacing w:after="0" w:line="264" w:lineRule="auto"/>
        <w:tabs>
          <w:tab w:leader="none" w:pos="5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Options issued under the Omnibus Plan. Option awards under the Omnibus Plan which are not exercisable are detailed in the column headed “Number of Securities Underlying Unexercised Options Unexercisable” and those which are exercisable are detailed in the column headed “Number of Securities Underlying Unexercised Options Exercisable”</w:t>
      </w:r>
    </w:p>
    <w:p>
      <w:pPr>
        <w:spacing w:after="0" w:line="76" w:lineRule="exact"/>
        <w:rPr>
          <w:rFonts w:ascii="Arial" w:cs="Arial" w:eastAsia="Arial" w:hAnsi="Arial"/>
          <w:sz w:val="15"/>
          <w:szCs w:val="15"/>
          <w:color w:val="auto"/>
        </w:rPr>
      </w:pPr>
    </w:p>
    <w:p>
      <w:pPr>
        <w:jc w:val="both"/>
        <w:ind w:left="540" w:right="139" w:hanging="335"/>
        <w:spacing w:after="0" w:line="253" w:lineRule="auto"/>
        <w:tabs>
          <w:tab w:leader="none" w:pos="5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Full Value Awards and Restricted Stock Units issued under the Omnibus Plan. The number of Full Value shares awarded is detailed in the column headed “Equity Incentive Plan Awards: Number of Unearned Shares, Units or Other Rights That Have Not Vested” and the market value of these awards is detailed in the column headed “Equity Incentive Plan Awards: Market or Pay-out Value of Unearned Shares, Units or Other Rights That Have Not Vested”, using the 2025 year-end share price of $76.54 as an indication. The number of Restricted Stock Units is detailed in the column headed “Number of Shares or Units of Stock That Have Not Vested” and the market value of these awards is detailed in the column headed “Market Value of Shares or Units of Stock That Have not Vested”, using the 2025 year-end share price of $76.54 as an indication.</w:t>
      </w:r>
    </w:p>
    <w:p>
      <w:pPr>
        <w:spacing w:after="0" w:line="96" w:lineRule="exact"/>
        <w:rPr>
          <w:rFonts w:ascii="Arial" w:cs="Arial" w:eastAsia="Arial" w:hAnsi="Arial"/>
          <w:sz w:val="15"/>
          <w:szCs w:val="15"/>
          <w:color w:val="auto"/>
        </w:rPr>
      </w:pPr>
    </w:p>
    <w:p>
      <w:pPr>
        <w:jc w:val="both"/>
        <w:ind w:left="540" w:right="119" w:hanging="335"/>
        <w:spacing w:after="0" w:line="258" w:lineRule="auto"/>
        <w:tabs>
          <w:tab w:leader="none" w:pos="5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Cash Incentive Awards granted at zero cost issued under the Omnibus Plan. Cash Incentive awards under the Omnibus Plan which are not exercisable are detailed in the column headed “Equity Incentive Plan Awards: Number of Unearned Shares, Units or Other Rights That Have Not Vested” and the market value of these awards is detailed in the column headed “Equity Incentive Plan Awards: Market or Pay-out Value of Unearned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1892935</wp:posOffset>
            </wp:positionV>
            <wp:extent cx="297180" cy="2901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5" w:name="page86"/>
    <w:bookmarkEnd w:id="85"/>
    <w:p>
      <w:pPr>
        <w:spacing w:after="0" w:line="100" w:lineRule="exact"/>
        <w:rPr>
          <w:sz w:val="20"/>
          <w:szCs w:val="20"/>
          <w:color w:val="auto"/>
        </w:rPr>
      </w:pPr>
    </w:p>
    <w:p>
      <w:pPr>
        <w:jc w:val="both"/>
        <w:ind w:left="540" w:right="119"/>
        <w:spacing w:after="0" w:line="258" w:lineRule="auto"/>
        <w:rPr>
          <w:sz w:val="20"/>
          <w:szCs w:val="20"/>
          <w:color w:val="auto"/>
        </w:rPr>
      </w:pPr>
      <w:r>
        <w:rPr>
          <w:rFonts w:ascii="Arial" w:cs="Arial" w:eastAsia="Arial" w:hAnsi="Arial"/>
          <w:sz w:val="15"/>
          <w:szCs w:val="15"/>
          <w:color w:val="auto"/>
        </w:rPr>
        <w:t>Units or Other Rights That Have Not Vested”, using the 2025-year-end share price of $76.54 as an indication. Cash Incentive awards under the Omnibus Plan which are exercisable are detailed in the column headed “Equity Incentive Plan Awards: Number of Shares, Units or Other Rights That Have Vested and are Exercisable”. Market or Pay-out Value of Shares, Units or Other Rights That Have Vested use the 2025-year-end share price of $76.54 as an indication.</w:t>
      </w:r>
    </w:p>
    <w:p>
      <w:pPr>
        <w:spacing w:after="0" w:line="94" w:lineRule="exact"/>
        <w:rPr>
          <w:sz w:val="20"/>
          <w:szCs w:val="20"/>
          <w:color w:val="auto"/>
        </w:rPr>
      </w:pPr>
    </w:p>
    <w:p>
      <w:pPr>
        <w:jc w:val="both"/>
        <w:ind w:left="540" w:right="119" w:hanging="335"/>
        <w:spacing w:after="0" w:line="258"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Cash Incentive Awards granted at market price issued under the Omnibus Plan. Cash Incentive Awards granted at market price which are not exercisable are detailed in the column headed “Number of Securities Underlying Unexercised Options Unexercisable” and those which are exercisable are detailed in the column headed “Number of Securities Underlying Unexercised Options Exercisable”</w:t>
      </w:r>
    </w:p>
    <w:p>
      <w:pPr>
        <w:spacing w:after="0" w:line="82"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SEUs issued under the CSOP. These are detailed in the column headed “Number of Securities Underlying Unexercised Options Exercisable”</w:t>
      </w:r>
    </w:p>
    <w:p>
      <w:pPr>
        <w:spacing w:after="0" w:line="74"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Options issued under the ShareSave plan to non-US participants. These are detailed in the column headed “Number of Securities Underlying Unexercised Options Exercisable”</w:t>
      </w:r>
    </w:p>
    <w:p>
      <w:pPr>
        <w:spacing w:after="0" w:line="74"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Omnibus Full Value Awards, Options and Cash Incentive Awards have vesting date of February 21, 2025</w:t>
      </w:r>
    </w:p>
    <w:p>
      <w:pPr>
        <w:spacing w:after="0" w:line="117"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Omnibus Full Value Awards, Options and Cash Incentive Awards have vesting date of February 27, 2026</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Omnibus Full Value Awards, Cash Incentive Awards and Restricted Stock Units have vesting date of February 26, 2027</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Omnibus Full Value Awards, Cash Incentive Awards and Restricted Stock Units have vesting date of February 24, 2028</w:t>
      </w:r>
    </w:p>
    <w:p>
      <w:pPr>
        <w:spacing w:after="0" w:line="117"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SEUs issued under the CSOP vested on February 21, 2020</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SEUs issued under the CSOP vested on February 20, 2021</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Omnibus Full Value Awards, Options and Cash Incentive Awards vested on February 25, 2022</w:t>
      </w:r>
    </w:p>
    <w:p>
      <w:pPr>
        <w:spacing w:after="0" w:line="117"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Omnibus Full Value Awards, Options and Cash Incentive Awards vested on February 24, 2023</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Omnibus Full Value Awards, Options and Cash Incentive Awards vested on February 22, 2024</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Options issued under the ShareSave plan to non-US participants vested on November 1, 2025</w:t>
      </w:r>
    </w:p>
    <w:p>
      <w:pPr>
        <w:spacing w:after="0" w:line="117" w:lineRule="exact"/>
        <w:rPr>
          <w:rFonts w:ascii="Arial" w:cs="Arial" w:eastAsia="Arial" w:hAnsi="Arial"/>
          <w:sz w:val="15"/>
          <w:szCs w:val="15"/>
          <w:color w:val="auto"/>
        </w:rPr>
      </w:pPr>
    </w:p>
    <w:p>
      <w:pPr>
        <w:ind w:left="540" w:hanging="335"/>
        <w:spacing w:after="0"/>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Additional Cash Incentive Awards vested on December 1, 2022</w:t>
      </w:r>
    </w:p>
    <w:p>
      <w:pPr>
        <w:spacing w:after="0" w:line="128"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With respect to non-vested or unearned performance based stock options, full value awards, cash incentive awards and SEUs, the number of shares, cash incentive awards and SEUs reported as of December 31, 2025 in the table is based on target performance achieved for each performance goal in the previous fiscal year (2025).</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market value of any shares which have not vested is calculated using the year-end stock price of $76.54 as an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3131185</wp:posOffset>
            </wp:positionV>
            <wp:extent cx="297180" cy="290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6" w:name="page87"/>
    <w:bookmarkEnd w:id="86"/>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9AB956"/>
        </w:rPr>
        <w:t>OPTION EXERCISES AND STOCK VESTED DURING FISCAL YEAR 2025</w:t>
      </w:r>
    </w:p>
    <w:p>
      <w:pPr>
        <w:spacing w:after="0" w:line="195" w:lineRule="exact"/>
        <w:rPr>
          <w:sz w:val="20"/>
          <w:szCs w:val="20"/>
          <w:color w:val="auto"/>
        </w:rPr>
      </w:pPr>
    </w:p>
    <w:p>
      <w:pPr>
        <w:ind w:left="200" w:right="139"/>
        <w:spacing w:after="0" w:line="318" w:lineRule="auto"/>
        <w:rPr>
          <w:sz w:val="20"/>
          <w:szCs w:val="20"/>
          <w:color w:val="auto"/>
        </w:rPr>
      </w:pPr>
      <w:r>
        <w:rPr>
          <w:rFonts w:ascii="Arial" w:cs="Arial" w:eastAsia="Arial" w:hAnsi="Arial"/>
          <w:sz w:val="14"/>
          <w:szCs w:val="14"/>
          <w:color w:val="auto"/>
        </w:rPr>
        <w:t>The following table provides information for the NEOs on exercises of stock options and cash-based awards, which were granted as SEUs during the fiscal year 2025, including the number of shares or SEUs acquired on exercise or transfer and the value realized.</w:t>
      </w:r>
    </w:p>
    <w:p>
      <w:pPr>
        <w:spacing w:after="0" w:line="47" w:lineRule="exact"/>
        <w:rPr>
          <w:sz w:val="20"/>
          <w:szCs w:val="20"/>
          <w:color w:val="auto"/>
        </w:rPr>
      </w:pPr>
    </w:p>
    <w:tbl>
      <w:tblPr>
        <w:tblLayout w:type="fixed"/>
        <w:tblInd w:w="210" w:type="dxa"/>
        <w:tblCellMar>
          <w:top w:w="0" w:type="dxa"/>
          <w:left w:w="0" w:type="dxa"/>
          <w:bottom w:w="0" w:type="dxa"/>
          <w:right w:w="0" w:type="dxa"/>
        </w:tblCellMar>
      </w:tblPr>
      <w:tr>
        <w:trPr>
          <w:trHeight w:val="217"/>
        </w:trPr>
        <w:tc>
          <w:tcPr>
            <w:tcW w:w="3040" w:type="dxa"/>
            <w:vAlign w:val="bottom"/>
            <w:tcBorders>
              <w:top w:val="single" w:sz="8" w:color="auto"/>
              <w:left w:val="single" w:sz="8" w:color="auto"/>
            </w:tcBorders>
            <w:shd w:val="clear" w:color="auto" w:fill="9AB956"/>
          </w:tcPr>
          <w:p>
            <w:pPr>
              <w:ind w:left="60"/>
              <w:spacing w:after="0"/>
              <w:rPr>
                <w:sz w:val="20"/>
                <w:szCs w:val="20"/>
                <w:color w:val="auto"/>
              </w:rPr>
            </w:pPr>
            <w:r>
              <w:rPr>
                <w:rFonts w:ascii="Arial" w:cs="Arial" w:eastAsia="Arial" w:hAnsi="Arial"/>
                <w:sz w:val="13"/>
                <w:szCs w:val="13"/>
                <w:b w:val="1"/>
                <w:bCs w:val="1"/>
                <w:color w:val="FFFFFF"/>
              </w:rPr>
              <w:t>Name and Principal Position</w:t>
            </w:r>
          </w:p>
        </w:tc>
        <w:tc>
          <w:tcPr>
            <w:tcW w:w="520" w:type="dxa"/>
            <w:vAlign w:val="bottom"/>
            <w:tcBorders>
              <w:top w:val="single" w:sz="8" w:color="auto"/>
            </w:tcBorders>
            <w:shd w:val="clear" w:color="auto" w:fill="9AB956"/>
          </w:tcPr>
          <w:p>
            <w:pPr>
              <w:spacing w:after="0"/>
              <w:rPr>
                <w:sz w:val="18"/>
                <w:szCs w:val="18"/>
                <w:color w:val="auto"/>
              </w:rPr>
            </w:pPr>
          </w:p>
        </w:tc>
        <w:tc>
          <w:tcPr>
            <w:tcW w:w="2580" w:type="dxa"/>
            <w:vAlign w:val="bottom"/>
            <w:tcBorders>
              <w:top w:val="single" w:sz="8" w:color="auto"/>
            </w:tcBorders>
            <w:gridSpan w:val="2"/>
            <w:shd w:val="clear" w:color="auto" w:fill="9AB956"/>
          </w:tcPr>
          <w:p>
            <w:pPr>
              <w:jc w:val="right"/>
              <w:ind w:right="753"/>
              <w:spacing w:after="0"/>
              <w:rPr>
                <w:sz w:val="20"/>
                <w:szCs w:val="20"/>
                <w:color w:val="auto"/>
              </w:rPr>
            </w:pPr>
            <w:r>
              <w:rPr>
                <w:rFonts w:ascii="Arial" w:cs="Arial" w:eastAsia="Arial" w:hAnsi="Arial"/>
                <w:sz w:val="13"/>
                <w:szCs w:val="13"/>
                <w:b w:val="1"/>
                <w:bCs w:val="1"/>
                <w:color w:val="FFFFFF"/>
              </w:rPr>
              <w:t>Option Awards</w:t>
            </w:r>
          </w:p>
        </w:tc>
        <w:tc>
          <w:tcPr>
            <w:tcW w:w="2580" w:type="dxa"/>
            <w:vAlign w:val="bottom"/>
            <w:tcBorders>
              <w:top w:val="single" w:sz="8" w:color="auto"/>
              <w:right w:val="single" w:sz="8" w:color="auto"/>
            </w:tcBorders>
            <w:gridSpan w:val="2"/>
            <w:shd w:val="clear" w:color="auto" w:fill="9AB956"/>
          </w:tcPr>
          <w:p>
            <w:pPr>
              <w:jc w:val="right"/>
              <w:ind w:right="793"/>
              <w:spacing w:after="0"/>
              <w:rPr>
                <w:sz w:val="20"/>
                <w:szCs w:val="20"/>
                <w:color w:val="auto"/>
              </w:rPr>
            </w:pPr>
            <w:r>
              <w:rPr>
                <w:rFonts w:ascii="Arial" w:cs="Arial" w:eastAsia="Arial" w:hAnsi="Arial"/>
                <w:sz w:val="13"/>
                <w:szCs w:val="13"/>
                <w:b w:val="1"/>
                <w:bCs w:val="1"/>
                <w:color w:val="FFFFFF"/>
              </w:rPr>
              <w:t>Stock Awards</w:t>
            </w:r>
          </w:p>
        </w:tc>
      </w:tr>
      <w:tr>
        <w:trPr>
          <w:trHeight w:val="216"/>
        </w:trPr>
        <w:tc>
          <w:tcPr>
            <w:tcW w:w="3040" w:type="dxa"/>
            <w:vAlign w:val="bottom"/>
            <w:tcBorders>
              <w:left w:val="single" w:sz="8" w:color="auto"/>
            </w:tcBorders>
            <w:shd w:val="clear" w:color="auto" w:fill="9AB956"/>
          </w:tcPr>
          <w:p>
            <w:pPr>
              <w:spacing w:after="0"/>
              <w:rPr>
                <w:sz w:val="18"/>
                <w:szCs w:val="18"/>
                <w:color w:val="auto"/>
              </w:rPr>
            </w:pPr>
          </w:p>
        </w:tc>
        <w:tc>
          <w:tcPr>
            <w:tcW w:w="520" w:type="dxa"/>
            <w:vAlign w:val="bottom"/>
            <w:shd w:val="clear" w:color="auto" w:fill="9AB956"/>
          </w:tcPr>
          <w:p>
            <w:pPr>
              <w:spacing w:after="0"/>
              <w:rPr>
                <w:sz w:val="18"/>
                <w:szCs w:val="18"/>
                <w:color w:val="auto"/>
              </w:rPr>
            </w:pPr>
          </w:p>
        </w:tc>
        <w:tc>
          <w:tcPr>
            <w:tcW w:w="128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Number of Shares</w:t>
            </w:r>
          </w:p>
        </w:tc>
        <w:tc>
          <w:tcPr>
            <w:tcW w:w="130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Value Realized on</w:t>
            </w:r>
          </w:p>
        </w:tc>
        <w:tc>
          <w:tcPr>
            <w:tcW w:w="128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Number of Shares</w:t>
            </w:r>
          </w:p>
        </w:tc>
        <w:tc>
          <w:tcPr>
            <w:tcW w:w="130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Value Realized on</w:t>
            </w:r>
          </w:p>
        </w:tc>
      </w:tr>
      <w:tr>
        <w:trPr>
          <w:trHeight w:val="178"/>
        </w:trPr>
        <w:tc>
          <w:tcPr>
            <w:tcW w:w="3040" w:type="dxa"/>
            <w:vAlign w:val="bottom"/>
            <w:tcBorders>
              <w:left w:val="single" w:sz="8" w:color="auto"/>
            </w:tcBorders>
            <w:shd w:val="clear" w:color="auto" w:fill="9AB956"/>
          </w:tcPr>
          <w:p>
            <w:pPr>
              <w:spacing w:after="0"/>
              <w:rPr>
                <w:sz w:val="15"/>
                <w:szCs w:val="15"/>
                <w:color w:val="auto"/>
              </w:rPr>
            </w:pPr>
          </w:p>
        </w:tc>
        <w:tc>
          <w:tcPr>
            <w:tcW w:w="520" w:type="dxa"/>
            <w:vAlign w:val="bottom"/>
            <w:shd w:val="clear" w:color="auto" w:fill="9AB956"/>
          </w:tcPr>
          <w:p>
            <w:pPr>
              <w:spacing w:after="0"/>
              <w:rPr>
                <w:sz w:val="15"/>
                <w:szCs w:val="15"/>
                <w:color w:val="auto"/>
              </w:rPr>
            </w:pPr>
          </w:p>
        </w:tc>
        <w:tc>
          <w:tcPr>
            <w:tcW w:w="128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Acquired on</w:t>
            </w:r>
          </w:p>
        </w:tc>
        <w:tc>
          <w:tcPr>
            <w:tcW w:w="130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Exercise</w:t>
            </w:r>
          </w:p>
        </w:tc>
        <w:tc>
          <w:tcPr>
            <w:tcW w:w="128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Acquired on</w:t>
            </w:r>
          </w:p>
        </w:tc>
        <w:tc>
          <w:tcPr>
            <w:tcW w:w="1300" w:type="dxa"/>
            <w:vAlign w:val="bottom"/>
            <w:tcBorders>
              <w:right w:val="single" w:sz="8" w:color="auto"/>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Exercise</w:t>
            </w:r>
          </w:p>
        </w:tc>
      </w:tr>
      <w:tr>
        <w:trPr>
          <w:trHeight w:val="185"/>
        </w:trPr>
        <w:tc>
          <w:tcPr>
            <w:tcW w:w="3040" w:type="dxa"/>
            <w:vAlign w:val="bottom"/>
            <w:tcBorders>
              <w:left w:val="single" w:sz="8" w:color="auto"/>
            </w:tcBorders>
            <w:shd w:val="clear" w:color="auto" w:fill="9AB956"/>
          </w:tcPr>
          <w:p>
            <w:pPr>
              <w:spacing w:after="0"/>
              <w:rPr>
                <w:sz w:val="16"/>
                <w:szCs w:val="16"/>
                <w:color w:val="auto"/>
              </w:rPr>
            </w:pPr>
          </w:p>
        </w:tc>
        <w:tc>
          <w:tcPr>
            <w:tcW w:w="520" w:type="dxa"/>
            <w:vAlign w:val="bottom"/>
            <w:shd w:val="clear" w:color="auto" w:fill="9AB956"/>
          </w:tcPr>
          <w:p>
            <w:pPr>
              <w:spacing w:after="0"/>
              <w:rPr>
                <w:sz w:val="16"/>
                <w:szCs w:val="16"/>
                <w:color w:val="auto"/>
              </w:rPr>
            </w:pPr>
          </w:p>
        </w:tc>
        <w:tc>
          <w:tcPr>
            <w:tcW w:w="128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Exercise</w:t>
            </w:r>
          </w:p>
        </w:tc>
        <w:tc>
          <w:tcPr>
            <w:tcW w:w="1300" w:type="dxa"/>
            <w:vAlign w:val="bottom"/>
            <w:shd w:val="clear" w:color="auto" w:fill="9AB956"/>
          </w:tcPr>
          <w:p>
            <w:pPr>
              <w:spacing w:after="0"/>
              <w:rPr>
                <w:sz w:val="16"/>
                <w:szCs w:val="16"/>
                <w:color w:val="auto"/>
              </w:rPr>
            </w:pPr>
          </w:p>
        </w:tc>
        <w:tc>
          <w:tcPr>
            <w:tcW w:w="128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w w:val="97"/>
              </w:rPr>
              <w:t>Vesting</w:t>
            </w:r>
          </w:p>
        </w:tc>
        <w:tc>
          <w:tcPr>
            <w:tcW w:w="1300" w:type="dxa"/>
            <w:vAlign w:val="bottom"/>
            <w:tcBorders>
              <w:right w:val="single" w:sz="8" w:color="auto"/>
            </w:tcBorders>
            <w:shd w:val="clear" w:color="auto" w:fill="9AB956"/>
          </w:tcPr>
          <w:p>
            <w:pPr>
              <w:spacing w:after="0"/>
              <w:rPr>
                <w:sz w:val="16"/>
                <w:szCs w:val="16"/>
                <w:color w:val="auto"/>
              </w:rPr>
            </w:pPr>
          </w:p>
        </w:tc>
      </w:tr>
      <w:tr>
        <w:trPr>
          <w:trHeight w:val="231"/>
        </w:trPr>
        <w:tc>
          <w:tcPr>
            <w:tcW w:w="3040" w:type="dxa"/>
            <w:vAlign w:val="bottom"/>
            <w:tcBorders>
              <w:left w:val="single" w:sz="8" w:color="auto"/>
              <w:bottom w:val="single" w:sz="8" w:color="auto"/>
            </w:tcBorders>
            <w:shd w:val="clear" w:color="auto" w:fill="9AB956"/>
          </w:tcPr>
          <w:p>
            <w:pPr>
              <w:spacing w:after="0"/>
              <w:rPr>
                <w:sz w:val="20"/>
                <w:szCs w:val="20"/>
                <w:color w:val="auto"/>
              </w:rPr>
            </w:pPr>
          </w:p>
        </w:tc>
        <w:tc>
          <w:tcPr>
            <w:tcW w:w="520" w:type="dxa"/>
            <w:vAlign w:val="bottom"/>
            <w:tcBorders>
              <w:bottom w:val="single" w:sz="8" w:color="auto"/>
            </w:tcBorders>
            <w:shd w:val="clear" w:color="auto" w:fill="9AB956"/>
          </w:tcPr>
          <w:p>
            <w:pPr>
              <w:spacing w:after="0"/>
              <w:rPr>
                <w:sz w:val="20"/>
                <w:szCs w:val="20"/>
                <w:color w:val="auto"/>
              </w:rPr>
            </w:pPr>
          </w:p>
        </w:tc>
        <w:tc>
          <w:tcPr>
            <w:tcW w:w="1280" w:type="dxa"/>
            <w:vAlign w:val="bottom"/>
            <w:tcBorders>
              <w:bottom w:val="single" w:sz="8" w:color="auto"/>
            </w:tcBorders>
            <w:shd w:val="clear" w:color="auto" w:fill="9AB956"/>
          </w:tcPr>
          <w:p>
            <w:pPr>
              <w:spacing w:after="0"/>
              <w:rPr>
                <w:sz w:val="20"/>
                <w:szCs w:val="20"/>
                <w:color w:val="auto"/>
              </w:rPr>
            </w:pPr>
          </w:p>
        </w:tc>
        <w:tc>
          <w:tcPr>
            <w:tcW w:w="1300" w:type="dxa"/>
            <w:vAlign w:val="bottom"/>
            <w:tcBorders>
              <w:bottom w:val="single" w:sz="8" w:color="auto"/>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w:t>
            </w:r>
          </w:p>
        </w:tc>
        <w:tc>
          <w:tcPr>
            <w:tcW w:w="1280" w:type="dxa"/>
            <w:vAlign w:val="bottom"/>
            <w:tcBorders>
              <w:bottom w:val="single" w:sz="8" w:color="auto"/>
            </w:tcBorders>
            <w:shd w:val="clear" w:color="auto" w:fill="9AB956"/>
          </w:tcPr>
          <w:p>
            <w:pPr>
              <w:spacing w:after="0"/>
              <w:rPr>
                <w:sz w:val="20"/>
                <w:szCs w:val="20"/>
                <w:color w:val="auto"/>
              </w:rPr>
            </w:pPr>
          </w:p>
        </w:tc>
        <w:tc>
          <w:tcPr>
            <w:tcW w:w="1300" w:type="dxa"/>
            <w:vAlign w:val="bottom"/>
            <w:tcBorders>
              <w:bottom w:val="single" w:sz="8" w:color="auto"/>
              <w:right w:val="single" w:sz="8" w:color="auto"/>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w:t>
            </w:r>
          </w:p>
        </w:tc>
      </w:tr>
      <w:tr>
        <w:trPr>
          <w:trHeight w:val="205"/>
        </w:trPr>
        <w:tc>
          <w:tcPr>
            <w:tcW w:w="3040" w:type="dxa"/>
            <w:vAlign w:val="bottom"/>
            <w:tcBorders>
              <w:left w:val="single" w:sz="8" w:color="auto"/>
            </w:tcBorders>
          </w:tcPr>
          <w:p>
            <w:pPr>
              <w:ind w:left="60"/>
              <w:spacing w:after="0"/>
              <w:rPr>
                <w:sz w:val="20"/>
                <w:szCs w:val="20"/>
                <w:color w:val="auto"/>
              </w:rPr>
            </w:pPr>
            <w:r>
              <w:rPr>
                <w:rFonts w:ascii="Arial" w:cs="Arial" w:eastAsia="Arial" w:hAnsi="Arial"/>
                <w:sz w:val="13"/>
                <w:szCs w:val="13"/>
                <w:b w:val="1"/>
                <w:bCs w:val="1"/>
                <w:color w:val="auto"/>
              </w:rPr>
              <w:t>Mr. Patrick S. Williams</w:t>
            </w:r>
          </w:p>
        </w:tc>
        <w:tc>
          <w:tcPr>
            <w:tcW w:w="520" w:type="dxa"/>
            <w:vAlign w:val="bottom"/>
          </w:tcPr>
          <w:p>
            <w:pPr>
              <w:jc w:val="right"/>
              <w:ind w:right="113"/>
              <w:spacing w:after="0"/>
              <w:rPr>
                <w:sz w:val="20"/>
                <w:szCs w:val="20"/>
                <w:color w:val="auto"/>
              </w:rPr>
            </w:pPr>
            <w:r>
              <w:rPr>
                <w:rFonts w:ascii="Arial" w:cs="Arial" w:eastAsia="Arial" w:hAnsi="Arial"/>
                <w:sz w:val="13"/>
                <w:szCs w:val="13"/>
                <w:color w:val="auto"/>
              </w:rPr>
              <w:t>(1)</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10,097</w:t>
            </w:r>
          </w:p>
        </w:tc>
        <w:tc>
          <w:tcPr>
            <w:tcW w:w="13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1,001,319</w:t>
            </w:r>
          </w:p>
        </w:tc>
      </w:tr>
      <w:tr>
        <w:trPr>
          <w:trHeight w:val="215"/>
        </w:trPr>
        <w:tc>
          <w:tcPr>
            <w:tcW w:w="30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President and Chief</w:t>
            </w:r>
          </w:p>
        </w:tc>
        <w:tc>
          <w:tcPr>
            <w:tcW w:w="520" w:type="dxa"/>
            <w:vAlign w:val="bottom"/>
          </w:tcPr>
          <w:p>
            <w:pPr>
              <w:jc w:val="right"/>
              <w:ind w:right="113"/>
              <w:spacing w:after="0"/>
              <w:rPr>
                <w:sz w:val="20"/>
                <w:szCs w:val="20"/>
                <w:color w:val="auto"/>
              </w:rPr>
            </w:pPr>
            <w:r>
              <w:rPr>
                <w:rFonts w:ascii="Arial" w:cs="Arial" w:eastAsia="Arial" w:hAnsi="Arial"/>
                <w:sz w:val="13"/>
                <w:szCs w:val="13"/>
                <w:color w:val="auto"/>
              </w:rPr>
              <w:t>(4)</w:t>
            </w:r>
          </w:p>
        </w:tc>
        <w:tc>
          <w:tcPr>
            <w:tcW w:w="1280" w:type="dxa"/>
            <w:vAlign w:val="bottom"/>
          </w:tcPr>
          <w:p>
            <w:pPr>
              <w:jc w:val="right"/>
              <w:spacing w:after="0"/>
              <w:rPr>
                <w:sz w:val="20"/>
                <w:szCs w:val="20"/>
                <w:color w:val="auto"/>
              </w:rPr>
            </w:pPr>
            <w:r>
              <w:rPr>
                <w:rFonts w:ascii="Arial" w:cs="Arial" w:eastAsia="Arial" w:hAnsi="Arial"/>
                <w:sz w:val="13"/>
                <w:szCs w:val="13"/>
                <w:color w:val="auto"/>
              </w:rPr>
              <w:t>30,292</w:t>
            </w:r>
          </w:p>
        </w:tc>
        <w:tc>
          <w:tcPr>
            <w:tcW w:w="1300" w:type="dxa"/>
            <w:vAlign w:val="bottom"/>
          </w:tcPr>
          <w:p>
            <w:pPr>
              <w:jc w:val="right"/>
              <w:spacing w:after="0"/>
              <w:rPr>
                <w:sz w:val="20"/>
                <w:szCs w:val="20"/>
                <w:color w:val="auto"/>
              </w:rPr>
            </w:pPr>
            <w:r>
              <w:rPr>
                <w:rFonts w:ascii="Arial" w:cs="Arial" w:eastAsia="Arial" w:hAnsi="Arial"/>
                <w:sz w:val="13"/>
                <w:szCs w:val="13"/>
                <w:color w:val="auto"/>
              </w:rPr>
              <w:t>3,140,069</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w:t>
            </w:r>
          </w:p>
        </w:tc>
      </w:tr>
      <w:tr>
        <w:trPr>
          <w:trHeight w:val="223"/>
        </w:trPr>
        <w:tc>
          <w:tcPr>
            <w:tcW w:w="30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Executive Officer</w:t>
            </w: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5"/>
        </w:trPr>
        <w:tc>
          <w:tcPr>
            <w:tcW w:w="30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97"/>
        </w:trPr>
        <w:tc>
          <w:tcPr>
            <w:tcW w:w="304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13"/>
                <w:szCs w:val="13"/>
                <w:b w:val="1"/>
                <w:bCs w:val="1"/>
                <w:color w:val="auto"/>
              </w:rPr>
              <w:t>Mr. Ian P. Cleminson</w:t>
            </w:r>
          </w:p>
        </w:tc>
        <w:tc>
          <w:tcPr>
            <w:tcW w:w="520" w:type="dxa"/>
            <w:vAlign w:val="bottom"/>
            <w:shd w:val="clear" w:color="auto" w:fill="F4F8EE"/>
          </w:tcPr>
          <w:p>
            <w:pPr>
              <w:jc w:val="right"/>
              <w:ind w:right="113"/>
              <w:spacing w:after="0"/>
              <w:rPr>
                <w:sz w:val="20"/>
                <w:szCs w:val="20"/>
                <w:color w:val="auto"/>
              </w:rPr>
            </w:pPr>
            <w:r>
              <w:rPr>
                <w:rFonts w:ascii="Arial" w:cs="Arial" w:eastAsia="Arial" w:hAnsi="Arial"/>
                <w:sz w:val="13"/>
                <w:szCs w:val="13"/>
                <w:color w:val="auto"/>
              </w:rPr>
              <w:t>(4)</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4,275</w:t>
            </w:r>
          </w:p>
        </w:tc>
        <w:tc>
          <w:tcPr>
            <w:tcW w:w="1300" w:type="dxa"/>
            <w:vAlign w:val="bottom"/>
            <w:shd w:val="clear" w:color="auto" w:fill="F4F8EE"/>
          </w:tcPr>
          <w:p>
            <w:pPr>
              <w:jc w:val="right"/>
              <w:spacing w:after="0"/>
              <w:rPr>
                <w:sz w:val="20"/>
                <w:szCs w:val="20"/>
                <w:color w:val="auto"/>
              </w:rPr>
            </w:pPr>
            <w:r>
              <w:rPr>
                <w:rFonts w:ascii="Arial" w:cs="Arial" w:eastAsia="Arial" w:hAnsi="Arial"/>
                <w:sz w:val="13"/>
                <w:szCs w:val="13"/>
                <w:color w:val="auto"/>
              </w:rPr>
              <w:t>431,690</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r>
      <w:tr>
        <w:trPr>
          <w:trHeight w:val="215"/>
        </w:trPr>
        <w:tc>
          <w:tcPr>
            <w:tcW w:w="304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13"/>
                <w:szCs w:val="13"/>
                <w:color w:val="auto"/>
              </w:rPr>
              <w:t>Executive Vice President and</w:t>
            </w:r>
          </w:p>
        </w:tc>
        <w:tc>
          <w:tcPr>
            <w:tcW w:w="520" w:type="dxa"/>
            <w:vAlign w:val="bottom"/>
            <w:shd w:val="clear" w:color="auto" w:fill="F4F8EE"/>
          </w:tcPr>
          <w:p>
            <w:pPr>
              <w:spacing w:after="0"/>
              <w:rPr>
                <w:sz w:val="18"/>
                <w:szCs w:val="18"/>
                <w:color w:val="auto"/>
              </w:rPr>
            </w:pP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r>
      <w:tr>
        <w:trPr>
          <w:trHeight w:val="253"/>
        </w:trPr>
        <w:tc>
          <w:tcPr>
            <w:tcW w:w="3040" w:type="dxa"/>
            <w:vAlign w:val="bottom"/>
            <w:tcBorders>
              <w:left w:val="single" w:sz="8" w:color="auto"/>
              <w:bottom w:val="single" w:sz="8" w:color="F4F8EE"/>
            </w:tcBorders>
            <w:shd w:val="clear" w:color="auto" w:fill="F4F8EE"/>
          </w:tcPr>
          <w:p>
            <w:pPr>
              <w:ind w:left="60"/>
              <w:spacing w:after="0"/>
              <w:rPr>
                <w:sz w:val="20"/>
                <w:szCs w:val="20"/>
                <w:color w:val="auto"/>
              </w:rPr>
            </w:pPr>
            <w:r>
              <w:rPr>
                <w:rFonts w:ascii="Arial" w:cs="Arial" w:eastAsia="Arial" w:hAnsi="Arial"/>
                <w:sz w:val="13"/>
                <w:szCs w:val="13"/>
                <w:color w:val="auto"/>
              </w:rPr>
              <w:t>Chief Financial Officer</w:t>
            </w:r>
          </w:p>
        </w:tc>
        <w:tc>
          <w:tcPr>
            <w:tcW w:w="520" w:type="dxa"/>
            <w:vAlign w:val="bottom"/>
            <w:tcBorders>
              <w:bottom w:val="single" w:sz="8" w:color="F4F8EE"/>
            </w:tcBorders>
            <w:shd w:val="clear" w:color="auto" w:fill="F4F8EE"/>
          </w:tcPr>
          <w:p>
            <w:pPr>
              <w:spacing w:after="0"/>
              <w:rPr>
                <w:sz w:val="21"/>
                <w:szCs w:val="21"/>
                <w:color w:val="auto"/>
              </w:rPr>
            </w:pPr>
          </w:p>
        </w:tc>
        <w:tc>
          <w:tcPr>
            <w:tcW w:w="128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F4F8EE"/>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r>
      <w:tr>
        <w:trPr>
          <w:trHeight w:val="197"/>
        </w:trPr>
        <w:tc>
          <w:tcPr>
            <w:tcW w:w="304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3"/>
                <w:szCs w:val="13"/>
                <w:b w:val="1"/>
                <w:bCs w:val="1"/>
                <w:color w:val="auto"/>
              </w:rPr>
              <w:t>Dr. Ian M. McRobbie</w:t>
            </w:r>
          </w:p>
        </w:tc>
        <w:tc>
          <w:tcPr>
            <w:tcW w:w="5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r>
      <w:tr>
        <w:trPr>
          <w:trHeight w:val="215"/>
        </w:trPr>
        <w:tc>
          <w:tcPr>
            <w:tcW w:w="30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Senior Vice President and Chief Technology</w:t>
            </w:r>
          </w:p>
        </w:tc>
        <w:tc>
          <w:tcPr>
            <w:tcW w:w="5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78"/>
        </w:trPr>
        <w:tc>
          <w:tcPr>
            <w:tcW w:w="30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Officer</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25"/>
        </w:trPr>
        <w:tc>
          <w:tcPr>
            <w:tcW w:w="30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97"/>
        </w:trPr>
        <w:tc>
          <w:tcPr>
            <w:tcW w:w="304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13"/>
                <w:szCs w:val="13"/>
                <w:b w:val="1"/>
                <w:bCs w:val="1"/>
                <w:color w:val="auto"/>
              </w:rPr>
              <w:t>Mr. Corbin Barnes</w:t>
            </w:r>
          </w:p>
        </w:tc>
        <w:tc>
          <w:tcPr>
            <w:tcW w:w="520" w:type="dxa"/>
            <w:vAlign w:val="bottom"/>
            <w:shd w:val="clear" w:color="auto" w:fill="F4F8EE"/>
          </w:tcPr>
          <w:p>
            <w:pPr>
              <w:jc w:val="right"/>
              <w:ind w:right="113"/>
              <w:spacing w:after="0"/>
              <w:rPr>
                <w:sz w:val="20"/>
                <w:szCs w:val="20"/>
                <w:color w:val="auto"/>
              </w:rPr>
            </w:pPr>
            <w:r>
              <w:rPr>
                <w:rFonts w:ascii="Arial" w:cs="Arial" w:eastAsia="Arial" w:hAnsi="Arial"/>
                <w:sz w:val="13"/>
                <w:szCs w:val="13"/>
                <w:color w:val="auto"/>
              </w:rPr>
              <w:t>(1)</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897</w:t>
            </w:r>
          </w:p>
        </w:tc>
        <w:tc>
          <w:tcPr>
            <w:tcW w:w="130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92,714</w:t>
            </w:r>
          </w:p>
        </w:tc>
      </w:tr>
      <w:tr>
        <w:trPr>
          <w:trHeight w:val="215"/>
        </w:trPr>
        <w:tc>
          <w:tcPr>
            <w:tcW w:w="304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13"/>
                <w:szCs w:val="13"/>
                <w:color w:val="auto"/>
              </w:rPr>
              <w:t>Senior Vice President, Corporate Development</w:t>
            </w:r>
          </w:p>
        </w:tc>
        <w:tc>
          <w:tcPr>
            <w:tcW w:w="520" w:type="dxa"/>
            <w:vAlign w:val="bottom"/>
            <w:shd w:val="clear" w:color="auto" w:fill="F4F8EE"/>
          </w:tcPr>
          <w:p>
            <w:pPr>
              <w:jc w:val="right"/>
              <w:ind w:right="113"/>
              <w:spacing w:after="0"/>
              <w:rPr>
                <w:sz w:val="20"/>
                <w:szCs w:val="20"/>
                <w:color w:val="auto"/>
              </w:rPr>
            </w:pPr>
            <w:r>
              <w:rPr>
                <w:rFonts w:ascii="Arial" w:cs="Arial" w:eastAsia="Arial" w:hAnsi="Arial"/>
                <w:sz w:val="13"/>
                <w:szCs w:val="13"/>
                <w:color w:val="auto"/>
              </w:rPr>
              <w:t>(2)</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200</w:t>
            </w:r>
          </w:p>
        </w:tc>
        <w:tc>
          <w:tcPr>
            <w:tcW w:w="130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736</w:t>
            </w:r>
          </w:p>
        </w:tc>
      </w:tr>
      <w:tr>
        <w:trPr>
          <w:trHeight w:val="178"/>
        </w:trPr>
        <w:tc>
          <w:tcPr>
            <w:tcW w:w="304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13"/>
                <w:szCs w:val="13"/>
                <w:color w:val="auto"/>
              </w:rPr>
              <w:t>and</w:t>
            </w:r>
          </w:p>
        </w:tc>
        <w:tc>
          <w:tcPr>
            <w:tcW w:w="520" w:type="dxa"/>
            <w:vAlign w:val="bottom"/>
            <w:shd w:val="clear" w:color="auto" w:fill="F4F8EE"/>
          </w:tcPr>
          <w:p>
            <w:pPr>
              <w:spacing w:after="0"/>
              <w:rPr>
                <w:sz w:val="15"/>
                <w:szCs w:val="15"/>
                <w:color w:val="auto"/>
              </w:rPr>
            </w:pPr>
          </w:p>
        </w:tc>
        <w:tc>
          <w:tcPr>
            <w:tcW w:w="1280" w:type="dxa"/>
            <w:vAlign w:val="bottom"/>
            <w:shd w:val="clear" w:color="auto" w:fill="F4F8EE"/>
          </w:tcPr>
          <w:p>
            <w:pPr>
              <w:spacing w:after="0"/>
              <w:rPr>
                <w:sz w:val="15"/>
                <w:szCs w:val="15"/>
                <w:color w:val="auto"/>
              </w:rPr>
            </w:pPr>
          </w:p>
        </w:tc>
        <w:tc>
          <w:tcPr>
            <w:tcW w:w="1300" w:type="dxa"/>
            <w:vAlign w:val="bottom"/>
            <w:shd w:val="clear" w:color="auto" w:fill="F4F8EE"/>
          </w:tcPr>
          <w:p>
            <w:pPr>
              <w:spacing w:after="0"/>
              <w:rPr>
                <w:sz w:val="15"/>
                <w:szCs w:val="15"/>
                <w:color w:val="auto"/>
              </w:rPr>
            </w:pPr>
          </w:p>
        </w:tc>
        <w:tc>
          <w:tcPr>
            <w:tcW w:w="1280" w:type="dxa"/>
            <w:vAlign w:val="bottom"/>
            <w:shd w:val="clear" w:color="auto" w:fill="F4F8EE"/>
          </w:tcPr>
          <w:p>
            <w:pPr>
              <w:spacing w:after="0"/>
              <w:rPr>
                <w:sz w:val="15"/>
                <w:szCs w:val="15"/>
                <w:color w:val="auto"/>
              </w:rPr>
            </w:pPr>
          </w:p>
        </w:tc>
        <w:tc>
          <w:tcPr>
            <w:tcW w:w="1300" w:type="dxa"/>
            <w:vAlign w:val="bottom"/>
            <w:tcBorders>
              <w:right w:val="single" w:sz="8" w:color="auto"/>
            </w:tcBorders>
            <w:shd w:val="clear" w:color="auto" w:fill="F4F8EE"/>
          </w:tcPr>
          <w:p>
            <w:pPr>
              <w:spacing w:after="0"/>
              <w:rPr>
                <w:sz w:val="15"/>
                <w:szCs w:val="15"/>
                <w:color w:val="auto"/>
              </w:rPr>
            </w:pPr>
          </w:p>
        </w:tc>
      </w:tr>
      <w:tr>
        <w:trPr>
          <w:trHeight w:val="223"/>
        </w:trPr>
        <w:tc>
          <w:tcPr>
            <w:tcW w:w="304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13"/>
                <w:szCs w:val="13"/>
                <w:color w:val="auto"/>
              </w:rPr>
              <w:t>Chief Technology Officer</w:t>
            </w:r>
          </w:p>
        </w:tc>
        <w:tc>
          <w:tcPr>
            <w:tcW w:w="520" w:type="dxa"/>
            <w:vAlign w:val="bottom"/>
            <w:shd w:val="clear" w:color="auto" w:fill="F4F8EE"/>
          </w:tcPr>
          <w:p>
            <w:pPr>
              <w:jc w:val="right"/>
              <w:ind w:right="113"/>
              <w:spacing w:after="0"/>
              <w:rPr>
                <w:sz w:val="20"/>
                <w:szCs w:val="20"/>
                <w:color w:val="auto"/>
              </w:rPr>
            </w:pPr>
            <w:r>
              <w:rPr>
                <w:rFonts w:ascii="Arial" w:cs="Arial" w:eastAsia="Arial" w:hAnsi="Arial"/>
                <w:sz w:val="13"/>
                <w:szCs w:val="13"/>
                <w:color w:val="auto"/>
              </w:rPr>
              <w:t>(3)</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598</w:t>
            </w:r>
          </w:p>
        </w:tc>
        <w:tc>
          <w:tcPr>
            <w:tcW w:w="130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2,021</w:t>
            </w:r>
          </w:p>
        </w:tc>
      </w:tr>
      <w:tr>
        <w:trPr>
          <w:trHeight w:val="223"/>
        </w:trPr>
        <w:tc>
          <w:tcPr>
            <w:tcW w:w="3040" w:type="dxa"/>
            <w:vAlign w:val="bottom"/>
            <w:tcBorders>
              <w:left w:val="single" w:sz="8" w:color="auto"/>
            </w:tcBorders>
            <w:shd w:val="clear" w:color="auto" w:fill="F4F8EE"/>
          </w:tcPr>
          <w:p>
            <w:pPr>
              <w:spacing w:after="0"/>
              <w:rPr>
                <w:sz w:val="19"/>
                <w:szCs w:val="19"/>
                <w:color w:val="auto"/>
              </w:rPr>
            </w:pPr>
          </w:p>
        </w:tc>
        <w:tc>
          <w:tcPr>
            <w:tcW w:w="520" w:type="dxa"/>
            <w:vAlign w:val="bottom"/>
            <w:shd w:val="clear" w:color="auto" w:fill="F4F8EE"/>
          </w:tcPr>
          <w:p>
            <w:pPr>
              <w:jc w:val="right"/>
              <w:ind w:right="113"/>
              <w:spacing w:after="0"/>
              <w:rPr>
                <w:sz w:val="20"/>
                <w:szCs w:val="20"/>
                <w:color w:val="auto"/>
              </w:rPr>
            </w:pPr>
            <w:r>
              <w:rPr>
                <w:rFonts w:ascii="Arial" w:cs="Arial" w:eastAsia="Arial" w:hAnsi="Arial"/>
                <w:sz w:val="13"/>
                <w:szCs w:val="13"/>
                <w:color w:val="auto"/>
              </w:rPr>
              <w:t>(4)</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2,000</w:t>
            </w:r>
          </w:p>
        </w:tc>
        <w:tc>
          <w:tcPr>
            <w:tcW w:w="1300" w:type="dxa"/>
            <w:vAlign w:val="bottom"/>
            <w:shd w:val="clear" w:color="auto" w:fill="F4F8EE"/>
          </w:tcPr>
          <w:p>
            <w:pPr>
              <w:jc w:val="right"/>
              <w:spacing w:after="0"/>
              <w:rPr>
                <w:sz w:val="20"/>
                <w:szCs w:val="20"/>
                <w:color w:val="auto"/>
              </w:rPr>
            </w:pPr>
            <w:r>
              <w:rPr>
                <w:rFonts w:ascii="Arial" w:cs="Arial" w:eastAsia="Arial" w:hAnsi="Arial"/>
                <w:sz w:val="13"/>
                <w:szCs w:val="13"/>
                <w:color w:val="auto"/>
              </w:rPr>
              <w:t>183,060</w:t>
            </w:r>
          </w:p>
        </w:tc>
        <w:tc>
          <w:tcPr>
            <w:tcW w:w="1280" w:type="dxa"/>
            <w:vAlign w:val="bottom"/>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r>
      <w:tr>
        <w:trPr>
          <w:trHeight w:val="253"/>
        </w:trPr>
        <w:tc>
          <w:tcPr>
            <w:tcW w:w="3040" w:type="dxa"/>
            <w:vAlign w:val="bottom"/>
            <w:tcBorders>
              <w:left w:val="single" w:sz="8" w:color="auto"/>
              <w:bottom w:val="single" w:sz="8" w:color="F4F8EE"/>
            </w:tcBorders>
            <w:shd w:val="clear" w:color="auto" w:fill="F4F8EE"/>
          </w:tcPr>
          <w:p>
            <w:pPr>
              <w:spacing w:after="0"/>
              <w:rPr>
                <w:sz w:val="21"/>
                <w:szCs w:val="21"/>
                <w:color w:val="auto"/>
              </w:rPr>
            </w:pPr>
          </w:p>
        </w:tc>
        <w:tc>
          <w:tcPr>
            <w:tcW w:w="520" w:type="dxa"/>
            <w:vAlign w:val="bottom"/>
            <w:tcBorders>
              <w:bottom w:val="single" w:sz="8" w:color="F4F8EE"/>
            </w:tcBorders>
            <w:shd w:val="clear" w:color="auto" w:fill="F4F8EE"/>
          </w:tcPr>
          <w:p>
            <w:pPr>
              <w:jc w:val="right"/>
              <w:ind w:right="113"/>
              <w:spacing w:after="0"/>
              <w:rPr>
                <w:sz w:val="20"/>
                <w:szCs w:val="20"/>
                <w:color w:val="auto"/>
              </w:rPr>
            </w:pPr>
            <w:r>
              <w:rPr>
                <w:rFonts w:ascii="Arial" w:cs="Arial" w:eastAsia="Arial" w:hAnsi="Arial"/>
                <w:sz w:val="13"/>
                <w:szCs w:val="13"/>
                <w:color w:val="auto"/>
              </w:rPr>
              <w:t>(4)</w:t>
            </w:r>
          </w:p>
        </w:tc>
        <w:tc>
          <w:tcPr>
            <w:tcW w:w="128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13"/>
                <w:szCs w:val="13"/>
                <w:color w:val="auto"/>
              </w:rPr>
              <w:t>2,692</w:t>
            </w:r>
          </w:p>
        </w:tc>
        <w:tc>
          <w:tcPr>
            <w:tcW w:w="130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13"/>
                <w:szCs w:val="13"/>
                <w:color w:val="auto"/>
              </w:rPr>
              <w:t>278,084</w:t>
            </w:r>
          </w:p>
        </w:tc>
        <w:tc>
          <w:tcPr>
            <w:tcW w:w="1280" w:type="dxa"/>
            <w:vAlign w:val="bottom"/>
            <w:tcBorders>
              <w:bottom w:val="single" w:sz="8" w:color="F4F8EE"/>
            </w:tcBorders>
            <w:shd w:val="clear" w:color="auto" w:fill="F4F8EE"/>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F4F8EE"/>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r>
      <w:tr>
        <w:trPr>
          <w:trHeight w:val="197"/>
        </w:trPr>
        <w:tc>
          <w:tcPr>
            <w:tcW w:w="304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3"/>
                <w:szCs w:val="13"/>
                <w:b w:val="1"/>
                <w:bCs w:val="1"/>
                <w:color w:val="auto"/>
              </w:rPr>
              <w:t>Mr. David B. Jones</w:t>
            </w:r>
          </w:p>
        </w:tc>
        <w:tc>
          <w:tcPr>
            <w:tcW w:w="52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1,030</w:t>
            </w:r>
          </w:p>
        </w:tc>
        <w:tc>
          <w:tcPr>
            <w:tcW w:w="1300" w:type="dxa"/>
            <w:vAlign w:val="bottom"/>
            <w:tcBorders>
              <w:top w:val="single" w:sz="8" w:color="auto"/>
              <w:right w:val="single" w:sz="8" w:color="auto"/>
            </w:tcBorders>
          </w:tcPr>
          <w:p>
            <w:pPr>
              <w:jc w:val="right"/>
              <w:ind w:right="13"/>
              <w:spacing w:after="0"/>
              <w:rPr>
                <w:sz w:val="20"/>
                <w:szCs w:val="20"/>
                <w:color w:val="auto"/>
              </w:rPr>
            </w:pPr>
            <w:r>
              <w:rPr>
                <w:rFonts w:ascii="Arial" w:cs="Arial" w:eastAsia="Arial" w:hAnsi="Arial"/>
                <w:sz w:val="13"/>
                <w:szCs w:val="13"/>
                <w:color w:val="auto"/>
              </w:rPr>
              <w:t>105,050</w:t>
            </w:r>
          </w:p>
        </w:tc>
      </w:tr>
      <w:tr>
        <w:trPr>
          <w:trHeight w:val="215"/>
        </w:trPr>
        <w:tc>
          <w:tcPr>
            <w:tcW w:w="30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Senior Vice President, General Counsel, Chief</w:t>
            </w:r>
          </w:p>
        </w:tc>
        <w:tc>
          <w:tcPr>
            <w:tcW w:w="520" w:type="dxa"/>
            <w:vAlign w:val="bottom"/>
          </w:tcPr>
          <w:p>
            <w:pPr>
              <w:jc w:val="right"/>
              <w:ind w:right="113"/>
              <w:spacing w:after="0"/>
              <w:rPr>
                <w:sz w:val="20"/>
                <w:szCs w:val="20"/>
                <w:color w:val="auto"/>
              </w:rPr>
            </w:pPr>
            <w:r>
              <w:rPr>
                <w:rFonts w:ascii="Arial" w:cs="Arial" w:eastAsia="Arial" w:hAnsi="Arial"/>
                <w:sz w:val="13"/>
                <w:szCs w:val="13"/>
                <w:color w:val="auto"/>
              </w:rPr>
              <w:t>(4)</w:t>
            </w:r>
          </w:p>
        </w:tc>
        <w:tc>
          <w:tcPr>
            <w:tcW w:w="1280" w:type="dxa"/>
            <w:vAlign w:val="bottom"/>
          </w:tcPr>
          <w:p>
            <w:pPr>
              <w:jc w:val="right"/>
              <w:spacing w:after="0"/>
              <w:rPr>
                <w:sz w:val="20"/>
                <w:szCs w:val="20"/>
                <w:color w:val="auto"/>
              </w:rPr>
            </w:pPr>
            <w:r>
              <w:rPr>
                <w:rFonts w:ascii="Arial" w:cs="Arial" w:eastAsia="Arial" w:hAnsi="Arial"/>
                <w:sz w:val="13"/>
                <w:szCs w:val="13"/>
                <w:color w:val="auto"/>
              </w:rPr>
              <w:t>3,091</w:t>
            </w:r>
          </w:p>
        </w:tc>
        <w:tc>
          <w:tcPr>
            <w:tcW w:w="1300" w:type="dxa"/>
            <w:vAlign w:val="bottom"/>
          </w:tcPr>
          <w:p>
            <w:pPr>
              <w:jc w:val="right"/>
              <w:spacing w:after="0"/>
              <w:rPr>
                <w:sz w:val="20"/>
                <w:szCs w:val="20"/>
                <w:color w:val="auto"/>
              </w:rPr>
            </w:pPr>
            <w:r>
              <w:rPr>
                <w:rFonts w:ascii="Arial" w:cs="Arial" w:eastAsia="Arial" w:hAnsi="Arial"/>
                <w:sz w:val="13"/>
                <w:szCs w:val="13"/>
                <w:color w:val="auto"/>
              </w:rPr>
              <w:t>319,300</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r>
      <w:tr>
        <w:trPr>
          <w:trHeight w:val="223"/>
        </w:trPr>
        <w:tc>
          <w:tcPr>
            <w:tcW w:w="304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Compliance Officer and Corporate Secretary</w:t>
            </w: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25"/>
        </w:trPr>
        <w:tc>
          <w:tcPr>
            <w:tcW w:w="304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pacing w:after="0" w:line="9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Footnotes to the “Option Exercises and Stock Vested during Fiscal 2025” table:</w:t>
      </w:r>
    </w:p>
    <w:p>
      <w:pPr>
        <w:spacing w:after="0" w:line="128" w:lineRule="exact"/>
        <w:rPr>
          <w:sz w:val="20"/>
          <w:szCs w:val="20"/>
          <w:color w:val="auto"/>
        </w:rPr>
      </w:pPr>
    </w:p>
    <w:p>
      <w:pPr>
        <w:ind w:left="540" w:hanging="335"/>
        <w:spacing w:after="0"/>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Cash incentive awards exercised which were issued at zero cost under the Omnibus Plan</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Cash incentive awards exercised which were issued at market price under the Omnibus Plan</w:t>
      </w:r>
    </w:p>
    <w:p>
      <w:pPr>
        <w:spacing w:after="0" w:line="117" w:lineRule="exact"/>
        <w:rPr>
          <w:rFonts w:ascii="Arial" w:cs="Arial" w:eastAsia="Arial" w:hAnsi="Arial"/>
          <w:sz w:val="15"/>
          <w:szCs w:val="15"/>
          <w:color w:val="auto"/>
        </w:rPr>
      </w:pPr>
    </w:p>
    <w:p>
      <w:pPr>
        <w:ind w:left="540" w:hanging="335"/>
        <w:spacing w:after="0"/>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Options exercised which were issued under the Omnibus Plan</w:t>
      </w:r>
    </w:p>
    <w:p>
      <w:pPr>
        <w:spacing w:after="0" w:line="128" w:lineRule="exact"/>
        <w:rPr>
          <w:rFonts w:ascii="Arial" w:cs="Arial" w:eastAsia="Arial" w:hAnsi="Arial"/>
          <w:sz w:val="15"/>
          <w:szCs w:val="15"/>
          <w:color w:val="auto"/>
        </w:rPr>
      </w:pPr>
    </w:p>
    <w:p>
      <w:pPr>
        <w:ind w:left="540" w:hanging="335"/>
        <w:spacing w:after="0"/>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Full Value awards transferred which were issued under the Omnibus Plan</w:t>
      </w:r>
    </w:p>
    <w:p>
      <w:pPr>
        <w:spacing w:after="0" w:line="12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The aggregate dollar amount realized on exercise of option awards, SEUs and matching shares was computed by calculating the closing price of all underlying common stock on the date of exercise or transfer, less the exercise price of the option, multiplied by the number of shares underlying the options or SEUs exercised, or stock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2257425</wp:posOffset>
            </wp:positionV>
            <wp:extent cx="297180" cy="2901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7" w:name="page88"/>
    <w:bookmarkEnd w:id="87"/>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9AB956"/>
        </w:rPr>
        <w:t>NON-QUALIFIED DEFERRED COMPENSATION</w:t>
      </w:r>
    </w:p>
    <w:p>
      <w:pPr>
        <w:spacing w:after="0" w:line="195"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The following table provides information regarding The Innospec Inc. Nonqualified Deferred Compensation Plan during fiscal year 2025. In 2025, Mr. Williams, Mr. Jones, and Mr. Barnes were the only NEOs eligible to participate in the Deferred Plan. Mr. Barnes chose not to participate in the Plan in 2025. More information on the plan is provided in the Compensation Discussion and Analysis section of the Proxy under the section headed “Non-qualified Deferred Compensation Plan”.</w:t>
      </w:r>
    </w:p>
    <w:p>
      <w:pPr>
        <w:spacing w:after="0" w:line="88" w:lineRule="exact"/>
        <w:rPr>
          <w:sz w:val="20"/>
          <w:szCs w:val="20"/>
          <w:color w:val="auto"/>
        </w:rPr>
      </w:pPr>
    </w:p>
    <w:tbl>
      <w:tblPr>
        <w:tblLayout w:type="fixed"/>
        <w:tblInd w:w="210" w:type="dxa"/>
        <w:tblCellMar>
          <w:top w:w="0" w:type="dxa"/>
          <w:left w:w="0" w:type="dxa"/>
          <w:bottom w:w="0" w:type="dxa"/>
          <w:right w:w="0" w:type="dxa"/>
        </w:tblCellMar>
      </w:tblPr>
      <w:tr>
        <w:trPr>
          <w:trHeight w:val="210"/>
        </w:trPr>
        <w:tc>
          <w:tcPr>
            <w:tcW w:w="2900" w:type="dxa"/>
            <w:vAlign w:val="bottom"/>
            <w:tcBorders>
              <w:top w:val="single" w:sz="8" w:color="auto"/>
              <w:left w:val="single" w:sz="8" w:color="auto"/>
            </w:tcBorders>
            <w:shd w:val="clear" w:color="auto" w:fill="9AB956"/>
          </w:tcPr>
          <w:p>
            <w:pPr>
              <w:spacing w:after="0"/>
              <w:rPr>
                <w:sz w:val="18"/>
                <w:szCs w:val="18"/>
                <w:color w:val="auto"/>
              </w:rPr>
            </w:pPr>
          </w:p>
        </w:tc>
        <w:tc>
          <w:tcPr>
            <w:tcW w:w="134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Executive</w:t>
            </w:r>
          </w:p>
        </w:tc>
        <w:tc>
          <w:tcPr>
            <w:tcW w:w="1260" w:type="dxa"/>
            <w:vAlign w:val="bottom"/>
            <w:tcBorders>
              <w:top w:val="single" w:sz="8" w:color="auto"/>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Registrant</w:t>
            </w:r>
          </w:p>
        </w:tc>
        <w:tc>
          <w:tcPr>
            <w:tcW w:w="1040" w:type="dxa"/>
            <w:vAlign w:val="bottom"/>
            <w:tcBorders>
              <w:top w:val="single" w:sz="8" w:color="auto"/>
            </w:tcBorders>
            <w:shd w:val="clear" w:color="auto" w:fill="9AB956"/>
          </w:tcPr>
          <w:p>
            <w:pPr>
              <w:jc w:val="center"/>
              <w:ind w:right="73"/>
              <w:spacing w:after="0"/>
              <w:rPr>
                <w:sz w:val="20"/>
                <w:szCs w:val="20"/>
                <w:color w:val="auto"/>
              </w:rPr>
            </w:pPr>
            <w:r>
              <w:rPr>
                <w:rFonts w:ascii="Arial" w:cs="Arial" w:eastAsia="Arial" w:hAnsi="Arial"/>
                <w:sz w:val="13"/>
                <w:szCs w:val="13"/>
                <w:b w:val="1"/>
                <w:bCs w:val="1"/>
                <w:color w:val="FFFFFF"/>
              </w:rPr>
              <w:t>Aggregate</w:t>
            </w:r>
          </w:p>
        </w:tc>
        <w:tc>
          <w:tcPr>
            <w:tcW w:w="1220" w:type="dxa"/>
            <w:vAlign w:val="bottom"/>
            <w:tcBorders>
              <w:top w:val="single" w:sz="8" w:color="auto"/>
            </w:tcBorders>
            <w:shd w:val="clear" w:color="auto" w:fill="9AB956"/>
          </w:tcPr>
          <w:p>
            <w:pPr>
              <w:jc w:val="center"/>
              <w:ind w:right="93"/>
              <w:spacing w:after="0"/>
              <w:rPr>
                <w:sz w:val="20"/>
                <w:szCs w:val="20"/>
                <w:color w:val="auto"/>
              </w:rPr>
            </w:pPr>
            <w:r>
              <w:rPr>
                <w:rFonts w:ascii="Arial" w:cs="Arial" w:eastAsia="Arial" w:hAnsi="Arial"/>
                <w:sz w:val="13"/>
                <w:szCs w:val="13"/>
                <w:b w:val="1"/>
                <w:bCs w:val="1"/>
                <w:color w:val="FFFFFF"/>
              </w:rPr>
              <w:t>Aggregate</w:t>
            </w:r>
          </w:p>
        </w:tc>
        <w:tc>
          <w:tcPr>
            <w:tcW w:w="960" w:type="dxa"/>
            <w:vAlign w:val="bottom"/>
            <w:tcBorders>
              <w:top w:val="single" w:sz="8" w:color="auto"/>
              <w:right w:val="single" w:sz="8" w:color="auto"/>
            </w:tcBorders>
            <w:shd w:val="clear" w:color="auto" w:fill="9AB956"/>
          </w:tcPr>
          <w:p>
            <w:pPr>
              <w:jc w:val="center"/>
              <w:ind w:right="33"/>
              <w:spacing w:after="0"/>
              <w:rPr>
                <w:sz w:val="20"/>
                <w:szCs w:val="20"/>
                <w:color w:val="auto"/>
              </w:rPr>
            </w:pPr>
            <w:r>
              <w:rPr>
                <w:rFonts w:ascii="Arial" w:cs="Arial" w:eastAsia="Arial" w:hAnsi="Arial"/>
                <w:sz w:val="13"/>
                <w:szCs w:val="13"/>
                <w:b w:val="1"/>
                <w:bCs w:val="1"/>
                <w:color w:val="FFFFFF"/>
              </w:rPr>
              <w:t>Aggregate</w:t>
            </w:r>
          </w:p>
        </w:tc>
      </w:tr>
      <w:tr>
        <w:trPr>
          <w:trHeight w:val="178"/>
        </w:trPr>
        <w:tc>
          <w:tcPr>
            <w:tcW w:w="2900" w:type="dxa"/>
            <w:vAlign w:val="bottom"/>
            <w:tcBorders>
              <w:left w:val="single" w:sz="8" w:color="auto"/>
            </w:tcBorders>
            <w:shd w:val="clear" w:color="auto" w:fill="9AB956"/>
          </w:tcPr>
          <w:p>
            <w:pPr>
              <w:spacing w:after="0"/>
              <w:rPr>
                <w:sz w:val="15"/>
                <w:szCs w:val="15"/>
                <w:color w:val="auto"/>
              </w:rPr>
            </w:pPr>
          </w:p>
        </w:tc>
        <w:tc>
          <w:tcPr>
            <w:tcW w:w="134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Contributions in</w:t>
            </w:r>
          </w:p>
        </w:tc>
        <w:tc>
          <w:tcPr>
            <w:tcW w:w="126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Contributions in</w:t>
            </w:r>
          </w:p>
        </w:tc>
        <w:tc>
          <w:tcPr>
            <w:tcW w:w="1040" w:type="dxa"/>
            <w:vAlign w:val="bottom"/>
            <w:shd w:val="clear" w:color="auto" w:fill="9AB956"/>
          </w:tcPr>
          <w:p>
            <w:pPr>
              <w:jc w:val="center"/>
              <w:ind w:right="73"/>
              <w:spacing w:after="0"/>
              <w:rPr>
                <w:sz w:val="20"/>
                <w:szCs w:val="20"/>
                <w:color w:val="auto"/>
              </w:rPr>
            </w:pPr>
            <w:r>
              <w:rPr>
                <w:rFonts w:ascii="Arial" w:cs="Arial" w:eastAsia="Arial" w:hAnsi="Arial"/>
                <w:sz w:val="13"/>
                <w:szCs w:val="13"/>
                <w:b w:val="1"/>
                <w:bCs w:val="1"/>
                <w:color w:val="FFFFFF"/>
              </w:rPr>
              <w:t>Earnings</w:t>
            </w:r>
          </w:p>
        </w:tc>
        <w:tc>
          <w:tcPr>
            <w:tcW w:w="1220" w:type="dxa"/>
            <w:vAlign w:val="bottom"/>
            <w:shd w:val="clear" w:color="auto" w:fill="9AB956"/>
          </w:tcPr>
          <w:p>
            <w:pPr>
              <w:jc w:val="center"/>
              <w:ind w:right="93"/>
              <w:spacing w:after="0"/>
              <w:rPr>
                <w:sz w:val="20"/>
                <w:szCs w:val="20"/>
                <w:color w:val="auto"/>
              </w:rPr>
            </w:pPr>
            <w:r>
              <w:rPr>
                <w:rFonts w:ascii="Arial" w:cs="Arial" w:eastAsia="Arial" w:hAnsi="Arial"/>
                <w:sz w:val="13"/>
                <w:szCs w:val="13"/>
                <w:b w:val="1"/>
                <w:bCs w:val="1"/>
                <w:color w:val="FFFFFF"/>
              </w:rPr>
              <w:t>Withdrawals/</w:t>
            </w:r>
          </w:p>
        </w:tc>
        <w:tc>
          <w:tcPr>
            <w:tcW w:w="960" w:type="dxa"/>
            <w:vAlign w:val="bottom"/>
            <w:tcBorders>
              <w:right w:val="single" w:sz="8" w:color="auto"/>
            </w:tcBorders>
            <w:shd w:val="clear" w:color="auto" w:fill="9AB956"/>
          </w:tcPr>
          <w:p>
            <w:pPr>
              <w:jc w:val="center"/>
              <w:ind w:right="13"/>
              <w:spacing w:after="0"/>
              <w:rPr>
                <w:sz w:val="20"/>
                <w:szCs w:val="20"/>
                <w:color w:val="auto"/>
              </w:rPr>
            </w:pPr>
            <w:r>
              <w:rPr>
                <w:rFonts w:ascii="Arial" w:cs="Arial" w:eastAsia="Arial" w:hAnsi="Arial"/>
                <w:sz w:val="13"/>
                <w:szCs w:val="13"/>
                <w:b w:val="1"/>
                <w:bCs w:val="1"/>
                <w:color w:val="FFFFFF"/>
              </w:rPr>
              <w:t>Balance at</w:t>
            </w:r>
          </w:p>
        </w:tc>
      </w:tr>
      <w:tr>
        <w:trPr>
          <w:trHeight w:val="178"/>
        </w:trPr>
        <w:tc>
          <w:tcPr>
            <w:tcW w:w="2900" w:type="dxa"/>
            <w:vAlign w:val="bottom"/>
            <w:tcBorders>
              <w:left w:val="single" w:sz="8" w:color="auto"/>
            </w:tcBorders>
            <w:shd w:val="clear" w:color="auto" w:fill="9AB956"/>
          </w:tcPr>
          <w:p>
            <w:pPr>
              <w:spacing w:after="0"/>
              <w:rPr>
                <w:sz w:val="15"/>
                <w:szCs w:val="15"/>
                <w:color w:val="auto"/>
              </w:rPr>
            </w:pPr>
          </w:p>
        </w:tc>
        <w:tc>
          <w:tcPr>
            <w:tcW w:w="134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Last Fiscal Year</w:t>
            </w:r>
          </w:p>
        </w:tc>
        <w:tc>
          <w:tcPr>
            <w:tcW w:w="126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Last Fiscal Year</w:t>
            </w:r>
          </w:p>
        </w:tc>
        <w:tc>
          <w:tcPr>
            <w:tcW w:w="1040" w:type="dxa"/>
            <w:vAlign w:val="bottom"/>
            <w:shd w:val="clear" w:color="auto" w:fill="9AB956"/>
          </w:tcPr>
          <w:p>
            <w:pPr>
              <w:jc w:val="center"/>
              <w:ind w:right="73"/>
              <w:spacing w:after="0"/>
              <w:rPr>
                <w:sz w:val="20"/>
                <w:szCs w:val="20"/>
                <w:color w:val="auto"/>
              </w:rPr>
            </w:pPr>
            <w:r>
              <w:rPr>
                <w:rFonts w:ascii="Arial" w:cs="Arial" w:eastAsia="Arial" w:hAnsi="Arial"/>
                <w:sz w:val="13"/>
                <w:szCs w:val="13"/>
                <w:b w:val="1"/>
                <w:bCs w:val="1"/>
                <w:color w:val="FFFFFF"/>
              </w:rPr>
              <w:t>(Losses) in</w:t>
            </w:r>
          </w:p>
        </w:tc>
        <w:tc>
          <w:tcPr>
            <w:tcW w:w="1220" w:type="dxa"/>
            <w:vAlign w:val="bottom"/>
            <w:shd w:val="clear" w:color="auto" w:fill="9AB956"/>
          </w:tcPr>
          <w:p>
            <w:pPr>
              <w:jc w:val="center"/>
              <w:ind w:right="93"/>
              <w:spacing w:after="0"/>
              <w:rPr>
                <w:sz w:val="20"/>
                <w:szCs w:val="20"/>
                <w:color w:val="auto"/>
              </w:rPr>
            </w:pPr>
            <w:r>
              <w:rPr>
                <w:rFonts w:ascii="Arial" w:cs="Arial" w:eastAsia="Arial" w:hAnsi="Arial"/>
                <w:sz w:val="13"/>
                <w:szCs w:val="13"/>
                <w:b w:val="1"/>
                <w:bCs w:val="1"/>
                <w:color w:val="FFFFFF"/>
              </w:rPr>
              <w:t>Distributions</w:t>
            </w:r>
          </w:p>
        </w:tc>
        <w:tc>
          <w:tcPr>
            <w:tcW w:w="960" w:type="dxa"/>
            <w:vAlign w:val="bottom"/>
            <w:tcBorders>
              <w:right w:val="single" w:sz="8" w:color="auto"/>
            </w:tcBorders>
            <w:shd w:val="clear" w:color="auto" w:fill="9AB956"/>
          </w:tcPr>
          <w:p>
            <w:pPr>
              <w:jc w:val="center"/>
              <w:ind w:right="13"/>
              <w:spacing w:after="0"/>
              <w:rPr>
                <w:sz w:val="20"/>
                <w:szCs w:val="20"/>
                <w:color w:val="auto"/>
              </w:rPr>
            </w:pPr>
            <w:r>
              <w:rPr>
                <w:rFonts w:ascii="Arial" w:cs="Arial" w:eastAsia="Arial" w:hAnsi="Arial"/>
                <w:sz w:val="13"/>
                <w:szCs w:val="13"/>
                <w:b w:val="1"/>
                <w:bCs w:val="1"/>
                <w:color w:val="FFFFFF"/>
              </w:rPr>
              <w:t>end of last</w:t>
            </w:r>
          </w:p>
        </w:tc>
      </w:tr>
      <w:tr>
        <w:trPr>
          <w:trHeight w:val="178"/>
        </w:trPr>
        <w:tc>
          <w:tcPr>
            <w:tcW w:w="2900" w:type="dxa"/>
            <w:vAlign w:val="bottom"/>
            <w:tcBorders>
              <w:left w:val="single" w:sz="8" w:color="auto"/>
            </w:tcBorders>
            <w:shd w:val="clear" w:color="auto" w:fill="9AB956"/>
          </w:tcPr>
          <w:p>
            <w:pPr>
              <w:spacing w:after="0"/>
              <w:rPr>
                <w:sz w:val="15"/>
                <w:szCs w:val="15"/>
                <w:color w:val="auto"/>
              </w:rPr>
            </w:pPr>
          </w:p>
        </w:tc>
        <w:tc>
          <w:tcPr>
            <w:tcW w:w="1340" w:type="dxa"/>
            <w:vAlign w:val="bottom"/>
            <w:shd w:val="clear" w:color="auto" w:fill="9AB956"/>
          </w:tcPr>
          <w:p>
            <w:pPr>
              <w:spacing w:after="0"/>
              <w:rPr>
                <w:sz w:val="15"/>
                <w:szCs w:val="15"/>
                <w:color w:val="auto"/>
              </w:rPr>
            </w:pPr>
          </w:p>
        </w:tc>
        <w:tc>
          <w:tcPr>
            <w:tcW w:w="1260" w:type="dxa"/>
            <w:vAlign w:val="bottom"/>
            <w:shd w:val="clear" w:color="auto" w:fill="9AB956"/>
          </w:tcPr>
          <w:p>
            <w:pPr>
              <w:spacing w:after="0"/>
              <w:rPr>
                <w:sz w:val="15"/>
                <w:szCs w:val="15"/>
                <w:color w:val="auto"/>
              </w:rPr>
            </w:pPr>
          </w:p>
        </w:tc>
        <w:tc>
          <w:tcPr>
            <w:tcW w:w="1040" w:type="dxa"/>
            <w:vAlign w:val="bottom"/>
            <w:shd w:val="clear" w:color="auto" w:fill="9AB956"/>
          </w:tcPr>
          <w:p>
            <w:pPr>
              <w:jc w:val="center"/>
              <w:ind w:right="73"/>
              <w:spacing w:after="0"/>
              <w:rPr>
                <w:sz w:val="20"/>
                <w:szCs w:val="20"/>
                <w:color w:val="auto"/>
              </w:rPr>
            </w:pPr>
            <w:r>
              <w:rPr>
                <w:rFonts w:ascii="Arial" w:cs="Arial" w:eastAsia="Arial" w:hAnsi="Arial"/>
                <w:sz w:val="13"/>
                <w:szCs w:val="13"/>
                <w:b w:val="1"/>
                <w:bCs w:val="1"/>
                <w:color w:val="FFFFFF"/>
              </w:rPr>
              <w:t>Last Fiscal</w:t>
            </w:r>
          </w:p>
        </w:tc>
        <w:tc>
          <w:tcPr>
            <w:tcW w:w="1220" w:type="dxa"/>
            <w:vAlign w:val="bottom"/>
            <w:shd w:val="clear" w:color="auto" w:fill="9AB956"/>
          </w:tcPr>
          <w:p>
            <w:pPr>
              <w:spacing w:after="0"/>
              <w:rPr>
                <w:sz w:val="15"/>
                <w:szCs w:val="15"/>
                <w:color w:val="auto"/>
              </w:rPr>
            </w:pPr>
          </w:p>
        </w:tc>
        <w:tc>
          <w:tcPr>
            <w:tcW w:w="960" w:type="dxa"/>
            <w:vAlign w:val="bottom"/>
            <w:tcBorders>
              <w:right w:val="single" w:sz="8" w:color="auto"/>
            </w:tcBorders>
            <w:shd w:val="clear" w:color="auto" w:fill="9AB956"/>
          </w:tcPr>
          <w:p>
            <w:pPr>
              <w:jc w:val="center"/>
              <w:ind w:right="33"/>
              <w:spacing w:after="0"/>
              <w:rPr>
                <w:sz w:val="20"/>
                <w:szCs w:val="20"/>
                <w:color w:val="auto"/>
              </w:rPr>
            </w:pPr>
            <w:r>
              <w:rPr>
                <w:rFonts w:ascii="Arial" w:cs="Arial" w:eastAsia="Arial" w:hAnsi="Arial"/>
                <w:sz w:val="13"/>
                <w:szCs w:val="13"/>
                <w:b w:val="1"/>
                <w:bCs w:val="1"/>
                <w:color w:val="FFFFFF"/>
              </w:rPr>
              <w:t>Fiscal Year</w:t>
            </w:r>
          </w:p>
        </w:tc>
      </w:tr>
      <w:tr>
        <w:trPr>
          <w:trHeight w:val="185"/>
        </w:trPr>
        <w:tc>
          <w:tcPr>
            <w:tcW w:w="2900" w:type="dxa"/>
            <w:vAlign w:val="bottom"/>
            <w:tcBorders>
              <w:left w:val="single" w:sz="8" w:color="auto"/>
            </w:tcBorders>
            <w:shd w:val="clear" w:color="auto" w:fill="9AB956"/>
          </w:tcPr>
          <w:p>
            <w:pPr>
              <w:spacing w:after="0"/>
              <w:rPr>
                <w:sz w:val="16"/>
                <w:szCs w:val="16"/>
                <w:color w:val="auto"/>
              </w:rPr>
            </w:pPr>
          </w:p>
        </w:tc>
        <w:tc>
          <w:tcPr>
            <w:tcW w:w="1340" w:type="dxa"/>
            <w:vAlign w:val="bottom"/>
            <w:shd w:val="clear" w:color="auto" w:fill="9AB956"/>
          </w:tcPr>
          <w:p>
            <w:pPr>
              <w:spacing w:after="0"/>
              <w:rPr>
                <w:sz w:val="16"/>
                <w:szCs w:val="16"/>
                <w:color w:val="auto"/>
              </w:rPr>
            </w:pPr>
          </w:p>
        </w:tc>
        <w:tc>
          <w:tcPr>
            <w:tcW w:w="1260" w:type="dxa"/>
            <w:vAlign w:val="bottom"/>
            <w:shd w:val="clear" w:color="auto" w:fill="9AB956"/>
          </w:tcPr>
          <w:p>
            <w:pPr>
              <w:spacing w:after="0"/>
              <w:rPr>
                <w:sz w:val="16"/>
                <w:szCs w:val="16"/>
                <w:color w:val="auto"/>
              </w:rPr>
            </w:pPr>
          </w:p>
        </w:tc>
        <w:tc>
          <w:tcPr>
            <w:tcW w:w="1040" w:type="dxa"/>
            <w:vAlign w:val="bottom"/>
            <w:shd w:val="clear" w:color="auto" w:fill="9AB956"/>
          </w:tcPr>
          <w:p>
            <w:pPr>
              <w:jc w:val="center"/>
              <w:ind w:right="53"/>
              <w:spacing w:after="0"/>
              <w:rPr>
                <w:sz w:val="20"/>
                <w:szCs w:val="20"/>
                <w:color w:val="auto"/>
              </w:rPr>
            </w:pPr>
            <w:r>
              <w:rPr>
                <w:rFonts w:ascii="Arial" w:cs="Arial" w:eastAsia="Arial" w:hAnsi="Arial"/>
                <w:sz w:val="13"/>
                <w:szCs w:val="13"/>
                <w:b w:val="1"/>
                <w:bCs w:val="1"/>
                <w:color w:val="FFFFFF"/>
                <w:w w:val="99"/>
              </w:rPr>
              <w:t>Year</w:t>
            </w:r>
          </w:p>
        </w:tc>
        <w:tc>
          <w:tcPr>
            <w:tcW w:w="1220" w:type="dxa"/>
            <w:vAlign w:val="bottom"/>
            <w:shd w:val="clear" w:color="auto" w:fill="9AB956"/>
          </w:tcPr>
          <w:p>
            <w:pPr>
              <w:spacing w:after="0"/>
              <w:rPr>
                <w:sz w:val="16"/>
                <w:szCs w:val="16"/>
                <w:color w:val="auto"/>
              </w:rPr>
            </w:pPr>
          </w:p>
        </w:tc>
        <w:tc>
          <w:tcPr>
            <w:tcW w:w="960" w:type="dxa"/>
            <w:vAlign w:val="bottom"/>
            <w:tcBorders>
              <w:right w:val="single" w:sz="8" w:color="auto"/>
            </w:tcBorders>
            <w:shd w:val="clear" w:color="auto" w:fill="9AB956"/>
          </w:tcPr>
          <w:p>
            <w:pPr>
              <w:jc w:val="center"/>
              <w:ind w:right="33"/>
              <w:spacing w:after="0"/>
              <w:rPr>
                <w:sz w:val="20"/>
                <w:szCs w:val="20"/>
                <w:color w:val="auto"/>
              </w:rPr>
            </w:pPr>
            <w:r>
              <w:rPr>
                <w:rFonts w:ascii="Arial" w:cs="Arial" w:eastAsia="Arial" w:hAnsi="Arial"/>
                <w:sz w:val="13"/>
                <w:szCs w:val="13"/>
                <w:b w:val="1"/>
                <w:bCs w:val="1"/>
                <w:color w:val="FFFFFF"/>
              </w:rPr>
              <w:t>2023</w:t>
            </w:r>
          </w:p>
        </w:tc>
      </w:tr>
      <w:tr>
        <w:trPr>
          <w:trHeight w:val="223"/>
        </w:trPr>
        <w:tc>
          <w:tcPr>
            <w:tcW w:w="2900" w:type="dxa"/>
            <w:vAlign w:val="bottom"/>
            <w:tcBorders>
              <w:left w:val="single" w:sz="8" w:color="auto"/>
            </w:tcBorders>
            <w:shd w:val="clear" w:color="auto" w:fill="9AB956"/>
          </w:tcPr>
          <w:p>
            <w:pPr>
              <w:spacing w:after="0"/>
              <w:rPr>
                <w:sz w:val="19"/>
                <w:szCs w:val="19"/>
                <w:color w:val="auto"/>
              </w:rPr>
            </w:pPr>
          </w:p>
        </w:tc>
        <w:tc>
          <w:tcPr>
            <w:tcW w:w="134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(1)</w:t>
            </w:r>
          </w:p>
        </w:tc>
        <w:tc>
          <w:tcPr>
            <w:tcW w:w="126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(2)</w:t>
            </w:r>
          </w:p>
        </w:tc>
        <w:tc>
          <w:tcPr>
            <w:tcW w:w="1040" w:type="dxa"/>
            <w:vAlign w:val="bottom"/>
            <w:shd w:val="clear" w:color="auto" w:fill="9AB956"/>
          </w:tcPr>
          <w:p>
            <w:pPr>
              <w:jc w:val="center"/>
              <w:ind w:right="53"/>
              <w:spacing w:after="0"/>
              <w:rPr>
                <w:sz w:val="20"/>
                <w:szCs w:val="20"/>
                <w:color w:val="auto"/>
              </w:rPr>
            </w:pPr>
            <w:r>
              <w:rPr>
                <w:rFonts w:ascii="Arial" w:cs="Arial" w:eastAsia="Arial" w:hAnsi="Arial"/>
                <w:sz w:val="13"/>
                <w:szCs w:val="13"/>
                <w:b w:val="1"/>
                <w:bCs w:val="1"/>
                <w:color w:val="FFFFFF"/>
              </w:rPr>
              <w:t>(3)</w:t>
            </w:r>
          </w:p>
        </w:tc>
        <w:tc>
          <w:tcPr>
            <w:tcW w:w="1220" w:type="dxa"/>
            <w:vAlign w:val="bottom"/>
            <w:shd w:val="clear" w:color="auto" w:fill="9AB956"/>
          </w:tcPr>
          <w:p>
            <w:pPr>
              <w:jc w:val="center"/>
              <w:ind w:right="73"/>
              <w:spacing w:after="0"/>
              <w:rPr>
                <w:sz w:val="20"/>
                <w:szCs w:val="20"/>
                <w:color w:val="auto"/>
              </w:rPr>
            </w:pPr>
            <w:r>
              <w:rPr>
                <w:rFonts w:ascii="Arial" w:cs="Arial" w:eastAsia="Arial" w:hAnsi="Arial"/>
                <w:sz w:val="13"/>
                <w:szCs w:val="13"/>
                <w:b w:val="1"/>
                <w:bCs w:val="1"/>
                <w:color w:val="FFFFFF"/>
              </w:rPr>
              <w:t>(4)</w:t>
            </w:r>
          </w:p>
        </w:tc>
        <w:tc>
          <w:tcPr>
            <w:tcW w:w="960" w:type="dxa"/>
            <w:vAlign w:val="bottom"/>
            <w:tcBorders>
              <w:right w:val="single" w:sz="8" w:color="auto"/>
            </w:tcBorders>
            <w:shd w:val="clear" w:color="auto" w:fill="9AB956"/>
          </w:tcPr>
          <w:p>
            <w:pPr>
              <w:jc w:val="center"/>
              <w:ind w:right="13"/>
              <w:spacing w:after="0"/>
              <w:rPr>
                <w:sz w:val="20"/>
                <w:szCs w:val="20"/>
                <w:color w:val="auto"/>
              </w:rPr>
            </w:pPr>
            <w:r>
              <w:rPr>
                <w:rFonts w:ascii="Arial" w:cs="Arial" w:eastAsia="Arial" w:hAnsi="Arial"/>
                <w:sz w:val="13"/>
                <w:szCs w:val="13"/>
                <w:b w:val="1"/>
                <w:bCs w:val="1"/>
                <w:color w:val="FFFFFF"/>
              </w:rPr>
              <w:t>(5)</w:t>
            </w:r>
          </w:p>
        </w:tc>
      </w:tr>
      <w:tr>
        <w:trPr>
          <w:trHeight w:val="240"/>
        </w:trPr>
        <w:tc>
          <w:tcPr>
            <w:tcW w:w="2900" w:type="dxa"/>
            <w:vAlign w:val="bottom"/>
            <w:tcBorders>
              <w:left w:val="single" w:sz="8" w:color="auto"/>
            </w:tcBorders>
            <w:shd w:val="clear" w:color="auto" w:fill="9AB956"/>
          </w:tcPr>
          <w:p>
            <w:pPr>
              <w:spacing w:after="0"/>
              <w:rPr>
                <w:sz w:val="20"/>
                <w:szCs w:val="20"/>
                <w:color w:val="auto"/>
              </w:rPr>
            </w:pPr>
          </w:p>
        </w:tc>
        <w:tc>
          <w:tcPr>
            <w:tcW w:w="134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9AB956"/>
          </w:tcPr>
          <w:p>
            <w:pPr>
              <w:jc w:val="center"/>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9AB956"/>
          </w:tcPr>
          <w:p>
            <w:pPr>
              <w:jc w:val="center"/>
              <w:ind w:right="53"/>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9AB956"/>
          </w:tcPr>
          <w:p>
            <w:pPr>
              <w:jc w:val="center"/>
              <w:ind w:right="73"/>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right w:val="single" w:sz="8" w:color="auto"/>
            </w:tcBorders>
            <w:shd w:val="clear" w:color="auto" w:fill="9AB956"/>
          </w:tcPr>
          <w:p>
            <w:pPr>
              <w:jc w:val="center"/>
              <w:ind w:right="13"/>
              <w:spacing w:after="0"/>
              <w:rPr>
                <w:sz w:val="20"/>
                <w:szCs w:val="20"/>
                <w:color w:val="auto"/>
              </w:rPr>
            </w:pPr>
            <w:r>
              <w:rPr>
                <w:rFonts w:ascii="Arial" w:cs="Arial" w:eastAsia="Arial" w:hAnsi="Arial"/>
                <w:sz w:val="13"/>
                <w:szCs w:val="13"/>
                <w:b w:val="1"/>
                <w:bCs w:val="1"/>
                <w:color w:val="FFFFFF"/>
              </w:rPr>
              <w:t>($)</w:t>
            </w:r>
          </w:p>
        </w:tc>
      </w:tr>
      <w:tr>
        <w:trPr>
          <w:trHeight w:val="206"/>
        </w:trPr>
        <w:tc>
          <w:tcPr>
            <w:tcW w:w="2900" w:type="dxa"/>
            <w:vAlign w:val="bottom"/>
            <w:tcBorders>
              <w:left w:val="single" w:sz="8" w:color="auto"/>
            </w:tcBorders>
          </w:tcPr>
          <w:p>
            <w:pPr>
              <w:ind w:left="60"/>
              <w:spacing w:after="0"/>
              <w:rPr>
                <w:sz w:val="20"/>
                <w:szCs w:val="20"/>
                <w:color w:val="auto"/>
              </w:rPr>
            </w:pPr>
            <w:r>
              <w:rPr>
                <w:rFonts w:ascii="Arial" w:cs="Arial" w:eastAsia="Arial" w:hAnsi="Arial"/>
                <w:sz w:val="13"/>
                <w:szCs w:val="13"/>
                <w:b w:val="1"/>
                <w:bCs w:val="1"/>
                <w:color w:val="auto"/>
              </w:rPr>
              <w:t>Mr. Patrick S. Williams</w:t>
            </w: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15"/>
        </w:trPr>
        <w:tc>
          <w:tcPr>
            <w:tcW w:w="2900" w:type="dxa"/>
            <w:vAlign w:val="bottom"/>
            <w:tcBorders>
              <w:left w:val="single" w:sz="8" w:color="auto"/>
            </w:tcBorders>
          </w:tcPr>
          <w:p>
            <w:pPr>
              <w:ind w:left="60"/>
              <w:spacing w:after="0"/>
              <w:rPr>
                <w:sz w:val="20"/>
                <w:szCs w:val="20"/>
                <w:color w:val="auto"/>
              </w:rPr>
            </w:pPr>
            <w:r>
              <w:rPr>
                <w:rFonts w:ascii="Arial" w:cs="Arial" w:eastAsia="Arial" w:hAnsi="Arial"/>
                <w:sz w:val="13"/>
                <w:szCs w:val="13"/>
                <w:color w:val="auto"/>
              </w:rPr>
              <w:t>President and Chief Executive Officer</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37,998</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27,378</w:t>
            </w:r>
          </w:p>
        </w:tc>
        <w:tc>
          <w:tcPr>
            <w:tcW w:w="1220" w:type="dxa"/>
            <w:vAlign w:val="bottom"/>
          </w:tcPr>
          <w:p>
            <w:pPr>
              <w:ind w:left="980"/>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221,347</w:t>
            </w:r>
          </w:p>
        </w:tc>
      </w:tr>
      <w:tr>
        <w:trPr>
          <w:trHeight w:val="248"/>
        </w:trPr>
        <w:tc>
          <w:tcPr>
            <w:tcW w:w="2900" w:type="dxa"/>
            <w:vAlign w:val="bottom"/>
            <w:tcBorders>
              <w:lef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r>
      <w:tr>
        <w:trPr>
          <w:trHeight w:val="206"/>
        </w:trPr>
        <w:tc>
          <w:tcPr>
            <w:tcW w:w="290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13"/>
                <w:szCs w:val="13"/>
                <w:b w:val="1"/>
                <w:bCs w:val="1"/>
                <w:color w:val="auto"/>
              </w:rPr>
              <w:t>Mr. David B. Jones</w:t>
            </w:r>
          </w:p>
        </w:tc>
        <w:tc>
          <w:tcPr>
            <w:tcW w:w="1340" w:type="dxa"/>
            <w:vAlign w:val="bottom"/>
            <w:shd w:val="clear" w:color="auto" w:fill="F4F8EE"/>
          </w:tcPr>
          <w:p>
            <w:pPr>
              <w:spacing w:after="0"/>
              <w:rPr>
                <w:sz w:val="17"/>
                <w:szCs w:val="17"/>
                <w:color w:val="auto"/>
              </w:rPr>
            </w:pPr>
          </w:p>
        </w:tc>
        <w:tc>
          <w:tcPr>
            <w:tcW w:w="1260" w:type="dxa"/>
            <w:vAlign w:val="bottom"/>
            <w:shd w:val="clear" w:color="auto" w:fill="F4F8EE"/>
          </w:tcPr>
          <w:p>
            <w:pPr>
              <w:spacing w:after="0"/>
              <w:rPr>
                <w:sz w:val="17"/>
                <w:szCs w:val="17"/>
                <w:color w:val="auto"/>
              </w:rPr>
            </w:pPr>
          </w:p>
        </w:tc>
        <w:tc>
          <w:tcPr>
            <w:tcW w:w="1040" w:type="dxa"/>
            <w:vAlign w:val="bottom"/>
            <w:shd w:val="clear" w:color="auto" w:fill="F4F8EE"/>
          </w:tcPr>
          <w:p>
            <w:pPr>
              <w:spacing w:after="0"/>
              <w:rPr>
                <w:sz w:val="17"/>
                <w:szCs w:val="17"/>
                <w:color w:val="auto"/>
              </w:rPr>
            </w:pPr>
          </w:p>
        </w:tc>
        <w:tc>
          <w:tcPr>
            <w:tcW w:w="1220" w:type="dxa"/>
            <w:vAlign w:val="bottom"/>
            <w:shd w:val="clear" w:color="auto" w:fill="F4F8EE"/>
          </w:tcPr>
          <w:p>
            <w:pPr>
              <w:spacing w:after="0"/>
              <w:rPr>
                <w:sz w:val="17"/>
                <w:szCs w:val="17"/>
                <w:color w:val="auto"/>
              </w:rPr>
            </w:pPr>
          </w:p>
        </w:tc>
        <w:tc>
          <w:tcPr>
            <w:tcW w:w="960" w:type="dxa"/>
            <w:vAlign w:val="bottom"/>
            <w:tcBorders>
              <w:right w:val="single" w:sz="8" w:color="auto"/>
            </w:tcBorders>
            <w:shd w:val="clear" w:color="auto" w:fill="F4F8EE"/>
          </w:tcPr>
          <w:p>
            <w:pPr>
              <w:spacing w:after="0"/>
              <w:rPr>
                <w:sz w:val="17"/>
                <w:szCs w:val="17"/>
                <w:color w:val="auto"/>
              </w:rPr>
            </w:pPr>
          </w:p>
        </w:tc>
      </w:tr>
      <w:tr>
        <w:trPr>
          <w:trHeight w:val="215"/>
        </w:trPr>
        <w:tc>
          <w:tcPr>
            <w:tcW w:w="290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13"/>
                <w:szCs w:val="13"/>
                <w:color w:val="auto"/>
              </w:rPr>
              <w:t>Senior Vice President, General Counsel, Chief</w:t>
            </w:r>
          </w:p>
        </w:tc>
        <w:tc>
          <w:tcPr>
            <w:tcW w:w="1340" w:type="dxa"/>
            <w:vAlign w:val="bottom"/>
            <w:shd w:val="clear" w:color="auto" w:fill="F4F8EE"/>
          </w:tcPr>
          <w:p>
            <w:pPr>
              <w:jc w:val="right"/>
              <w:spacing w:after="0"/>
              <w:rPr>
                <w:sz w:val="20"/>
                <w:szCs w:val="20"/>
                <w:color w:val="auto"/>
              </w:rPr>
            </w:pPr>
            <w:r>
              <w:rPr>
                <w:rFonts w:ascii="Arial" w:cs="Arial" w:eastAsia="Arial" w:hAnsi="Arial"/>
                <w:sz w:val="13"/>
                <w:szCs w:val="13"/>
                <w:color w:val="auto"/>
              </w:rPr>
              <w:t>25,040</w:t>
            </w:r>
          </w:p>
        </w:tc>
        <w:tc>
          <w:tcPr>
            <w:tcW w:w="1260" w:type="dxa"/>
            <w:vAlign w:val="bottom"/>
            <w:shd w:val="clear" w:color="auto" w:fill="F4F8EE"/>
          </w:tcPr>
          <w:p>
            <w:pPr>
              <w:jc w:val="right"/>
              <w:ind w:right="33"/>
              <w:spacing w:after="0"/>
              <w:rPr>
                <w:sz w:val="20"/>
                <w:szCs w:val="20"/>
                <w:color w:val="auto"/>
              </w:rPr>
            </w:pPr>
            <w:r>
              <w:rPr>
                <w:rFonts w:ascii="Arial" w:cs="Arial" w:eastAsia="Arial" w:hAnsi="Arial"/>
                <w:sz w:val="13"/>
                <w:szCs w:val="13"/>
                <w:color w:val="auto"/>
              </w:rPr>
              <w:t>37,998</w:t>
            </w:r>
          </w:p>
        </w:tc>
        <w:tc>
          <w:tcPr>
            <w:tcW w:w="1040" w:type="dxa"/>
            <w:vAlign w:val="bottom"/>
            <w:shd w:val="clear" w:color="auto" w:fill="F4F8EE"/>
          </w:tcPr>
          <w:p>
            <w:pPr>
              <w:jc w:val="right"/>
              <w:ind w:right="73"/>
              <w:spacing w:after="0"/>
              <w:rPr>
                <w:sz w:val="20"/>
                <w:szCs w:val="20"/>
                <w:color w:val="auto"/>
              </w:rPr>
            </w:pPr>
            <w:r>
              <w:rPr>
                <w:rFonts w:ascii="Arial" w:cs="Arial" w:eastAsia="Arial" w:hAnsi="Arial"/>
                <w:sz w:val="13"/>
                <w:szCs w:val="13"/>
                <w:color w:val="auto"/>
              </w:rPr>
              <w:t>28,144</w:t>
            </w:r>
          </w:p>
        </w:tc>
        <w:tc>
          <w:tcPr>
            <w:tcW w:w="1220" w:type="dxa"/>
            <w:vAlign w:val="bottom"/>
            <w:shd w:val="clear" w:color="auto" w:fill="F4F8EE"/>
          </w:tcPr>
          <w:p>
            <w:pPr>
              <w:ind w:left="980"/>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187,306</w:t>
            </w:r>
          </w:p>
        </w:tc>
      </w:tr>
      <w:tr>
        <w:trPr>
          <w:trHeight w:val="178"/>
        </w:trPr>
        <w:tc>
          <w:tcPr>
            <w:tcW w:w="2900" w:type="dxa"/>
            <w:vAlign w:val="bottom"/>
            <w:tcBorders>
              <w:left w:val="single" w:sz="8" w:color="auto"/>
            </w:tcBorders>
            <w:shd w:val="clear" w:color="auto" w:fill="F4F8EE"/>
          </w:tcPr>
          <w:p>
            <w:pPr>
              <w:ind w:left="60"/>
              <w:spacing w:after="0"/>
              <w:rPr>
                <w:sz w:val="20"/>
                <w:szCs w:val="20"/>
                <w:color w:val="auto"/>
              </w:rPr>
            </w:pPr>
            <w:r>
              <w:rPr>
                <w:rFonts w:ascii="Arial" w:cs="Arial" w:eastAsia="Arial" w:hAnsi="Arial"/>
                <w:sz w:val="13"/>
                <w:szCs w:val="13"/>
                <w:color w:val="auto"/>
              </w:rPr>
              <w:t>Compliance</w:t>
            </w:r>
          </w:p>
        </w:tc>
        <w:tc>
          <w:tcPr>
            <w:tcW w:w="1340" w:type="dxa"/>
            <w:vAlign w:val="bottom"/>
            <w:shd w:val="clear" w:color="auto" w:fill="F4F8EE"/>
          </w:tcPr>
          <w:p>
            <w:pPr>
              <w:spacing w:after="0"/>
              <w:rPr>
                <w:sz w:val="15"/>
                <w:szCs w:val="15"/>
                <w:color w:val="auto"/>
              </w:rPr>
            </w:pPr>
          </w:p>
        </w:tc>
        <w:tc>
          <w:tcPr>
            <w:tcW w:w="1260" w:type="dxa"/>
            <w:vAlign w:val="bottom"/>
            <w:shd w:val="clear" w:color="auto" w:fill="F4F8EE"/>
          </w:tcPr>
          <w:p>
            <w:pPr>
              <w:spacing w:after="0"/>
              <w:rPr>
                <w:sz w:val="15"/>
                <w:szCs w:val="15"/>
                <w:color w:val="auto"/>
              </w:rPr>
            </w:pPr>
          </w:p>
        </w:tc>
        <w:tc>
          <w:tcPr>
            <w:tcW w:w="1040" w:type="dxa"/>
            <w:vAlign w:val="bottom"/>
            <w:shd w:val="clear" w:color="auto" w:fill="F4F8EE"/>
          </w:tcPr>
          <w:p>
            <w:pPr>
              <w:spacing w:after="0"/>
              <w:rPr>
                <w:sz w:val="15"/>
                <w:szCs w:val="15"/>
                <w:color w:val="auto"/>
              </w:rPr>
            </w:pPr>
          </w:p>
        </w:tc>
        <w:tc>
          <w:tcPr>
            <w:tcW w:w="1220" w:type="dxa"/>
            <w:vAlign w:val="bottom"/>
            <w:shd w:val="clear" w:color="auto" w:fill="F4F8EE"/>
          </w:tcPr>
          <w:p>
            <w:pPr>
              <w:spacing w:after="0"/>
              <w:rPr>
                <w:sz w:val="15"/>
                <w:szCs w:val="15"/>
                <w:color w:val="auto"/>
              </w:rPr>
            </w:pPr>
          </w:p>
        </w:tc>
        <w:tc>
          <w:tcPr>
            <w:tcW w:w="960" w:type="dxa"/>
            <w:vAlign w:val="bottom"/>
            <w:tcBorders>
              <w:right w:val="single" w:sz="8" w:color="auto"/>
            </w:tcBorders>
            <w:shd w:val="clear" w:color="auto" w:fill="F4F8EE"/>
          </w:tcPr>
          <w:p>
            <w:pPr>
              <w:spacing w:after="0"/>
              <w:rPr>
                <w:sz w:val="15"/>
                <w:szCs w:val="15"/>
                <w:color w:val="auto"/>
              </w:rPr>
            </w:pPr>
          </w:p>
        </w:tc>
      </w:tr>
      <w:tr>
        <w:trPr>
          <w:trHeight w:val="228"/>
        </w:trPr>
        <w:tc>
          <w:tcPr>
            <w:tcW w:w="2900" w:type="dxa"/>
            <w:vAlign w:val="bottom"/>
            <w:tcBorders>
              <w:left w:val="single" w:sz="8" w:color="auto"/>
              <w:bottom w:val="single" w:sz="8" w:color="F4F8EE"/>
            </w:tcBorders>
            <w:shd w:val="clear" w:color="auto" w:fill="F4F8EE"/>
          </w:tcPr>
          <w:p>
            <w:pPr>
              <w:ind w:left="60"/>
              <w:spacing w:after="0"/>
              <w:rPr>
                <w:sz w:val="20"/>
                <w:szCs w:val="20"/>
                <w:color w:val="auto"/>
              </w:rPr>
            </w:pPr>
            <w:r>
              <w:rPr>
                <w:rFonts w:ascii="Arial" w:cs="Arial" w:eastAsia="Arial" w:hAnsi="Arial"/>
                <w:sz w:val="13"/>
                <w:szCs w:val="13"/>
                <w:color w:val="auto"/>
              </w:rPr>
              <w:t>Officer and Corporate Secretary</w:t>
            </w:r>
          </w:p>
        </w:tc>
        <w:tc>
          <w:tcPr>
            <w:tcW w:w="1340" w:type="dxa"/>
            <w:vAlign w:val="bottom"/>
            <w:tcBorders>
              <w:bottom w:val="single" w:sz="8" w:color="F4F8EE"/>
            </w:tcBorders>
            <w:shd w:val="clear" w:color="auto" w:fill="F4F8EE"/>
          </w:tcPr>
          <w:p>
            <w:pPr>
              <w:spacing w:after="0"/>
              <w:rPr>
                <w:sz w:val="19"/>
                <w:szCs w:val="19"/>
                <w:color w:val="auto"/>
              </w:rPr>
            </w:pPr>
          </w:p>
        </w:tc>
        <w:tc>
          <w:tcPr>
            <w:tcW w:w="1260" w:type="dxa"/>
            <w:vAlign w:val="bottom"/>
            <w:tcBorders>
              <w:bottom w:val="single" w:sz="8" w:color="F4F8EE"/>
            </w:tcBorders>
            <w:shd w:val="clear" w:color="auto" w:fill="F4F8EE"/>
          </w:tcPr>
          <w:p>
            <w:pPr>
              <w:spacing w:after="0"/>
              <w:rPr>
                <w:sz w:val="19"/>
                <w:szCs w:val="19"/>
                <w:color w:val="auto"/>
              </w:rPr>
            </w:pPr>
          </w:p>
        </w:tc>
        <w:tc>
          <w:tcPr>
            <w:tcW w:w="1040" w:type="dxa"/>
            <w:vAlign w:val="bottom"/>
            <w:tcBorders>
              <w:bottom w:val="single" w:sz="8" w:color="F4F8EE"/>
            </w:tcBorders>
            <w:shd w:val="clear" w:color="auto" w:fill="F4F8EE"/>
          </w:tcPr>
          <w:p>
            <w:pPr>
              <w:spacing w:after="0"/>
              <w:rPr>
                <w:sz w:val="19"/>
                <w:szCs w:val="19"/>
                <w:color w:val="auto"/>
              </w:rPr>
            </w:pPr>
          </w:p>
        </w:tc>
        <w:tc>
          <w:tcPr>
            <w:tcW w:w="1220" w:type="dxa"/>
            <w:vAlign w:val="bottom"/>
            <w:tcBorders>
              <w:bottom w:val="single" w:sz="8" w:color="F4F8EE"/>
            </w:tcBorders>
            <w:shd w:val="clear" w:color="auto" w:fill="F4F8EE"/>
          </w:tcPr>
          <w:p>
            <w:pPr>
              <w:spacing w:after="0"/>
              <w:rPr>
                <w:sz w:val="19"/>
                <w:szCs w:val="19"/>
                <w:color w:val="auto"/>
              </w:rPr>
            </w:pPr>
          </w:p>
        </w:tc>
        <w:tc>
          <w:tcPr>
            <w:tcW w:w="960" w:type="dxa"/>
            <w:vAlign w:val="bottom"/>
            <w:tcBorders>
              <w:bottom w:val="single" w:sz="8" w:color="F4F8EE"/>
              <w:right w:val="single" w:sz="8" w:color="auto"/>
            </w:tcBorders>
            <w:shd w:val="clear" w:color="auto" w:fill="F4F8EE"/>
          </w:tcPr>
          <w:p>
            <w:pPr>
              <w:spacing w:after="0"/>
              <w:rPr>
                <w:sz w:val="19"/>
                <w:szCs w:val="19"/>
                <w:color w:val="auto"/>
              </w:rPr>
            </w:pPr>
          </w:p>
        </w:tc>
      </w:tr>
      <w:tr>
        <w:trPr>
          <w:trHeight w:val="20"/>
        </w:trPr>
        <w:tc>
          <w:tcPr>
            <w:tcW w:w="2900" w:type="dxa"/>
            <w:vAlign w:val="bottom"/>
            <w:tcBorders>
              <w:left w:val="single" w:sz="8" w:color="auto"/>
            </w:tcBorders>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r>
    </w:tbl>
    <w:p>
      <w:pPr>
        <w:spacing w:after="0" w:line="97"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Footnotes to the “Non-qualified Deferred Compensation” table</w:t>
      </w:r>
    </w:p>
    <w:p>
      <w:pPr>
        <w:spacing w:after="0" w:line="128" w:lineRule="exact"/>
        <w:rPr>
          <w:sz w:val="20"/>
          <w:szCs w:val="20"/>
          <w:color w:val="auto"/>
        </w:rPr>
      </w:pPr>
    </w:p>
    <w:p>
      <w:pPr>
        <w:ind w:left="540" w:right="139" w:hanging="335"/>
        <w:spacing w:after="0" w:line="281"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These amounts, if any, are included in the Summary Compensation Table in the “Salary” and “Non-Equity Incentive Compensation” columns for 2025. Mr. Williams did not make any contributions into the Deferred Compensation plan in 2025.</w:t>
      </w:r>
    </w:p>
    <w:p>
      <w:pPr>
        <w:spacing w:after="0" w:line="74" w:lineRule="exact"/>
        <w:rPr>
          <w:rFonts w:ascii="Arial" w:cs="Arial" w:eastAsia="Arial" w:hAnsi="Arial"/>
          <w:sz w:val="15"/>
          <w:szCs w:val="15"/>
          <w:color w:val="auto"/>
        </w:rPr>
      </w:pPr>
    </w:p>
    <w:p>
      <w:pPr>
        <w:jc w:val="both"/>
        <w:ind w:left="540" w:right="139" w:hanging="335"/>
        <w:spacing w:after="0" w:line="264"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amounts disclosed for Mr. Williams and Mr. Jones include employer elective deferrals of $37,998 for both, which accrued during fiscal year 2025 and credited to their accounts in 2026. These amounts are included in the Summary Compensation Table in the “All Other Compensation” column for 2025.</w:t>
      </w:r>
    </w:p>
    <w:p>
      <w:pPr>
        <w:spacing w:after="0" w:line="76"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These amounts are not included in the Summary Compensation Table because Plan earnings were not preferential or above market.</w:t>
      </w:r>
    </w:p>
    <w:p>
      <w:pPr>
        <w:spacing w:after="0" w:line="74"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Withdrawal and distribution amounts, if any, are not included in the Summary Compensation Table because these are pay-outs of prior years’ earnings and contributions. There were no withdrawals or distributions in 2025.</w:t>
      </w:r>
    </w:p>
    <w:p>
      <w:pPr>
        <w:spacing w:after="0" w:line="74" w:lineRule="exact"/>
        <w:rPr>
          <w:rFonts w:ascii="Arial" w:cs="Arial" w:eastAsia="Arial" w:hAnsi="Arial"/>
          <w:sz w:val="15"/>
          <w:szCs w:val="15"/>
          <w:color w:val="auto"/>
        </w:rPr>
      </w:pPr>
    </w:p>
    <w:p>
      <w:pPr>
        <w:jc w:val="both"/>
        <w:ind w:left="540" w:right="139" w:hanging="335"/>
        <w:spacing w:after="0" w:line="264" w:lineRule="auto"/>
        <w:tabs>
          <w:tab w:leader="none" w:pos="5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These amounts are as of December 31, 2025, and do not take into account the amounts in the “Registrant Contributions in Last Fiscal Year” column in the table above that were accrued during fiscal year 2025 but were credited to Mr. Williams’s and Mr. Jones’s accounts in 2026 as detailed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2801620</wp:posOffset>
            </wp:positionV>
            <wp:extent cx="297180" cy="290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8" w:name="page89"/>
    <w:bookmarkEnd w:id="88"/>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9AB956"/>
        </w:rPr>
        <w:t>POST EMPLOYMENT PAYMENTS</w:t>
      </w:r>
    </w:p>
    <w:p>
      <w:pPr>
        <w:spacing w:after="0" w:line="195" w:lineRule="exact"/>
        <w:rPr>
          <w:sz w:val="20"/>
          <w:szCs w:val="20"/>
          <w:color w:val="auto"/>
        </w:rPr>
      </w:pPr>
    </w:p>
    <w:p>
      <w:pPr>
        <w:jc w:val="both"/>
        <w:ind w:left="200" w:right="119"/>
        <w:spacing w:after="0" w:line="264" w:lineRule="auto"/>
        <w:rPr>
          <w:sz w:val="20"/>
          <w:szCs w:val="20"/>
          <w:color w:val="auto"/>
        </w:rPr>
      </w:pPr>
      <w:r>
        <w:rPr>
          <w:rFonts w:ascii="Arial" w:cs="Arial" w:eastAsia="Arial" w:hAnsi="Arial"/>
          <w:sz w:val="15"/>
          <w:szCs w:val="15"/>
          <w:color w:val="auto"/>
        </w:rPr>
        <w:t>The following table quantifies the potential payments upon termination or change of control that any of our NEOs would receive if the relevant termination event had occurred on December 31, 2025. The potential payments relating to vested and unvested stock options and full value awards include payments relating to cash incentive awards as well as options and full value awards.</w:t>
      </w:r>
    </w:p>
    <w:p>
      <w:pPr>
        <w:spacing w:after="0" w:line="83" w:lineRule="exact"/>
        <w:rPr>
          <w:sz w:val="20"/>
          <w:szCs w:val="20"/>
          <w:color w:val="auto"/>
        </w:rPr>
      </w:pPr>
    </w:p>
    <w:tbl>
      <w:tblPr>
        <w:tblLayout w:type="fixed"/>
        <w:tblInd w:w="210" w:type="dxa"/>
        <w:tblCellMar>
          <w:top w:w="0" w:type="dxa"/>
          <w:left w:w="0" w:type="dxa"/>
          <w:bottom w:w="0" w:type="dxa"/>
          <w:right w:w="0" w:type="dxa"/>
        </w:tblCellMar>
      </w:tblPr>
      <w:tr>
        <w:trPr>
          <w:trHeight w:val="210"/>
        </w:trPr>
        <w:tc>
          <w:tcPr>
            <w:tcW w:w="2360" w:type="dxa"/>
            <w:vAlign w:val="bottom"/>
            <w:tcBorders>
              <w:top w:val="single" w:sz="8" w:color="auto"/>
              <w:left w:val="single" w:sz="8" w:color="auto"/>
              <w:right w:val="single" w:sz="8" w:color="9AB956"/>
            </w:tcBorders>
            <w:shd w:val="clear" w:color="auto" w:fill="9AB956"/>
          </w:tcPr>
          <w:p>
            <w:pPr>
              <w:ind w:left="60"/>
              <w:spacing w:after="0"/>
              <w:rPr>
                <w:sz w:val="20"/>
                <w:szCs w:val="20"/>
                <w:color w:val="auto"/>
              </w:rPr>
            </w:pPr>
            <w:r>
              <w:rPr>
                <w:rFonts w:ascii="Arial" w:cs="Arial" w:eastAsia="Arial" w:hAnsi="Arial"/>
                <w:sz w:val="13"/>
                <w:szCs w:val="13"/>
                <w:b w:val="1"/>
                <w:bCs w:val="1"/>
                <w:color w:val="FFFFFF"/>
              </w:rPr>
              <w:t>Name and Principal Position</w:t>
            </w:r>
          </w:p>
        </w:tc>
        <w:tc>
          <w:tcPr>
            <w:tcW w:w="1980" w:type="dxa"/>
            <w:vAlign w:val="bottom"/>
            <w:tcBorders>
              <w:top w:val="single" w:sz="8" w:color="auto"/>
              <w:right w:val="single" w:sz="8" w:color="9AB956"/>
            </w:tcBorders>
            <w:shd w:val="clear" w:color="auto" w:fill="9AB956"/>
          </w:tcPr>
          <w:p>
            <w:pPr>
              <w:ind w:left="740"/>
              <w:spacing w:after="0"/>
              <w:rPr>
                <w:sz w:val="20"/>
                <w:szCs w:val="20"/>
                <w:color w:val="auto"/>
              </w:rPr>
            </w:pPr>
            <w:r>
              <w:rPr>
                <w:rFonts w:ascii="Arial" w:cs="Arial" w:eastAsia="Arial" w:hAnsi="Arial"/>
                <w:sz w:val="13"/>
                <w:szCs w:val="13"/>
                <w:b w:val="1"/>
                <w:bCs w:val="1"/>
                <w:color w:val="FFFFFF"/>
              </w:rPr>
              <w:t>Benefit</w:t>
            </w:r>
          </w:p>
        </w:tc>
        <w:tc>
          <w:tcPr>
            <w:tcW w:w="940" w:type="dxa"/>
            <w:vAlign w:val="bottom"/>
            <w:tcBorders>
              <w:top w:val="single" w:sz="8" w:color="auto"/>
              <w:right w:val="single" w:sz="8" w:color="9AB956"/>
            </w:tcBorders>
            <w:shd w:val="clear" w:color="auto" w:fill="9AB956"/>
          </w:tcPr>
          <w:p>
            <w:pPr>
              <w:jc w:val="right"/>
              <w:ind w:right="73"/>
              <w:spacing w:after="0"/>
              <w:rPr>
                <w:sz w:val="20"/>
                <w:szCs w:val="20"/>
                <w:color w:val="auto"/>
              </w:rPr>
            </w:pPr>
            <w:r>
              <w:rPr>
                <w:rFonts w:ascii="Arial" w:cs="Arial" w:eastAsia="Arial" w:hAnsi="Arial"/>
                <w:sz w:val="13"/>
                <w:szCs w:val="13"/>
                <w:b w:val="1"/>
                <w:bCs w:val="1"/>
                <w:color w:val="FFFFFF"/>
              </w:rPr>
              <w:t>Retirement</w:t>
            </w:r>
          </w:p>
        </w:tc>
        <w:tc>
          <w:tcPr>
            <w:tcW w:w="100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Termination</w:t>
            </w:r>
          </w:p>
        </w:tc>
        <w:tc>
          <w:tcPr>
            <w:tcW w:w="1200" w:type="dxa"/>
            <w:vAlign w:val="bottom"/>
            <w:tcBorders>
              <w:top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Termination in</w:t>
            </w:r>
          </w:p>
        </w:tc>
        <w:tc>
          <w:tcPr>
            <w:tcW w:w="1240" w:type="dxa"/>
            <w:vAlign w:val="bottom"/>
            <w:tcBorders>
              <w:top w:val="single" w:sz="8" w:color="auto"/>
              <w:right w:val="single" w:sz="8" w:color="auto"/>
            </w:tcBorders>
            <w:shd w:val="clear" w:color="auto" w:fill="9AB956"/>
          </w:tcPr>
          <w:p>
            <w:pPr>
              <w:jc w:val="right"/>
              <w:ind w:right="53"/>
              <w:spacing w:after="0"/>
              <w:rPr>
                <w:sz w:val="20"/>
                <w:szCs w:val="20"/>
                <w:color w:val="auto"/>
              </w:rPr>
            </w:pPr>
            <w:r>
              <w:rPr>
                <w:rFonts w:ascii="Arial" w:cs="Arial" w:eastAsia="Arial" w:hAnsi="Arial"/>
                <w:sz w:val="13"/>
                <w:szCs w:val="13"/>
                <w:b w:val="1"/>
                <w:bCs w:val="1"/>
                <w:color w:val="FFFFFF"/>
              </w:rPr>
              <w:t>Death in Service</w:t>
            </w:r>
          </w:p>
        </w:tc>
        <w:tc>
          <w:tcPr>
            <w:tcW w:w="0" w:type="dxa"/>
            <w:vAlign w:val="bottom"/>
          </w:tcPr>
          <w:p>
            <w:pPr>
              <w:spacing w:after="0"/>
              <w:rPr>
                <w:sz w:val="1"/>
                <w:szCs w:val="1"/>
                <w:color w:val="auto"/>
              </w:rPr>
            </w:pPr>
          </w:p>
        </w:tc>
      </w:tr>
      <w:tr>
        <w:trPr>
          <w:trHeight w:val="178"/>
        </w:trPr>
        <w:tc>
          <w:tcPr>
            <w:tcW w:w="2360" w:type="dxa"/>
            <w:vAlign w:val="bottom"/>
            <w:tcBorders>
              <w:left w:val="single" w:sz="8" w:color="auto"/>
              <w:right w:val="single" w:sz="8" w:color="9AB956"/>
            </w:tcBorders>
            <w:shd w:val="clear" w:color="auto" w:fill="9AB956"/>
          </w:tcPr>
          <w:p>
            <w:pPr>
              <w:spacing w:after="0"/>
              <w:rPr>
                <w:sz w:val="15"/>
                <w:szCs w:val="15"/>
                <w:color w:val="auto"/>
              </w:rPr>
            </w:pPr>
          </w:p>
        </w:tc>
        <w:tc>
          <w:tcPr>
            <w:tcW w:w="1980" w:type="dxa"/>
            <w:vAlign w:val="bottom"/>
            <w:tcBorders>
              <w:right w:val="single" w:sz="8" w:color="9AB956"/>
            </w:tcBorders>
            <w:shd w:val="clear" w:color="auto" w:fill="9AB956"/>
          </w:tcPr>
          <w:p>
            <w:pPr>
              <w:spacing w:after="0"/>
              <w:rPr>
                <w:sz w:val="15"/>
                <w:szCs w:val="15"/>
                <w:color w:val="auto"/>
              </w:rPr>
            </w:pPr>
          </w:p>
        </w:tc>
        <w:tc>
          <w:tcPr>
            <w:tcW w:w="940" w:type="dxa"/>
            <w:vAlign w:val="bottom"/>
            <w:tcBorders>
              <w:right w:val="single" w:sz="8" w:color="9AB956"/>
            </w:tcBorders>
            <w:shd w:val="clear" w:color="auto" w:fill="9AB956"/>
          </w:tcPr>
          <w:p>
            <w:pPr>
              <w:spacing w:after="0"/>
              <w:rPr>
                <w:sz w:val="15"/>
                <w:szCs w:val="15"/>
                <w:color w:val="auto"/>
              </w:rPr>
            </w:pPr>
          </w:p>
        </w:tc>
        <w:tc>
          <w:tcPr>
            <w:tcW w:w="10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without</w:t>
            </w:r>
          </w:p>
        </w:tc>
        <w:tc>
          <w:tcPr>
            <w:tcW w:w="12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event of Change</w:t>
            </w:r>
          </w:p>
        </w:tc>
        <w:tc>
          <w:tcPr>
            <w:tcW w:w="1240" w:type="dxa"/>
            <w:vAlign w:val="bottom"/>
            <w:tcBorders>
              <w:right w:val="single" w:sz="8" w:color="auto"/>
            </w:tcBorders>
            <w:shd w:val="clear" w:color="auto" w:fill="9AB956"/>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60" w:type="dxa"/>
            <w:vAlign w:val="bottom"/>
            <w:tcBorders>
              <w:left w:val="single" w:sz="8" w:color="auto"/>
              <w:right w:val="single" w:sz="8" w:color="9AB956"/>
            </w:tcBorders>
            <w:shd w:val="clear" w:color="auto" w:fill="9AB956"/>
          </w:tcPr>
          <w:p>
            <w:pPr>
              <w:spacing w:after="0"/>
              <w:rPr>
                <w:sz w:val="16"/>
                <w:szCs w:val="16"/>
                <w:color w:val="auto"/>
              </w:rPr>
            </w:pPr>
          </w:p>
        </w:tc>
        <w:tc>
          <w:tcPr>
            <w:tcW w:w="1980" w:type="dxa"/>
            <w:vAlign w:val="bottom"/>
            <w:tcBorders>
              <w:right w:val="single" w:sz="8" w:color="9AB956"/>
            </w:tcBorders>
            <w:shd w:val="clear" w:color="auto" w:fill="9AB956"/>
          </w:tcPr>
          <w:p>
            <w:pPr>
              <w:spacing w:after="0"/>
              <w:rPr>
                <w:sz w:val="16"/>
                <w:szCs w:val="16"/>
                <w:color w:val="auto"/>
              </w:rPr>
            </w:pPr>
          </w:p>
        </w:tc>
        <w:tc>
          <w:tcPr>
            <w:tcW w:w="940" w:type="dxa"/>
            <w:vAlign w:val="bottom"/>
            <w:tcBorders>
              <w:right w:val="single" w:sz="8" w:color="9AB956"/>
            </w:tcBorders>
            <w:shd w:val="clear" w:color="auto" w:fill="9AB956"/>
          </w:tcPr>
          <w:p>
            <w:pPr>
              <w:spacing w:after="0"/>
              <w:rPr>
                <w:sz w:val="16"/>
                <w:szCs w:val="16"/>
                <w:color w:val="auto"/>
              </w:rPr>
            </w:pPr>
          </w:p>
        </w:tc>
        <w:tc>
          <w:tcPr>
            <w:tcW w:w="10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cause</w:t>
            </w:r>
          </w:p>
        </w:tc>
        <w:tc>
          <w:tcPr>
            <w:tcW w:w="1200" w:type="dxa"/>
            <w:vAlign w:val="bottom"/>
            <w:tcBorders>
              <w:right w:val="single" w:sz="8" w:color="9AB956"/>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of Control</w:t>
            </w:r>
          </w:p>
        </w:tc>
        <w:tc>
          <w:tcPr>
            <w:tcW w:w="1240" w:type="dxa"/>
            <w:vAlign w:val="bottom"/>
            <w:tcBorders>
              <w:right w:val="single" w:sz="8" w:color="auto"/>
            </w:tcBorders>
            <w:shd w:val="clear" w:color="auto" w:fill="9AB956"/>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360" w:type="dxa"/>
            <w:vAlign w:val="bottom"/>
            <w:tcBorders>
              <w:left w:val="single" w:sz="8" w:color="auto"/>
              <w:bottom w:val="single" w:sz="8" w:color="auto"/>
              <w:right w:val="single" w:sz="8" w:color="9AB956"/>
            </w:tcBorders>
            <w:shd w:val="clear" w:color="auto" w:fill="9AB956"/>
          </w:tcPr>
          <w:p>
            <w:pPr>
              <w:spacing w:after="0"/>
              <w:rPr>
                <w:sz w:val="20"/>
                <w:szCs w:val="20"/>
                <w:color w:val="auto"/>
              </w:rPr>
            </w:pPr>
          </w:p>
        </w:tc>
        <w:tc>
          <w:tcPr>
            <w:tcW w:w="1980" w:type="dxa"/>
            <w:vAlign w:val="bottom"/>
            <w:tcBorders>
              <w:bottom w:val="single" w:sz="8" w:color="auto"/>
              <w:right w:val="single" w:sz="8" w:color="9AB956"/>
            </w:tcBorders>
            <w:shd w:val="clear" w:color="auto" w:fill="9AB956"/>
          </w:tcPr>
          <w:p>
            <w:pPr>
              <w:spacing w:after="0"/>
              <w:rPr>
                <w:sz w:val="20"/>
                <w:szCs w:val="20"/>
                <w:color w:val="auto"/>
              </w:rPr>
            </w:pPr>
          </w:p>
        </w:tc>
        <w:tc>
          <w:tcPr>
            <w:tcW w:w="940" w:type="dxa"/>
            <w:vAlign w:val="bottom"/>
            <w:tcBorders>
              <w:bottom w:val="single" w:sz="8" w:color="auto"/>
              <w:right w:val="single" w:sz="8" w:color="9AB956"/>
            </w:tcBorders>
            <w:shd w:val="clear" w:color="auto" w:fill="9AB956"/>
          </w:tcPr>
          <w:p>
            <w:pPr>
              <w:jc w:val="right"/>
              <w:ind w:right="353"/>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bottom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tcBorders>
              <w:bottom w:val="single" w:sz="8" w:color="auto"/>
              <w:right w:val="single" w:sz="8" w:color="9AB956"/>
            </w:tcBorders>
            <w:shd w:val="clear" w:color="auto" w:fill="9AB956"/>
          </w:tcPr>
          <w:p>
            <w:pPr>
              <w:jc w:val="center"/>
              <w:spacing w:after="0"/>
              <w:rPr>
                <w:sz w:val="20"/>
                <w:szCs w:val="20"/>
                <w:color w:val="auto"/>
              </w:rPr>
            </w:pPr>
            <w:r>
              <w:rPr>
                <w:rFonts w:ascii="Arial" w:cs="Arial" w:eastAsia="Arial" w:hAnsi="Arial"/>
                <w:sz w:val="13"/>
                <w:szCs w:val="13"/>
                <w:b w:val="1"/>
                <w:bCs w:val="1"/>
                <w:color w:val="FFFFFF"/>
              </w:rPr>
              <w:t>($)</w:t>
            </w:r>
          </w:p>
        </w:tc>
        <w:tc>
          <w:tcPr>
            <w:tcW w:w="1240" w:type="dxa"/>
            <w:vAlign w:val="bottom"/>
            <w:tcBorders>
              <w:bottom w:val="single" w:sz="8" w:color="auto"/>
              <w:right w:val="single" w:sz="8" w:color="auto"/>
            </w:tcBorders>
            <w:shd w:val="clear" w:color="auto" w:fill="9AB956"/>
          </w:tcPr>
          <w:p>
            <w:pPr>
              <w:jc w:val="right"/>
              <w:ind w:right="493"/>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Mr. Patrick S. Williams</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Cash Severance - Salary</w:t>
            </w:r>
          </w:p>
        </w:tc>
        <w:tc>
          <w:tcPr>
            <w:tcW w:w="9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President and Chief Executive</w:t>
            </w:r>
          </w:p>
        </w:tc>
        <w:tc>
          <w:tcPr>
            <w:tcW w:w="1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and benefits</w:t>
            </w:r>
          </w:p>
        </w:tc>
        <w:tc>
          <w:tcPr>
            <w:tcW w:w="9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1,354,500</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2,709,000</w:t>
            </w:r>
          </w:p>
        </w:tc>
        <w:tc>
          <w:tcPr>
            <w:tcW w:w="12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45"/>
        </w:trPr>
        <w:tc>
          <w:tcPr>
            <w:tcW w:w="23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color w:val="auto"/>
              </w:rPr>
              <w:t>Officer</w:t>
            </w:r>
          </w:p>
        </w:tc>
        <w:tc>
          <w:tcPr>
            <w:tcW w:w="1980" w:type="dxa"/>
            <w:vAlign w:val="bottom"/>
            <w:tcBorders>
              <w:right w:val="single" w:sz="8" w:color="auto"/>
            </w:tcBorders>
            <w:vMerge w:val="continue"/>
          </w:tcPr>
          <w:p>
            <w:pPr>
              <w:spacing w:after="0"/>
              <w:rPr>
                <w:sz w:val="3"/>
                <w:szCs w:val="3"/>
                <w:color w:val="auto"/>
              </w:rPr>
            </w:pPr>
          </w:p>
        </w:tc>
        <w:tc>
          <w:tcPr>
            <w:tcW w:w="940" w:type="dxa"/>
            <w:vAlign w:val="bottom"/>
            <w:tcBorders>
              <w:right w:val="single" w:sz="8" w:color="auto"/>
            </w:tcBorders>
            <w:vMerge w:val="continue"/>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360" w:type="dxa"/>
            <w:vAlign w:val="bottom"/>
            <w:tcBorders>
              <w:left w:val="single" w:sz="8" w:color="auto"/>
              <w:right w:val="single" w:sz="8" w:color="auto"/>
            </w:tcBorders>
            <w:vMerge w:val="continue"/>
          </w:tcPr>
          <w:p>
            <w:pPr>
              <w:spacing w:after="0"/>
              <w:rPr>
                <w:sz w:val="11"/>
                <w:szCs w:val="11"/>
                <w:color w:val="auto"/>
              </w:rPr>
            </w:pPr>
          </w:p>
        </w:tc>
        <w:tc>
          <w:tcPr>
            <w:tcW w:w="1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Cash Severance - Bonus</w:t>
            </w:r>
          </w:p>
        </w:tc>
        <w:tc>
          <w:tcPr>
            <w:tcW w:w="9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1,625,400</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3,250,800</w:t>
            </w:r>
          </w:p>
        </w:tc>
        <w:tc>
          <w:tcPr>
            <w:tcW w:w="12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89"/>
        </w:trPr>
        <w:tc>
          <w:tcPr>
            <w:tcW w:w="2360" w:type="dxa"/>
            <w:vAlign w:val="bottom"/>
            <w:tcBorders>
              <w:left w:val="single" w:sz="8" w:color="auto"/>
              <w:right w:val="single" w:sz="8" w:color="auto"/>
            </w:tcBorders>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Vested Equity</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Unvested Equity</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9,920,287</w:t>
            </w: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9,920,287</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Life Insurance</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239"/>
        </w:trPr>
        <w:tc>
          <w:tcPr>
            <w:tcW w:w="236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2,979,900</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15,880,087</w:t>
            </w:r>
          </w:p>
        </w:tc>
        <w:tc>
          <w:tcPr>
            <w:tcW w:w="12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10,670,287</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shd w:val="clear" w:color="auto" w:fill="F4F8EE"/>
          </w:tcPr>
          <w:p>
            <w:pPr>
              <w:ind w:left="60"/>
              <w:spacing w:after="0"/>
              <w:rPr>
                <w:sz w:val="20"/>
                <w:szCs w:val="20"/>
                <w:color w:val="auto"/>
              </w:rPr>
            </w:pPr>
            <w:r>
              <w:rPr>
                <w:rFonts w:ascii="Arial" w:cs="Arial" w:eastAsia="Arial" w:hAnsi="Arial"/>
                <w:sz w:val="13"/>
                <w:szCs w:val="13"/>
                <w:b w:val="1"/>
                <w:bCs w:val="1"/>
                <w:color w:val="auto"/>
              </w:rPr>
              <w:t>Mr. Ian P. Cleminson</w:t>
            </w:r>
          </w:p>
        </w:tc>
        <w:tc>
          <w:tcPr>
            <w:tcW w:w="1980" w:type="dxa"/>
            <w:vAlign w:val="bottom"/>
            <w:tcBorders>
              <w:right w:val="single" w:sz="8" w:color="auto"/>
            </w:tcBorders>
            <w:shd w:val="clear" w:color="auto" w:fill="F4F8EE"/>
          </w:tcPr>
          <w:p>
            <w:pPr>
              <w:ind w:left="20"/>
              <w:spacing w:after="0"/>
              <w:rPr>
                <w:sz w:val="20"/>
                <w:szCs w:val="20"/>
                <w:color w:val="auto"/>
              </w:rPr>
            </w:pPr>
            <w:r>
              <w:rPr>
                <w:rFonts w:ascii="Arial" w:cs="Arial" w:eastAsia="Arial" w:hAnsi="Arial"/>
                <w:sz w:val="13"/>
                <w:szCs w:val="13"/>
                <w:color w:val="auto"/>
              </w:rPr>
              <w:t>Cash Severance - Salary</w:t>
            </w:r>
          </w:p>
        </w:tc>
        <w:tc>
          <w:tcPr>
            <w:tcW w:w="940" w:type="dxa"/>
            <w:vAlign w:val="bottom"/>
            <w:tcBorders>
              <w:right w:val="single" w:sz="8" w:color="auto"/>
            </w:tcBorders>
            <w:shd w:val="clear" w:color="auto" w:fill="F4F8EE"/>
          </w:tcPr>
          <w:p>
            <w:pPr>
              <w:spacing w:after="0"/>
              <w:rPr>
                <w:sz w:val="17"/>
                <w:szCs w:val="17"/>
                <w:color w:val="auto"/>
              </w:rPr>
            </w:pPr>
          </w:p>
        </w:tc>
        <w:tc>
          <w:tcPr>
            <w:tcW w:w="1000" w:type="dxa"/>
            <w:vAlign w:val="bottom"/>
            <w:tcBorders>
              <w:right w:val="single" w:sz="8" w:color="auto"/>
            </w:tcBorders>
            <w:shd w:val="clear" w:color="auto" w:fill="F4F8EE"/>
          </w:tcPr>
          <w:p>
            <w:pPr>
              <w:spacing w:after="0"/>
              <w:rPr>
                <w:sz w:val="17"/>
                <w:szCs w:val="17"/>
                <w:color w:val="auto"/>
              </w:rPr>
            </w:pPr>
          </w:p>
        </w:tc>
        <w:tc>
          <w:tcPr>
            <w:tcW w:w="1200" w:type="dxa"/>
            <w:vAlign w:val="bottom"/>
            <w:tcBorders>
              <w:right w:val="single" w:sz="8" w:color="auto"/>
            </w:tcBorders>
            <w:shd w:val="clear" w:color="auto" w:fill="F4F8EE"/>
          </w:tcPr>
          <w:p>
            <w:pPr>
              <w:spacing w:after="0"/>
              <w:rPr>
                <w:sz w:val="17"/>
                <w:szCs w:val="17"/>
                <w:color w:val="auto"/>
              </w:rPr>
            </w:pPr>
          </w:p>
        </w:tc>
        <w:tc>
          <w:tcPr>
            <w:tcW w:w="1240" w:type="dxa"/>
            <w:vAlign w:val="bottom"/>
            <w:tcBorders>
              <w:right w:val="single" w:sz="8" w:color="auto"/>
            </w:tcBorders>
            <w:shd w:val="clear" w:color="auto" w:fill="F4F8E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60" w:type="dxa"/>
            <w:vAlign w:val="bottom"/>
            <w:tcBorders>
              <w:left w:val="single" w:sz="8" w:color="auto"/>
              <w:right w:val="single" w:sz="8" w:color="auto"/>
            </w:tcBorders>
            <w:shd w:val="clear" w:color="auto" w:fill="F4F8EE"/>
          </w:tcPr>
          <w:p>
            <w:pPr>
              <w:ind w:left="60"/>
              <w:spacing w:after="0"/>
              <w:rPr>
                <w:sz w:val="20"/>
                <w:szCs w:val="20"/>
                <w:color w:val="auto"/>
              </w:rPr>
            </w:pPr>
            <w:r>
              <w:rPr>
                <w:rFonts w:ascii="Arial" w:cs="Arial" w:eastAsia="Arial" w:hAnsi="Arial"/>
                <w:sz w:val="13"/>
                <w:szCs w:val="13"/>
                <w:color w:val="auto"/>
              </w:rPr>
              <w:t>Executive Vice President</w:t>
            </w:r>
          </w:p>
        </w:tc>
        <w:tc>
          <w:tcPr>
            <w:tcW w:w="1980" w:type="dxa"/>
            <w:vAlign w:val="bottom"/>
            <w:tcBorders>
              <w:right w:val="single" w:sz="8" w:color="auto"/>
            </w:tcBorders>
            <w:vMerge w:val="restart"/>
            <w:shd w:val="clear" w:color="auto" w:fill="F4F8EE"/>
          </w:tcPr>
          <w:p>
            <w:pPr>
              <w:ind w:left="20"/>
              <w:spacing w:after="0"/>
              <w:rPr>
                <w:sz w:val="20"/>
                <w:szCs w:val="20"/>
                <w:color w:val="auto"/>
              </w:rPr>
            </w:pPr>
            <w:r>
              <w:rPr>
                <w:rFonts w:ascii="Arial" w:cs="Arial" w:eastAsia="Arial" w:hAnsi="Arial"/>
                <w:sz w:val="13"/>
                <w:szCs w:val="13"/>
                <w:color w:val="auto"/>
              </w:rPr>
              <w:t>and benefits</w:t>
            </w:r>
          </w:p>
        </w:tc>
        <w:tc>
          <w:tcPr>
            <w:tcW w:w="940" w:type="dxa"/>
            <w:vAlign w:val="bottom"/>
            <w:tcBorders>
              <w:right w:val="single" w:sz="8" w:color="auto"/>
            </w:tcBorders>
            <w:vMerge w:val="restart"/>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shd w:val="clear" w:color="auto" w:fill="F4F8EE"/>
          </w:tcPr>
          <w:p>
            <w:pPr>
              <w:jc w:val="right"/>
              <w:spacing w:after="0"/>
              <w:rPr>
                <w:sz w:val="20"/>
                <w:szCs w:val="20"/>
                <w:color w:val="auto"/>
              </w:rPr>
            </w:pPr>
            <w:r>
              <w:rPr>
                <w:rFonts w:ascii="Arial" w:cs="Arial" w:eastAsia="Arial" w:hAnsi="Arial"/>
                <w:sz w:val="13"/>
                <w:szCs w:val="13"/>
                <w:color w:val="auto"/>
              </w:rPr>
              <w:t>563,358</w:t>
            </w:r>
          </w:p>
        </w:tc>
        <w:tc>
          <w:tcPr>
            <w:tcW w:w="1200" w:type="dxa"/>
            <w:vAlign w:val="bottom"/>
            <w:tcBorders>
              <w:right w:val="single" w:sz="8" w:color="auto"/>
            </w:tcBorders>
            <w:vMerge w:val="restart"/>
            <w:shd w:val="clear" w:color="auto" w:fill="F4F8EE"/>
          </w:tcPr>
          <w:p>
            <w:pPr>
              <w:jc w:val="right"/>
              <w:spacing w:after="0"/>
              <w:rPr>
                <w:sz w:val="20"/>
                <w:szCs w:val="20"/>
                <w:color w:val="auto"/>
              </w:rPr>
            </w:pPr>
            <w:r>
              <w:rPr>
                <w:rFonts w:ascii="Arial" w:cs="Arial" w:eastAsia="Arial" w:hAnsi="Arial"/>
                <w:sz w:val="13"/>
                <w:szCs w:val="13"/>
                <w:color w:val="auto"/>
              </w:rPr>
              <w:t>1,126,715</w:t>
            </w:r>
          </w:p>
        </w:tc>
        <w:tc>
          <w:tcPr>
            <w:tcW w:w="1240" w:type="dxa"/>
            <w:vAlign w:val="bottom"/>
            <w:tcBorders>
              <w:right w:val="single" w:sz="8" w:color="auto"/>
            </w:tcBorders>
            <w:vMerge w:val="restart"/>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45"/>
        </w:trPr>
        <w:tc>
          <w:tcPr>
            <w:tcW w:w="2360" w:type="dxa"/>
            <w:vAlign w:val="bottom"/>
            <w:tcBorders>
              <w:left w:val="single" w:sz="8" w:color="auto"/>
              <w:right w:val="single" w:sz="8" w:color="auto"/>
            </w:tcBorders>
            <w:vMerge w:val="restart"/>
            <w:shd w:val="clear" w:color="auto" w:fill="F4F8EE"/>
          </w:tcPr>
          <w:p>
            <w:pPr>
              <w:ind w:left="60"/>
              <w:spacing w:after="0"/>
              <w:rPr>
                <w:sz w:val="20"/>
                <w:szCs w:val="20"/>
                <w:color w:val="auto"/>
              </w:rPr>
            </w:pPr>
            <w:r>
              <w:rPr>
                <w:rFonts w:ascii="Arial" w:cs="Arial" w:eastAsia="Arial" w:hAnsi="Arial"/>
                <w:sz w:val="13"/>
                <w:szCs w:val="13"/>
                <w:color w:val="auto"/>
              </w:rPr>
              <w:t>and Chief Financial Officer</w:t>
            </w:r>
          </w:p>
        </w:tc>
        <w:tc>
          <w:tcPr>
            <w:tcW w:w="1980" w:type="dxa"/>
            <w:vAlign w:val="bottom"/>
            <w:tcBorders>
              <w:right w:val="single" w:sz="8" w:color="auto"/>
            </w:tcBorders>
            <w:vMerge w:val="continue"/>
            <w:shd w:val="clear" w:color="auto" w:fill="F4F8EE"/>
          </w:tcPr>
          <w:p>
            <w:pPr>
              <w:spacing w:after="0"/>
              <w:rPr>
                <w:sz w:val="3"/>
                <w:szCs w:val="3"/>
                <w:color w:val="auto"/>
              </w:rPr>
            </w:pPr>
          </w:p>
        </w:tc>
        <w:tc>
          <w:tcPr>
            <w:tcW w:w="940" w:type="dxa"/>
            <w:vAlign w:val="bottom"/>
            <w:tcBorders>
              <w:right w:val="single" w:sz="8" w:color="auto"/>
            </w:tcBorders>
            <w:vMerge w:val="continue"/>
            <w:shd w:val="clear" w:color="auto" w:fill="F4F8EE"/>
          </w:tcPr>
          <w:p>
            <w:pPr>
              <w:spacing w:after="0"/>
              <w:rPr>
                <w:sz w:val="3"/>
                <w:szCs w:val="3"/>
                <w:color w:val="auto"/>
              </w:rPr>
            </w:pPr>
          </w:p>
        </w:tc>
        <w:tc>
          <w:tcPr>
            <w:tcW w:w="1000" w:type="dxa"/>
            <w:vAlign w:val="bottom"/>
            <w:tcBorders>
              <w:right w:val="single" w:sz="8" w:color="auto"/>
            </w:tcBorders>
            <w:vMerge w:val="continue"/>
            <w:shd w:val="clear" w:color="auto" w:fill="F4F8EE"/>
          </w:tcPr>
          <w:p>
            <w:pPr>
              <w:spacing w:after="0"/>
              <w:rPr>
                <w:sz w:val="3"/>
                <w:szCs w:val="3"/>
                <w:color w:val="auto"/>
              </w:rPr>
            </w:pPr>
          </w:p>
        </w:tc>
        <w:tc>
          <w:tcPr>
            <w:tcW w:w="1200" w:type="dxa"/>
            <w:vAlign w:val="bottom"/>
            <w:tcBorders>
              <w:right w:val="single" w:sz="8" w:color="auto"/>
            </w:tcBorders>
            <w:vMerge w:val="continue"/>
            <w:shd w:val="clear" w:color="auto" w:fill="F4F8EE"/>
          </w:tcPr>
          <w:p>
            <w:pPr>
              <w:spacing w:after="0"/>
              <w:rPr>
                <w:sz w:val="3"/>
                <w:szCs w:val="3"/>
                <w:color w:val="auto"/>
              </w:rPr>
            </w:pPr>
          </w:p>
        </w:tc>
        <w:tc>
          <w:tcPr>
            <w:tcW w:w="1240" w:type="dxa"/>
            <w:vAlign w:val="bottom"/>
            <w:tcBorders>
              <w:right w:val="single" w:sz="8" w:color="auto"/>
            </w:tcBorders>
            <w:vMerge w:val="continue"/>
            <w:shd w:val="clear" w:color="auto" w:fill="F4F8E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360" w:type="dxa"/>
            <w:vAlign w:val="bottom"/>
            <w:tcBorders>
              <w:left w:val="single" w:sz="8" w:color="auto"/>
              <w:right w:val="single" w:sz="8" w:color="auto"/>
            </w:tcBorders>
            <w:vMerge w:val="continue"/>
            <w:shd w:val="clear" w:color="auto" w:fill="F4F8EE"/>
          </w:tcPr>
          <w:p>
            <w:pPr>
              <w:spacing w:after="0"/>
              <w:rPr>
                <w:sz w:val="11"/>
                <w:szCs w:val="11"/>
                <w:color w:val="auto"/>
              </w:rPr>
            </w:pPr>
          </w:p>
        </w:tc>
        <w:tc>
          <w:tcPr>
            <w:tcW w:w="1980" w:type="dxa"/>
            <w:vAlign w:val="bottom"/>
            <w:tcBorders>
              <w:right w:val="single" w:sz="8" w:color="auto"/>
            </w:tcBorders>
            <w:vMerge w:val="restart"/>
            <w:shd w:val="clear" w:color="auto" w:fill="F4F8EE"/>
          </w:tcPr>
          <w:p>
            <w:pPr>
              <w:ind w:left="20"/>
              <w:spacing w:after="0"/>
              <w:rPr>
                <w:sz w:val="20"/>
                <w:szCs w:val="20"/>
                <w:color w:val="auto"/>
              </w:rPr>
            </w:pPr>
            <w:r>
              <w:rPr>
                <w:rFonts w:ascii="Arial" w:cs="Arial" w:eastAsia="Arial" w:hAnsi="Arial"/>
                <w:sz w:val="13"/>
                <w:szCs w:val="13"/>
                <w:color w:val="auto"/>
              </w:rPr>
              <w:t>Cash Severance - Bonus</w:t>
            </w:r>
          </w:p>
        </w:tc>
        <w:tc>
          <w:tcPr>
            <w:tcW w:w="940" w:type="dxa"/>
            <w:vAlign w:val="bottom"/>
            <w:tcBorders>
              <w:right w:val="single" w:sz="8" w:color="auto"/>
            </w:tcBorders>
            <w:vMerge w:val="restart"/>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shd w:val="clear" w:color="auto" w:fill="F4F8EE"/>
          </w:tcPr>
          <w:p>
            <w:pPr>
              <w:jc w:val="right"/>
              <w:spacing w:after="0"/>
              <w:rPr>
                <w:sz w:val="20"/>
                <w:szCs w:val="20"/>
                <w:color w:val="auto"/>
              </w:rPr>
            </w:pPr>
            <w:r>
              <w:rPr>
                <w:rFonts w:ascii="Arial" w:cs="Arial" w:eastAsia="Arial" w:hAnsi="Arial"/>
                <w:sz w:val="13"/>
                <w:szCs w:val="13"/>
                <w:color w:val="auto"/>
              </w:rPr>
              <w:t>327,286</w:t>
            </w:r>
          </w:p>
        </w:tc>
        <w:tc>
          <w:tcPr>
            <w:tcW w:w="1200" w:type="dxa"/>
            <w:vAlign w:val="bottom"/>
            <w:tcBorders>
              <w:right w:val="single" w:sz="8" w:color="auto"/>
            </w:tcBorders>
            <w:vMerge w:val="restart"/>
            <w:shd w:val="clear" w:color="auto" w:fill="F4F8EE"/>
          </w:tcPr>
          <w:p>
            <w:pPr>
              <w:jc w:val="right"/>
              <w:spacing w:after="0"/>
              <w:rPr>
                <w:sz w:val="20"/>
                <w:szCs w:val="20"/>
                <w:color w:val="auto"/>
              </w:rPr>
            </w:pPr>
            <w:r>
              <w:rPr>
                <w:rFonts w:ascii="Arial" w:cs="Arial" w:eastAsia="Arial" w:hAnsi="Arial"/>
                <w:sz w:val="13"/>
                <w:szCs w:val="13"/>
                <w:color w:val="auto"/>
              </w:rPr>
              <w:t>654,571</w:t>
            </w:r>
          </w:p>
        </w:tc>
        <w:tc>
          <w:tcPr>
            <w:tcW w:w="1240" w:type="dxa"/>
            <w:vAlign w:val="bottom"/>
            <w:tcBorders>
              <w:right w:val="single" w:sz="8" w:color="auto"/>
            </w:tcBorders>
            <w:vMerge w:val="restart"/>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89"/>
        </w:trPr>
        <w:tc>
          <w:tcPr>
            <w:tcW w:w="2360" w:type="dxa"/>
            <w:vAlign w:val="bottom"/>
            <w:tcBorders>
              <w:left w:val="single" w:sz="8" w:color="auto"/>
              <w:right w:val="single" w:sz="8" w:color="auto"/>
            </w:tcBorders>
            <w:shd w:val="clear" w:color="auto" w:fill="F4F8EE"/>
          </w:tcPr>
          <w:p>
            <w:pPr>
              <w:spacing w:after="0"/>
              <w:rPr>
                <w:sz w:val="7"/>
                <w:szCs w:val="7"/>
                <w:color w:val="auto"/>
              </w:rPr>
            </w:pPr>
          </w:p>
        </w:tc>
        <w:tc>
          <w:tcPr>
            <w:tcW w:w="1980" w:type="dxa"/>
            <w:vAlign w:val="bottom"/>
            <w:tcBorders>
              <w:right w:val="single" w:sz="8" w:color="auto"/>
            </w:tcBorders>
            <w:vMerge w:val="continue"/>
            <w:shd w:val="clear" w:color="auto" w:fill="F4F8EE"/>
          </w:tcPr>
          <w:p>
            <w:pPr>
              <w:spacing w:after="0"/>
              <w:rPr>
                <w:sz w:val="7"/>
                <w:szCs w:val="7"/>
                <w:color w:val="auto"/>
              </w:rPr>
            </w:pPr>
          </w:p>
        </w:tc>
        <w:tc>
          <w:tcPr>
            <w:tcW w:w="940" w:type="dxa"/>
            <w:vAlign w:val="bottom"/>
            <w:tcBorders>
              <w:right w:val="single" w:sz="8" w:color="auto"/>
            </w:tcBorders>
            <w:vMerge w:val="continue"/>
            <w:shd w:val="clear" w:color="auto" w:fill="F4F8EE"/>
          </w:tcPr>
          <w:p>
            <w:pPr>
              <w:spacing w:after="0"/>
              <w:rPr>
                <w:sz w:val="7"/>
                <w:szCs w:val="7"/>
                <w:color w:val="auto"/>
              </w:rPr>
            </w:pPr>
          </w:p>
        </w:tc>
        <w:tc>
          <w:tcPr>
            <w:tcW w:w="1000" w:type="dxa"/>
            <w:vAlign w:val="bottom"/>
            <w:tcBorders>
              <w:right w:val="single" w:sz="8" w:color="auto"/>
            </w:tcBorders>
            <w:vMerge w:val="continue"/>
            <w:shd w:val="clear" w:color="auto" w:fill="F4F8EE"/>
          </w:tcPr>
          <w:p>
            <w:pPr>
              <w:spacing w:after="0"/>
              <w:rPr>
                <w:sz w:val="7"/>
                <w:szCs w:val="7"/>
                <w:color w:val="auto"/>
              </w:rPr>
            </w:pPr>
          </w:p>
        </w:tc>
        <w:tc>
          <w:tcPr>
            <w:tcW w:w="1200" w:type="dxa"/>
            <w:vAlign w:val="bottom"/>
            <w:tcBorders>
              <w:right w:val="single" w:sz="8" w:color="auto"/>
            </w:tcBorders>
            <w:vMerge w:val="continue"/>
            <w:shd w:val="clear" w:color="auto" w:fill="F4F8EE"/>
          </w:tcPr>
          <w:p>
            <w:pPr>
              <w:spacing w:after="0"/>
              <w:rPr>
                <w:sz w:val="7"/>
                <w:szCs w:val="7"/>
                <w:color w:val="auto"/>
              </w:rPr>
            </w:pPr>
          </w:p>
        </w:tc>
        <w:tc>
          <w:tcPr>
            <w:tcW w:w="1240" w:type="dxa"/>
            <w:vAlign w:val="bottom"/>
            <w:tcBorders>
              <w:right w:val="single" w:sz="8" w:color="auto"/>
            </w:tcBorders>
            <w:vMerge w:val="continue"/>
            <w:shd w:val="clear" w:color="auto" w:fill="F4F8E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shd w:val="clear" w:color="auto" w:fill="F4F8EE"/>
          </w:tcPr>
          <w:p>
            <w:pPr>
              <w:spacing w:after="0"/>
              <w:rPr>
                <w:sz w:val="19"/>
                <w:szCs w:val="19"/>
                <w:color w:val="auto"/>
              </w:rPr>
            </w:pPr>
          </w:p>
        </w:tc>
        <w:tc>
          <w:tcPr>
            <w:tcW w:w="1980" w:type="dxa"/>
            <w:vAlign w:val="bottom"/>
            <w:tcBorders>
              <w:right w:val="single" w:sz="8" w:color="auto"/>
            </w:tcBorders>
            <w:shd w:val="clear" w:color="auto" w:fill="F4F8EE"/>
          </w:tcPr>
          <w:p>
            <w:pPr>
              <w:ind w:left="20"/>
              <w:spacing w:after="0"/>
              <w:rPr>
                <w:sz w:val="20"/>
                <w:szCs w:val="20"/>
                <w:color w:val="auto"/>
              </w:rPr>
            </w:pPr>
            <w:r>
              <w:rPr>
                <w:rFonts w:ascii="Arial" w:cs="Arial" w:eastAsia="Arial" w:hAnsi="Arial"/>
                <w:sz w:val="13"/>
                <w:szCs w:val="13"/>
                <w:color w:val="auto"/>
              </w:rPr>
              <w:t>Vested Equity</w:t>
            </w:r>
          </w:p>
        </w:tc>
        <w:tc>
          <w:tcPr>
            <w:tcW w:w="94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109,782</w:t>
            </w:r>
          </w:p>
        </w:tc>
        <w:tc>
          <w:tcPr>
            <w:tcW w:w="124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109,782</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shd w:val="clear" w:color="auto" w:fill="F4F8EE"/>
          </w:tcPr>
          <w:p>
            <w:pPr>
              <w:spacing w:after="0"/>
              <w:rPr>
                <w:sz w:val="19"/>
                <w:szCs w:val="19"/>
                <w:color w:val="auto"/>
              </w:rPr>
            </w:pPr>
          </w:p>
        </w:tc>
        <w:tc>
          <w:tcPr>
            <w:tcW w:w="1980" w:type="dxa"/>
            <w:vAlign w:val="bottom"/>
            <w:tcBorders>
              <w:right w:val="single" w:sz="8" w:color="auto"/>
            </w:tcBorders>
            <w:shd w:val="clear" w:color="auto" w:fill="F4F8EE"/>
          </w:tcPr>
          <w:p>
            <w:pPr>
              <w:ind w:left="20"/>
              <w:spacing w:after="0"/>
              <w:rPr>
                <w:sz w:val="20"/>
                <w:szCs w:val="20"/>
                <w:color w:val="auto"/>
              </w:rPr>
            </w:pPr>
            <w:r>
              <w:rPr>
                <w:rFonts w:ascii="Arial" w:cs="Arial" w:eastAsia="Arial" w:hAnsi="Arial"/>
                <w:sz w:val="13"/>
                <w:szCs w:val="13"/>
                <w:color w:val="auto"/>
              </w:rPr>
              <w:t>Unvested Equity</w:t>
            </w:r>
          </w:p>
        </w:tc>
        <w:tc>
          <w:tcPr>
            <w:tcW w:w="94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1,624,311</w:t>
            </w:r>
          </w:p>
        </w:tc>
        <w:tc>
          <w:tcPr>
            <w:tcW w:w="124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1,624,311</w:t>
            </w:r>
          </w:p>
        </w:tc>
        <w:tc>
          <w:tcPr>
            <w:tcW w:w="0" w:type="dxa"/>
            <w:vAlign w:val="bottom"/>
          </w:tcPr>
          <w:p>
            <w:pPr>
              <w:spacing w:after="0"/>
              <w:rPr>
                <w:sz w:val="1"/>
                <w:szCs w:val="1"/>
                <w:color w:val="auto"/>
              </w:rPr>
            </w:pPr>
          </w:p>
        </w:tc>
      </w:tr>
      <w:tr>
        <w:trPr>
          <w:trHeight w:val="253"/>
        </w:trPr>
        <w:tc>
          <w:tcPr>
            <w:tcW w:w="2360" w:type="dxa"/>
            <w:vAlign w:val="bottom"/>
            <w:tcBorders>
              <w:left w:val="single" w:sz="8" w:color="auto"/>
              <w:bottom w:val="single" w:sz="8" w:color="F4F8EE"/>
              <w:right w:val="single" w:sz="8" w:color="auto"/>
            </w:tcBorders>
            <w:shd w:val="clear" w:color="auto" w:fill="F4F8EE"/>
          </w:tcPr>
          <w:p>
            <w:pPr>
              <w:spacing w:after="0"/>
              <w:rPr>
                <w:sz w:val="21"/>
                <w:szCs w:val="21"/>
                <w:color w:val="auto"/>
              </w:rPr>
            </w:pPr>
          </w:p>
        </w:tc>
        <w:tc>
          <w:tcPr>
            <w:tcW w:w="1980" w:type="dxa"/>
            <w:vAlign w:val="bottom"/>
            <w:tcBorders>
              <w:bottom w:val="single" w:sz="8" w:color="F4F8EE"/>
              <w:right w:val="single" w:sz="8" w:color="auto"/>
            </w:tcBorders>
            <w:shd w:val="clear" w:color="auto" w:fill="F4F8EE"/>
          </w:tcPr>
          <w:p>
            <w:pPr>
              <w:ind w:left="20"/>
              <w:spacing w:after="0"/>
              <w:rPr>
                <w:sz w:val="20"/>
                <w:szCs w:val="20"/>
                <w:color w:val="auto"/>
              </w:rPr>
            </w:pPr>
            <w:r>
              <w:rPr>
                <w:rFonts w:ascii="Arial" w:cs="Arial" w:eastAsia="Arial" w:hAnsi="Arial"/>
                <w:sz w:val="13"/>
                <w:szCs w:val="13"/>
                <w:color w:val="auto"/>
              </w:rPr>
              <w:t>Life Insurance</w:t>
            </w:r>
          </w:p>
        </w:tc>
        <w:tc>
          <w:tcPr>
            <w:tcW w:w="940" w:type="dxa"/>
            <w:vAlign w:val="bottom"/>
            <w:tcBorders>
              <w:bottom w:val="single" w:sz="8" w:color="F4F8EE"/>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bottom w:val="single" w:sz="8" w:color="F4F8EE"/>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bottom w:val="single" w:sz="8" w:color="F4F8EE"/>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F4F8EE"/>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3,272,857</w:t>
            </w:r>
          </w:p>
        </w:tc>
        <w:tc>
          <w:tcPr>
            <w:tcW w:w="0" w:type="dxa"/>
            <w:vAlign w:val="bottom"/>
          </w:tcPr>
          <w:p>
            <w:pPr>
              <w:spacing w:after="0"/>
              <w:rPr>
                <w:sz w:val="1"/>
                <w:szCs w:val="1"/>
                <w:color w:val="auto"/>
              </w:rPr>
            </w:pPr>
          </w:p>
        </w:tc>
      </w:tr>
      <w:tr>
        <w:trPr>
          <w:trHeight w:val="205"/>
        </w:trPr>
        <w:tc>
          <w:tcPr>
            <w:tcW w:w="2360" w:type="dxa"/>
            <w:vAlign w:val="bottom"/>
            <w:tcBorders>
              <w:top w:val="single" w:sz="8" w:color="F4F8EE"/>
              <w:left w:val="single" w:sz="8" w:color="auto"/>
              <w:bottom w:val="single" w:sz="8" w:color="auto"/>
              <w:right w:val="single" w:sz="8" w:color="auto"/>
            </w:tcBorders>
            <w:shd w:val="clear" w:color="auto" w:fill="F4F8EE"/>
          </w:tcPr>
          <w:p>
            <w:pPr>
              <w:spacing w:after="0"/>
              <w:rPr>
                <w:sz w:val="17"/>
                <w:szCs w:val="17"/>
                <w:color w:val="auto"/>
              </w:rPr>
            </w:pPr>
          </w:p>
        </w:tc>
        <w:tc>
          <w:tcPr>
            <w:tcW w:w="1980" w:type="dxa"/>
            <w:vAlign w:val="bottom"/>
            <w:tcBorders>
              <w:top w:val="single" w:sz="8" w:color="auto"/>
              <w:bottom w:val="single" w:sz="8" w:color="auto"/>
              <w:right w:val="single" w:sz="8" w:color="auto"/>
            </w:tcBorders>
            <w:shd w:val="clear" w:color="auto" w:fill="F4F8EE"/>
          </w:tcPr>
          <w:p>
            <w:pPr>
              <w:ind w:left="20"/>
              <w:spacing w:after="0"/>
              <w:rPr>
                <w:sz w:val="20"/>
                <w:szCs w:val="20"/>
                <w:color w:val="auto"/>
              </w:rPr>
            </w:pPr>
            <w:r>
              <w:rPr>
                <w:rFonts w:ascii="Arial" w:cs="Arial" w:eastAsia="Arial" w:hAnsi="Arial"/>
                <w:sz w:val="13"/>
                <w:szCs w:val="13"/>
                <w:b w:val="1"/>
                <w:bCs w:val="1"/>
                <w:color w:val="auto"/>
              </w:rPr>
              <w:t>Total</w:t>
            </w:r>
          </w:p>
        </w:tc>
        <w:tc>
          <w:tcPr>
            <w:tcW w:w="940" w:type="dxa"/>
            <w:vAlign w:val="bottom"/>
            <w:tcBorders>
              <w:top w:val="single" w:sz="8" w:color="auto"/>
              <w:bottom w:val="single" w:sz="8" w:color="auto"/>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b w:val="1"/>
                <w:bCs w:val="1"/>
                <w:color w:val="auto"/>
              </w:rPr>
              <w:t>0</w:t>
            </w:r>
          </w:p>
        </w:tc>
        <w:tc>
          <w:tcPr>
            <w:tcW w:w="1000" w:type="dxa"/>
            <w:vAlign w:val="bottom"/>
            <w:tcBorders>
              <w:top w:val="single" w:sz="8" w:color="auto"/>
              <w:bottom w:val="single" w:sz="8" w:color="auto"/>
              <w:right w:val="single" w:sz="8" w:color="auto"/>
            </w:tcBorders>
            <w:shd w:val="clear" w:color="auto" w:fill="F4F8EE"/>
          </w:tcPr>
          <w:p>
            <w:pPr>
              <w:jc w:val="right"/>
              <w:spacing w:after="0"/>
              <w:rPr>
                <w:sz w:val="20"/>
                <w:szCs w:val="20"/>
                <w:color w:val="auto"/>
              </w:rPr>
            </w:pPr>
            <w:r>
              <w:rPr>
                <w:rFonts w:ascii="Arial" w:cs="Arial" w:eastAsia="Arial" w:hAnsi="Arial"/>
                <w:sz w:val="13"/>
                <w:szCs w:val="13"/>
                <w:b w:val="1"/>
                <w:bCs w:val="1"/>
                <w:color w:val="auto"/>
              </w:rPr>
              <w:t>890,644</w:t>
            </w:r>
          </w:p>
        </w:tc>
        <w:tc>
          <w:tcPr>
            <w:tcW w:w="1200" w:type="dxa"/>
            <w:vAlign w:val="bottom"/>
            <w:tcBorders>
              <w:top w:val="single" w:sz="8" w:color="auto"/>
              <w:bottom w:val="single" w:sz="8" w:color="auto"/>
              <w:right w:val="single" w:sz="8" w:color="auto"/>
            </w:tcBorders>
            <w:shd w:val="clear" w:color="auto" w:fill="F4F8EE"/>
          </w:tcPr>
          <w:p>
            <w:pPr>
              <w:jc w:val="right"/>
              <w:spacing w:after="0"/>
              <w:rPr>
                <w:sz w:val="20"/>
                <w:szCs w:val="20"/>
                <w:color w:val="auto"/>
              </w:rPr>
            </w:pPr>
            <w:r>
              <w:rPr>
                <w:rFonts w:ascii="Arial" w:cs="Arial" w:eastAsia="Arial" w:hAnsi="Arial"/>
                <w:sz w:val="13"/>
                <w:szCs w:val="13"/>
                <w:b w:val="1"/>
                <w:bCs w:val="1"/>
                <w:color w:val="auto"/>
              </w:rPr>
              <w:t>3,515,379</w:t>
            </w:r>
          </w:p>
        </w:tc>
        <w:tc>
          <w:tcPr>
            <w:tcW w:w="1240" w:type="dxa"/>
            <w:vAlign w:val="bottom"/>
            <w:tcBorders>
              <w:top w:val="single" w:sz="8" w:color="auto"/>
              <w:bottom w:val="single" w:sz="8" w:color="auto"/>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b w:val="1"/>
                <w:bCs w:val="1"/>
                <w:color w:val="auto"/>
              </w:rPr>
              <w:t>5,006,950</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Dr. Ian M. McRobbie</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Cash Severance - Salary</w:t>
            </w:r>
          </w:p>
        </w:tc>
        <w:tc>
          <w:tcPr>
            <w:tcW w:w="9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Senior Vice President and</w:t>
            </w:r>
          </w:p>
        </w:tc>
        <w:tc>
          <w:tcPr>
            <w:tcW w:w="1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and benefits</w:t>
            </w:r>
          </w:p>
        </w:tc>
        <w:tc>
          <w:tcPr>
            <w:tcW w:w="9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355,681</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711,361</w:t>
            </w:r>
          </w:p>
        </w:tc>
        <w:tc>
          <w:tcPr>
            <w:tcW w:w="12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45"/>
        </w:trPr>
        <w:tc>
          <w:tcPr>
            <w:tcW w:w="23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color w:val="auto"/>
              </w:rPr>
              <w:t>Chief Technology Officer</w:t>
            </w:r>
          </w:p>
        </w:tc>
        <w:tc>
          <w:tcPr>
            <w:tcW w:w="1980" w:type="dxa"/>
            <w:vAlign w:val="bottom"/>
            <w:tcBorders>
              <w:right w:val="single" w:sz="8" w:color="auto"/>
            </w:tcBorders>
            <w:vMerge w:val="continue"/>
          </w:tcPr>
          <w:p>
            <w:pPr>
              <w:spacing w:after="0"/>
              <w:rPr>
                <w:sz w:val="3"/>
                <w:szCs w:val="3"/>
                <w:color w:val="auto"/>
              </w:rPr>
            </w:pPr>
          </w:p>
        </w:tc>
        <w:tc>
          <w:tcPr>
            <w:tcW w:w="940" w:type="dxa"/>
            <w:vAlign w:val="bottom"/>
            <w:tcBorders>
              <w:right w:val="single" w:sz="8" w:color="auto"/>
            </w:tcBorders>
            <w:vMerge w:val="continue"/>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360" w:type="dxa"/>
            <w:vAlign w:val="bottom"/>
            <w:tcBorders>
              <w:left w:val="single" w:sz="8" w:color="auto"/>
              <w:right w:val="single" w:sz="8" w:color="auto"/>
            </w:tcBorders>
            <w:vMerge w:val="continue"/>
          </w:tcPr>
          <w:p>
            <w:pPr>
              <w:spacing w:after="0"/>
              <w:rPr>
                <w:sz w:val="11"/>
                <w:szCs w:val="11"/>
                <w:color w:val="auto"/>
              </w:rPr>
            </w:pPr>
          </w:p>
        </w:tc>
        <w:tc>
          <w:tcPr>
            <w:tcW w:w="1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Cash Severance - Bonus</w:t>
            </w:r>
          </w:p>
        </w:tc>
        <w:tc>
          <w:tcPr>
            <w:tcW w:w="9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202,680</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405,359</w:t>
            </w:r>
          </w:p>
        </w:tc>
        <w:tc>
          <w:tcPr>
            <w:tcW w:w="12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89"/>
        </w:trPr>
        <w:tc>
          <w:tcPr>
            <w:tcW w:w="2360" w:type="dxa"/>
            <w:vAlign w:val="bottom"/>
            <w:tcBorders>
              <w:left w:val="single" w:sz="8" w:color="auto"/>
              <w:right w:val="single" w:sz="8" w:color="auto"/>
            </w:tcBorders>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Vested Equity</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16,542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16,542</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420,155</w:t>
            </w: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420,155</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Unvested Equity</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983,878</w:t>
            </w: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983,878</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Life Insurance</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2,026,795</w:t>
            </w:r>
          </w:p>
        </w:tc>
        <w:tc>
          <w:tcPr>
            <w:tcW w:w="0" w:type="dxa"/>
            <w:vAlign w:val="bottom"/>
          </w:tcPr>
          <w:p>
            <w:pPr>
              <w:spacing w:after="0"/>
              <w:rPr>
                <w:sz w:val="1"/>
                <w:szCs w:val="1"/>
                <w:color w:val="auto"/>
              </w:rPr>
            </w:pPr>
          </w:p>
        </w:tc>
      </w:tr>
      <w:tr>
        <w:trPr>
          <w:trHeight w:val="25"/>
        </w:trPr>
        <w:tc>
          <w:tcPr>
            <w:tcW w:w="2360" w:type="dxa"/>
            <w:vAlign w:val="bottom"/>
            <w:tcBorders>
              <w:left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16,542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574,903</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2,520,753</w:t>
            </w:r>
          </w:p>
        </w:tc>
        <w:tc>
          <w:tcPr>
            <w:tcW w:w="12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3,430,828</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shd w:val="clear" w:color="auto" w:fill="F4F8EE"/>
          </w:tcPr>
          <w:p>
            <w:pPr>
              <w:ind w:left="60"/>
              <w:spacing w:after="0"/>
              <w:rPr>
                <w:sz w:val="20"/>
                <w:szCs w:val="20"/>
                <w:color w:val="auto"/>
              </w:rPr>
            </w:pPr>
            <w:r>
              <w:rPr>
                <w:rFonts w:ascii="Arial" w:cs="Arial" w:eastAsia="Arial" w:hAnsi="Arial"/>
                <w:sz w:val="13"/>
                <w:szCs w:val="13"/>
                <w:b w:val="1"/>
                <w:bCs w:val="1"/>
                <w:color w:val="auto"/>
              </w:rPr>
              <w:t>Mr. Corbin Barnes</w:t>
            </w:r>
          </w:p>
        </w:tc>
        <w:tc>
          <w:tcPr>
            <w:tcW w:w="1980" w:type="dxa"/>
            <w:vAlign w:val="bottom"/>
            <w:tcBorders>
              <w:right w:val="single" w:sz="8" w:color="auto"/>
            </w:tcBorders>
            <w:shd w:val="clear" w:color="auto" w:fill="F4F8EE"/>
          </w:tcPr>
          <w:p>
            <w:pPr>
              <w:ind w:left="20"/>
              <w:spacing w:after="0"/>
              <w:rPr>
                <w:sz w:val="20"/>
                <w:szCs w:val="20"/>
                <w:color w:val="auto"/>
              </w:rPr>
            </w:pPr>
            <w:r>
              <w:rPr>
                <w:rFonts w:ascii="Arial" w:cs="Arial" w:eastAsia="Arial" w:hAnsi="Arial"/>
                <w:sz w:val="13"/>
                <w:szCs w:val="13"/>
                <w:color w:val="auto"/>
              </w:rPr>
              <w:t>Cash Severance - Salary</w:t>
            </w:r>
          </w:p>
        </w:tc>
        <w:tc>
          <w:tcPr>
            <w:tcW w:w="940" w:type="dxa"/>
            <w:vAlign w:val="bottom"/>
            <w:tcBorders>
              <w:right w:val="single" w:sz="8" w:color="auto"/>
            </w:tcBorders>
            <w:shd w:val="clear" w:color="auto" w:fill="F4F8EE"/>
          </w:tcPr>
          <w:p>
            <w:pPr>
              <w:spacing w:after="0"/>
              <w:rPr>
                <w:sz w:val="17"/>
                <w:szCs w:val="17"/>
                <w:color w:val="auto"/>
              </w:rPr>
            </w:pPr>
          </w:p>
        </w:tc>
        <w:tc>
          <w:tcPr>
            <w:tcW w:w="1000" w:type="dxa"/>
            <w:vAlign w:val="bottom"/>
            <w:tcBorders>
              <w:right w:val="single" w:sz="8" w:color="auto"/>
            </w:tcBorders>
            <w:shd w:val="clear" w:color="auto" w:fill="F4F8EE"/>
          </w:tcPr>
          <w:p>
            <w:pPr>
              <w:spacing w:after="0"/>
              <w:rPr>
                <w:sz w:val="17"/>
                <w:szCs w:val="17"/>
                <w:color w:val="auto"/>
              </w:rPr>
            </w:pPr>
          </w:p>
        </w:tc>
        <w:tc>
          <w:tcPr>
            <w:tcW w:w="1200" w:type="dxa"/>
            <w:vAlign w:val="bottom"/>
            <w:tcBorders>
              <w:right w:val="single" w:sz="8" w:color="auto"/>
            </w:tcBorders>
            <w:shd w:val="clear" w:color="auto" w:fill="F4F8EE"/>
          </w:tcPr>
          <w:p>
            <w:pPr>
              <w:spacing w:after="0"/>
              <w:rPr>
                <w:sz w:val="17"/>
                <w:szCs w:val="17"/>
                <w:color w:val="auto"/>
              </w:rPr>
            </w:pPr>
          </w:p>
        </w:tc>
        <w:tc>
          <w:tcPr>
            <w:tcW w:w="1240" w:type="dxa"/>
            <w:vAlign w:val="bottom"/>
            <w:tcBorders>
              <w:right w:val="single" w:sz="8" w:color="auto"/>
            </w:tcBorders>
            <w:shd w:val="clear" w:color="auto" w:fill="F4F8E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60" w:type="dxa"/>
            <w:vAlign w:val="bottom"/>
            <w:tcBorders>
              <w:left w:val="single" w:sz="8" w:color="auto"/>
              <w:right w:val="single" w:sz="8" w:color="auto"/>
            </w:tcBorders>
            <w:shd w:val="clear" w:color="auto" w:fill="F4F8EE"/>
          </w:tcPr>
          <w:p>
            <w:pPr>
              <w:ind w:left="60"/>
              <w:spacing w:after="0"/>
              <w:rPr>
                <w:sz w:val="20"/>
                <w:szCs w:val="20"/>
                <w:color w:val="auto"/>
              </w:rPr>
            </w:pPr>
            <w:r>
              <w:rPr>
                <w:rFonts w:ascii="Arial" w:cs="Arial" w:eastAsia="Arial" w:hAnsi="Arial"/>
                <w:sz w:val="13"/>
                <w:szCs w:val="13"/>
                <w:color w:val="auto"/>
              </w:rPr>
              <w:t>Senior Vice President, Corporate</w:t>
            </w:r>
          </w:p>
        </w:tc>
        <w:tc>
          <w:tcPr>
            <w:tcW w:w="1980" w:type="dxa"/>
            <w:vAlign w:val="bottom"/>
            <w:tcBorders>
              <w:right w:val="single" w:sz="8" w:color="auto"/>
            </w:tcBorders>
            <w:vMerge w:val="restart"/>
            <w:shd w:val="clear" w:color="auto" w:fill="F4F8EE"/>
          </w:tcPr>
          <w:p>
            <w:pPr>
              <w:ind w:left="20"/>
              <w:spacing w:after="0"/>
              <w:rPr>
                <w:sz w:val="20"/>
                <w:szCs w:val="20"/>
                <w:color w:val="auto"/>
              </w:rPr>
            </w:pPr>
            <w:r>
              <w:rPr>
                <w:rFonts w:ascii="Arial" w:cs="Arial" w:eastAsia="Arial" w:hAnsi="Arial"/>
                <w:sz w:val="13"/>
                <w:szCs w:val="13"/>
                <w:color w:val="auto"/>
              </w:rPr>
              <w:t>and benefits</w:t>
            </w:r>
          </w:p>
        </w:tc>
        <w:tc>
          <w:tcPr>
            <w:tcW w:w="940" w:type="dxa"/>
            <w:vAlign w:val="bottom"/>
            <w:tcBorders>
              <w:right w:val="single" w:sz="8" w:color="auto"/>
            </w:tcBorders>
            <w:vMerge w:val="restart"/>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shd w:val="clear" w:color="auto" w:fill="F4F8EE"/>
          </w:tcPr>
          <w:p>
            <w:pPr>
              <w:jc w:val="right"/>
              <w:spacing w:after="0"/>
              <w:rPr>
                <w:sz w:val="20"/>
                <w:szCs w:val="20"/>
                <w:color w:val="auto"/>
              </w:rPr>
            </w:pPr>
            <w:r>
              <w:rPr>
                <w:rFonts w:ascii="Arial" w:cs="Arial" w:eastAsia="Arial" w:hAnsi="Arial"/>
                <w:sz w:val="13"/>
                <w:szCs w:val="13"/>
                <w:color w:val="auto"/>
              </w:rPr>
              <w:t>352,231</w:t>
            </w:r>
          </w:p>
        </w:tc>
        <w:tc>
          <w:tcPr>
            <w:tcW w:w="1200" w:type="dxa"/>
            <w:vAlign w:val="bottom"/>
            <w:tcBorders>
              <w:right w:val="single" w:sz="8" w:color="auto"/>
            </w:tcBorders>
            <w:vMerge w:val="restart"/>
            <w:shd w:val="clear" w:color="auto" w:fill="F4F8EE"/>
          </w:tcPr>
          <w:p>
            <w:pPr>
              <w:jc w:val="right"/>
              <w:spacing w:after="0"/>
              <w:rPr>
                <w:sz w:val="20"/>
                <w:szCs w:val="20"/>
                <w:color w:val="auto"/>
              </w:rPr>
            </w:pPr>
            <w:r>
              <w:rPr>
                <w:rFonts w:ascii="Arial" w:cs="Arial" w:eastAsia="Arial" w:hAnsi="Arial"/>
                <w:sz w:val="13"/>
                <w:szCs w:val="13"/>
                <w:color w:val="auto"/>
              </w:rPr>
              <w:t>704,462</w:t>
            </w:r>
          </w:p>
        </w:tc>
        <w:tc>
          <w:tcPr>
            <w:tcW w:w="1240" w:type="dxa"/>
            <w:vAlign w:val="bottom"/>
            <w:tcBorders>
              <w:right w:val="single" w:sz="8" w:color="auto"/>
            </w:tcBorders>
            <w:vMerge w:val="restart"/>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45"/>
        </w:trPr>
        <w:tc>
          <w:tcPr>
            <w:tcW w:w="2360" w:type="dxa"/>
            <w:vAlign w:val="bottom"/>
            <w:tcBorders>
              <w:left w:val="single" w:sz="8" w:color="auto"/>
              <w:right w:val="single" w:sz="8" w:color="auto"/>
            </w:tcBorders>
            <w:vMerge w:val="restart"/>
            <w:shd w:val="clear" w:color="auto" w:fill="F4F8EE"/>
          </w:tcPr>
          <w:p>
            <w:pPr>
              <w:ind w:left="60"/>
              <w:spacing w:after="0"/>
              <w:rPr>
                <w:sz w:val="20"/>
                <w:szCs w:val="20"/>
                <w:color w:val="auto"/>
              </w:rPr>
            </w:pPr>
            <w:r>
              <w:rPr>
                <w:rFonts w:ascii="Arial" w:cs="Arial" w:eastAsia="Arial" w:hAnsi="Arial"/>
                <w:sz w:val="13"/>
                <w:szCs w:val="13"/>
                <w:color w:val="auto"/>
              </w:rPr>
              <w:t>Development and Investor Relations</w:t>
            </w:r>
          </w:p>
        </w:tc>
        <w:tc>
          <w:tcPr>
            <w:tcW w:w="1980" w:type="dxa"/>
            <w:vAlign w:val="bottom"/>
            <w:tcBorders>
              <w:right w:val="single" w:sz="8" w:color="auto"/>
            </w:tcBorders>
            <w:vMerge w:val="continue"/>
            <w:shd w:val="clear" w:color="auto" w:fill="F4F8EE"/>
          </w:tcPr>
          <w:p>
            <w:pPr>
              <w:spacing w:after="0"/>
              <w:rPr>
                <w:sz w:val="3"/>
                <w:szCs w:val="3"/>
                <w:color w:val="auto"/>
              </w:rPr>
            </w:pPr>
          </w:p>
        </w:tc>
        <w:tc>
          <w:tcPr>
            <w:tcW w:w="940" w:type="dxa"/>
            <w:vAlign w:val="bottom"/>
            <w:tcBorders>
              <w:right w:val="single" w:sz="8" w:color="auto"/>
            </w:tcBorders>
            <w:vMerge w:val="continue"/>
            <w:shd w:val="clear" w:color="auto" w:fill="F4F8EE"/>
          </w:tcPr>
          <w:p>
            <w:pPr>
              <w:spacing w:after="0"/>
              <w:rPr>
                <w:sz w:val="3"/>
                <w:szCs w:val="3"/>
                <w:color w:val="auto"/>
              </w:rPr>
            </w:pPr>
          </w:p>
        </w:tc>
        <w:tc>
          <w:tcPr>
            <w:tcW w:w="1000" w:type="dxa"/>
            <w:vAlign w:val="bottom"/>
            <w:tcBorders>
              <w:right w:val="single" w:sz="8" w:color="auto"/>
            </w:tcBorders>
            <w:vMerge w:val="continue"/>
            <w:shd w:val="clear" w:color="auto" w:fill="F4F8EE"/>
          </w:tcPr>
          <w:p>
            <w:pPr>
              <w:spacing w:after="0"/>
              <w:rPr>
                <w:sz w:val="3"/>
                <w:szCs w:val="3"/>
                <w:color w:val="auto"/>
              </w:rPr>
            </w:pPr>
          </w:p>
        </w:tc>
        <w:tc>
          <w:tcPr>
            <w:tcW w:w="1200" w:type="dxa"/>
            <w:vAlign w:val="bottom"/>
            <w:tcBorders>
              <w:right w:val="single" w:sz="8" w:color="auto"/>
            </w:tcBorders>
            <w:vMerge w:val="continue"/>
            <w:shd w:val="clear" w:color="auto" w:fill="F4F8EE"/>
          </w:tcPr>
          <w:p>
            <w:pPr>
              <w:spacing w:after="0"/>
              <w:rPr>
                <w:sz w:val="3"/>
                <w:szCs w:val="3"/>
                <w:color w:val="auto"/>
              </w:rPr>
            </w:pPr>
          </w:p>
        </w:tc>
        <w:tc>
          <w:tcPr>
            <w:tcW w:w="1240" w:type="dxa"/>
            <w:vAlign w:val="bottom"/>
            <w:tcBorders>
              <w:right w:val="single" w:sz="8" w:color="auto"/>
            </w:tcBorders>
            <w:vMerge w:val="continue"/>
            <w:shd w:val="clear" w:color="auto" w:fill="F4F8E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360" w:type="dxa"/>
            <w:vAlign w:val="bottom"/>
            <w:tcBorders>
              <w:left w:val="single" w:sz="8" w:color="auto"/>
              <w:right w:val="single" w:sz="8" w:color="auto"/>
            </w:tcBorders>
            <w:vMerge w:val="continue"/>
            <w:shd w:val="clear" w:color="auto" w:fill="F4F8EE"/>
          </w:tcPr>
          <w:p>
            <w:pPr>
              <w:spacing w:after="0"/>
              <w:rPr>
                <w:sz w:val="11"/>
                <w:szCs w:val="11"/>
                <w:color w:val="auto"/>
              </w:rPr>
            </w:pPr>
          </w:p>
        </w:tc>
        <w:tc>
          <w:tcPr>
            <w:tcW w:w="1980" w:type="dxa"/>
            <w:vAlign w:val="bottom"/>
            <w:tcBorders>
              <w:right w:val="single" w:sz="8" w:color="auto"/>
            </w:tcBorders>
            <w:vMerge w:val="restart"/>
            <w:shd w:val="clear" w:color="auto" w:fill="F4F8EE"/>
          </w:tcPr>
          <w:p>
            <w:pPr>
              <w:ind w:left="20"/>
              <w:spacing w:after="0"/>
              <w:rPr>
                <w:sz w:val="20"/>
                <w:szCs w:val="20"/>
                <w:color w:val="auto"/>
              </w:rPr>
            </w:pPr>
            <w:r>
              <w:rPr>
                <w:rFonts w:ascii="Arial" w:cs="Arial" w:eastAsia="Arial" w:hAnsi="Arial"/>
                <w:sz w:val="13"/>
                <w:szCs w:val="13"/>
                <w:color w:val="auto"/>
              </w:rPr>
              <w:t>Cash Severance - Bonus</w:t>
            </w:r>
          </w:p>
        </w:tc>
        <w:tc>
          <w:tcPr>
            <w:tcW w:w="940" w:type="dxa"/>
            <w:vAlign w:val="bottom"/>
            <w:tcBorders>
              <w:right w:val="single" w:sz="8" w:color="auto"/>
            </w:tcBorders>
            <w:vMerge w:val="restart"/>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shd w:val="clear" w:color="auto" w:fill="F4F8EE"/>
          </w:tcPr>
          <w:p>
            <w:pPr>
              <w:jc w:val="right"/>
              <w:spacing w:after="0"/>
              <w:rPr>
                <w:sz w:val="20"/>
                <w:szCs w:val="20"/>
                <w:color w:val="auto"/>
              </w:rPr>
            </w:pPr>
            <w:r>
              <w:rPr>
                <w:rFonts w:ascii="Arial" w:cs="Arial" w:eastAsia="Arial" w:hAnsi="Arial"/>
                <w:sz w:val="13"/>
                <w:szCs w:val="13"/>
                <w:color w:val="auto"/>
              </w:rPr>
              <w:t>211,339</w:t>
            </w:r>
          </w:p>
        </w:tc>
        <w:tc>
          <w:tcPr>
            <w:tcW w:w="1200" w:type="dxa"/>
            <w:vAlign w:val="bottom"/>
            <w:tcBorders>
              <w:right w:val="single" w:sz="8" w:color="auto"/>
            </w:tcBorders>
            <w:vMerge w:val="restart"/>
            <w:shd w:val="clear" w:color="auto" w:fill="F4F8EE"/>
          </w:tcPr>
          <w:p>
            <w:pPr>
              <w:jc w:val="right"/>
              <w:spacing w:after="0"/>
              <w:rPr>
                <w:sz w:val="20"/>
                <w:szCs w:val="20"/>
                <w:color w:val="auto"/>
              </w:rPr>
            </w:pPr>
            <w:r>
              <w:rPr>
                <w:rFonts w:ascii="Arial" w:cs="Arial" w:eastAsia="Arial" w:hAnsi="Arial"/>
                <w:sz w:val="13"/>
                <w:szCs w:val="13"/>
                <w:color w:val="auto"/>
              </w:rPr>
              <w:t>422,677</w:t>
            </w:r>
          </w:p>
        </w:tc>
        <w:tc>
          <w:tcPr>
            <w:tcW w:w="1240" w:type="dxa"/>
            <w:vAlign w:val="bottom"/>
            <w:tcBorders>
              <w:right w:val="single" w:sz="8" w:color="auto"/>
            </w:tcBorders>
            <w:vMerge w:val="restart"/>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89"/>
        </w:trPr>
        <w:tc>
          <w:tcPr>
            <w:tcW w:w="2360" w:type="dxa"/>
            <w:vAlign w:val="bottom"/>
            <w:tcBorders>
              <w:left w:val="single" w:sz="8" w:color="auto"/>
              <w:right w:val="single" w:sz="8" w:color="auto"/>
            </w:tcBorders>
            <w:shd w:val="clear" w:color="auto" w:fill="F4F8EE"/>
          </w:tcPr>
          <w:p>
            <w:pPr>
              <w:spacing w:after="0"/>
              <w:rPr>
                <w:sz w:val="7"/>
                <w:szCs w:val="7"/>
                <w:color w:val="auto"/>
              </w:rPr>
            </w:pPr>
          </w:p>
        </w:tc>
        <w:tc>
          <w:tcPr>
            <w:tcW w:w="1980" w:type="dxa"/>
            <w:vAlign w:val="bottom"/>
            <w:tcBorders>
              <w:right w:val="single" w:sz="8" w:color="auto"/>
            </w:tcBorders>
            <w:vMerge w:val="continue"/>
            <w:shd w:val="clear" w:color="auto" w:fill="F4F8EE"/>
          </w:tcPr>
          <w:p>
            <w:pPr>
              <w:spacing w:after="0"/>
              <w:rPr>
                <w:sz w:val="7"/>
                <w:szCs w:val="7"/>
                <w:color w:val="auto"/>
              </w:rPr>
            </w:pPr>
          </w:p>
        </w:tc>
        <w:tc>
          <w:tcPr>
            <w:tcW w:w="940" w:type="dxa"/>
            <w:vAlign w:val="bottom"/>
            <w:tcBorders>
              <w:right w:val="single" w:sz="8" w:color="auto"/>
            </w:tcBorders>
            <w:vMerge w:val="continue"/>
            <w:shd w:val="clear" w:color="auto" w:fill="F4F8EE"/>
          </w:tcPr>
          <w:p>
            <w:pPr>
              <w:spacing w:after="0"/>
              <w:rPr>
                <w:sz w:val="7"/>
                <w:szCs w:val="7"/>
                <w:color w:val="auto"/>
              </w:rPr>
            </w:pPr>
          </w:p>
        </w:tc>
        <w:tc>
          <w:tcPr>
            <w:tcW w:w="1000" w:type="dxa"/>
            <w:vAlign w:val="bottom"/>
            <w:tcBorders>
              <w:right w:val="single" w:sz="8" w:color="auto"/>
            </w:tcBorders>
            <w:vMerge w:val="continue"/>
            <w:shd w:val="clear" w:color="auto" w:fill="F4F8EE"/>
          </w:tcPr>
          <w:p>
            <w:pPr>
              <w:spacing w:after="0"/>
              <w:rPr>
                <w:sz w:val="7"/>
                <w:szCs w:val="7"/>
                <w:color w:val="auto"/>
              </w:rPr>
            </w:pPr>
          </w:p>
        </w:tc>
        <w:tc>
          <w:tcPr>
            <w:tcW w:w="1200" w:type="dxa"/>
            <w:vAlign w:val="bottom"/>
            <w:tcBorders>
              <w:right w:val="single" w:sz="8" w:color="auto"/>
            </w:tcBorders>
            <w:vMerge w:val="continue"/>
            <w:shd w:val="clear" w:color="auto" w:fill="F4F8EE"/>
          </w:tcPr>
          <w:p>
            <w:pPr>
              <w:spacing w:after="0"/>
              <w:rPr>
                <w:sz w:val="7"/>
                <w:szCs w:val="7"/>
                <w:color w:val="auto"/>
              </w:rPr>
            </w:pPr>
          </w:p>
        </w:tc>
        <w:tc>
          <w:tcPr>
            <w:tcW w:w="1240" w:type="dxa"/>
            <w:vAlign w:val="bottom"/>
            <w:tcBorders>
              <w:right w:val="single" w:sz="8" w:color="auto"/>
            </w:tcBorders>
            <w:vMerge w:val="continue"/>
            <w:shd w:val="clear" w:color="auto" w:fill="F4F8E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shd w:val="clear" w:color="auto" w:fill="F4F8EE"/>
          </w:tcPr>
          <w:p>
            <w:pPr>
              <w:spacing w:after="0"/>
              <w:rPr>
                <w:sz w:val="19"/>
                <w:szCs w:val="19"/>
                <w:color w:val="auto"/>
              </w:rPr>
            </w:pPr>
          </w:p>
        </w:tc>
        <w:tc>
          <w:tcPr>
            <w:tcW w:w="1980" w:type="dxa"/>
            <w:vAlign w:val="bottom"/>
            <w:tcBorders>
              <w:right w:val="single" w:sz="8" w:color="auto"/>
            </w:tcBorders>
            <w:shd w:val="clear" w:color="auto" w:fill="F4F8EE"/>
          </w:tcPr>
          <w:p>
            <w:pPr>
              <w:ind w:left="20"/>
              <w:spacing w:after="0"/>
              <w:rPr>
                <w:sz w:val="20"/>
                <w:szCs w:val="20"/>
                <w:color w:val="auto"/>
              </w:rPr>
            </w:pPr>
            <w:r>
              <w:rPr>
                <w:rFonts w:ascii="Arial" w:cs="Arial" w:eastAsia="Arial" w:hAnsi="Arial"/>
                <w:sz w:val="13"/>
                <w:szCs w:val="13"/>
                <w:color w:val="auto"/>
              </w:rPr>
              <w:t>Vested Equity</w:t>
            </w:r>
          </w:p>
        </w:tc>
        <w:tc>
          <w:tcPr>
            <w:tcW w:w="94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0</w:t>
            </w:r>
          </w:p>
        </w:tc>
        <w:tc>
          <w:tcPr>
            <w:tcW w:w="124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shd w:val="clear" w:color="auto" w:fill="F4F8EE"/>
          </w:tcPr>
          <w:p>
            <w:pPr>
              <w:spacing w:after="0"/>
              <w:rPr>
                <w:sz w:val="19"/>
                <w:szCs w:val="19"/>
                <w:color w:val="auto"/>
              </w:rPr>
            </w:pPr>
          </w:p>
        </w:tc>
        <w:tc>
          <w:tcPr>
            <w:tcW w:w="1980" w:type="dxa"/>
            <w:vAlign w:val="bottom"/>
            <w:tcBorders>
              <w:right w:val="single" w:sz="8" w:color="auto"/>
            </w:tcBorders>
            <w:shd w:val="clear" w:color="auto" w:fill="F4F8EE"/>
          </w:tcPr>
          <w:p>
            <w:pPr>
              <w:ind w:left="20"/>
              <w:spacing w:after="0"/>
              <w:rPr>
                <w:sz w:val="20"/>
                <w:szCs w:val="20"/>
                <w:color w:val="auto"/>
              </w:rPr>
            </w:pPr>
            <w:r>
              <w:rPr>
                <w:rFonts w:ascii="Arial" w:cs="Arial" w:eastAsia="Arial" w:hAnsi="Arial"/>
                <w:sz w:val="13"/>
                <w:szCs w:val="13"/>
                <w:color w:val="auto"/>
              </w:rPr>
              <w:t>Unvested Equity</w:t>
            </w:r>
          </w:p>
        </w:tc>
        <w:tc>
          <w:tcPr>
            <w:tcW w:w="94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1,041,889</w:t>
            </w:r>
          </w:p>
        </w:tc>
        <w:tc>
          <w:tcPr>
            <w:tcW w:w="1240" w:type="dxa"/>
            <w:vAlign w:val="bottom"/>
            <w:tcBorders>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1,041,889</w:t>
            </w:r>
          </w:p>
        </w:tc>
        <w:tc>
          <w:tcPr>
            <w:tcW w:w="0" w:type="dxa"/>
            <w:vAlign w:val="bottom"/>
          </w:tcPr>
          <w:p>
            <w:pPr>
              <w:spacing w:after="0"/>
              <w:rPr>
                <w:sz w:val="1"/>
                <w:szCs w:val="1"/>
                <w:color w:val="auto"/>
              </w:rPr>
            </w:pPr>
          </w:p>
        </w:tc>
      </w:tr>
      <w:tr>
        <w:trPr>
          <w:trHeight w:val="253"/>
        </w:trPr>
        <w:tc>
          <w:tcPr>
            <w:tcW w:w="2360" w:type="dxa"/>
            <w:vAlign w:val="bottom"/>
            <w:tcBorders>
              <w:left w:val="single" w:sz="8" w:color="auto"/>
              <w:bottom w:val="single" w:sz="8" w:color="F4F8EE"/>
              <w:right w:val="single" w:sz="8" w:color="auto"/>
            </w:tcBorders>
            <w:shd w:val="clear" w:color="auto" w:fill="F4F8EE"/>
          </w:tcPr>
          <w:p>
            <w:pPr>
              <w:spacing w:after="0"/>
              <w:rPr>
                <w:sz w:val="21"/>
                <w:szCs w:val="21"/>
                <w:color w:val="auto"/>
              </w:rPr>
            </w:pPr>
          </w:p>
        </w:tc>
        <w:tc>
          <w:tcPr>
            <w:tcW w:w="1980" w:type="dxa"/>
            <w:vAlign w:val="bottom"/>
            <w:tcBorders>
              <w:bottom w:val="single" w:sz="8" w:color="F4F8EE"/>
              <w:right w:val="single" w:sz="8" w:color="auto"/>
            </w:tcBorders>
            <w:shd w:val="clear" w:color="auto" w:fill="F4F8EE"/>
          </w:tcPr>
          <w:p>
            <w:pPr>
              <w:ind w:left="20"/>
              <w:spacing w:after="0"/>
              <w:rPr>
                <w:sz w:val="20"/>
                <w:szCs w:val="20"/>
                <w:color w:val="auto"/>
              </w:rPr>
            </w:pPr>
            <w:r>
              <w:rPr>
                <w:rFonts w:ascii="Arial" w:cs="Arial" w:eastAsia="Arial" w:hAnsi="Arial"/>
                <w:sz w:val="13"/>
                <w:szCs w:val="13"/>
                <w:color w:val="auto"/>
              </w:rPr>
              <w:t>Life Insurance</w:t>
            </w:r>
          </w:p>
        </w:tc>
        <w:tc>
          <w:tcPr>
            <w:tcW w:w="940" w:type="dxa"/>
            <w:vAlign w:val="bottom"/>
            <w:tcBorders>
              <w:bottom w:val="single" w:sz="8" w:color="F4F8EE"/>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bottom w:val="single" w:sz="8" w:color="F4F8EE"/>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bottom w:val="single" w:sz="8" w:color="F4F8EE"/>
              <w:right w:val="single" w:sz="8" w:color="auto"/>
            </w:tcBorders>
            <w:shd w:val="clear" w:color="auto" w:fill="F4F8EE"/>
          </w:tcPr>
          <w:p>
            <w:pPr>
              <w:jc w:val="right"/>
              <w:spacing w:after="0"/>
              <w:rPr>
                <w:sz w:val="20"/>
                <w:szCs w:val="20"/>
                <w:color w:val="auto"/>
              </w:rPr>
            </w:pPr>
            <w:r>
              <w:rPr>
                <w:rFonts w:ascii="Arial" w:cs="Arial" w:eastAsia="Arial" w:hAnsi="Arial"/>
                <w:sz w:val="13"/>
                <w:szCs w:val="13"/>
                <w:color w:val="auto"/>
              </w:rPr>
              <w:t>0</w:t>
            </w:r>
          </w:p>
        </w:tc>
        <w:tc>
          <w:tcPr>
            <w:tcW w:w="1240" w:type="dxa"/>
            <w:vAlign w:val="bottom"/>
            <w:tcBorders>
              <w:bottom w:val="single" w:sz="8" w:color="F4F8EE"/>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205"/>
        </w:trPr>
        <w:tc>
          <w:tcPr>
            <w:tcW w:w="2360" w:type="dxa"/>
            <w:vAlign w:val="bottom"/>
            <w:tcBorders>
              <w:top w:val="single" w:sz="8" w:color="F4F8EE"/>
              <w:left w:val="single" w:sz="8" w:color="auto"/>
              <w:bottom w:val="single" w:sz="8" w:color="auto"/>
              <w:right w:val="single" w:sz="8" w:color="auto"/>
            </w:tcBorders>
            <w:shd w:val="clear" w:color="auto" w:fill="F4F8EE"/>
          </w:tcPr>
          <w:p>
            <w:pPr>
              <w:spacing w:after="0"/>
              <w:rPr>
                <w:sz w:val="17"/>
                <w:szCs w:val="17"/>
                <w:color w:val="auto"/>
              </w:rPr>
            </w:pPr>
          </w:p>
        </w:tc>
        <w:tc>
          <w:tcPr>
            <w:tcW w:w="1980" w:type="dxa"/>
            <w:vAlign w:val="bottom"/>
            <w:tcBorders>
              <w:top w:val="single" w:sz="8" w:color="auto"/>
              <w:bottom w:val="single" w:sz="8" w:color="auto"/>
              <w:right w:val="single" w:sz="8" w:color="auto"/>
            </w:tcBorders>
            <w:shd w:val="clear" w:color="auto" w:fill="F4F8EE"/>
          </w:tcPr>
          <w:p>
            <w:pPr>
              <w:ind w:left="20"/>
              <w:spacing w:after="0"/>
              <w:rPr>
                <w:sz w:val="20"/>
                <w:szCs w:val="20"/>
                <w:color w:val="auto"/>
              </w:rPr>
            </w:pPr>
            <w:r>
              <w:rPr>
                <w:rFonts w:ascii="Arial" w:cs="Arial" w:eastAsia="Arial" w:hAnsi="Arial"/>
                <w:sz w:val="13"/>
                <w:szCs w:val="13"/>
                <w:b w:val="1"/>
                <w:bCs w:val="1"/>
                <w:color w:val="auto"/>
              </w:rPr>
              <w:t>Total</w:t>
            </w:r>
          </w:p>
        </w:tc>
        <w:tc>
          <w:tcPr>
            <w:tcW w:w="940" w:type="dxa"/>
            <w:vAlign w:val="bottom"/>
            <w:tcBorders>
              <w:top w:val="single" w:sz="8" w:color="auto"/>
              <w:bottom w:val="single" w:sz="8" w:color="auto"/>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b w:val="1"/>
                <w:bCs w:val="1"/>
                <w:color w:val="auto"/>
              </w:rPr>
              <w:t>0</w:t>
            </w:r>
          </w:p>
        </w:tc>
        <w:tc>
          <w:tcPr>
            <w:tcW w:w="1000" w:type="dxa"/>
            <w:vAlign w:val="bottom"/>
            <w:tcBorders>
              <w:top w:val="single" w:sz="8" w:color="auto"/>
              <w:bottom w:val="single" w:sz="8" w:color="auto"/>
              <w:right w:val="single" w:sz="8" w:color="auto"/>
            </w:tcBorders>
            <w:shd w:val="clear" w:color="auto" w:fill="F4F8EE"/>
          </w:tcPr>
          <w:p>
            <w:pPr>
              <w:jc w:val="right"/>
              <w:spacing w:after="0"/>
              <w:rPr>
                <w:sz w:val="20"/>
                <w:szCs w:val="20"/>
                <w:color w:val="auto"/>
              </w:rPr>
            </w:pPr>
            <w:r>
              <w:rPr>
                <w:rFonts w:ascii="Arial" w:cs="Arial" w:eastAsia="Arial" w:hAnsi="Arial"/>
                <w:sz w:val="13"/>
                <w:szCs w:val="13"/>
                <w:b w:val="1"/>
                <w:bCs w:val="1"/>
                <w:color w:val="auto"/>
              </w:rPr>
              <w:t>563,570</w:t>
            </w:r>
          </w:p>
        </w:tc>
        <w:tc>
          <w:tcPr>
            <w:tcW w:w="1200" w:type="dxa"/>
            <w:vAlign w:val="bottom"/>
            <w:tcBorders>
              <w:top w:val="single" w:sz="8" w:color="auto"/>
              <w:bottom w:val="single" w:sz="8" w:color="auto"/>
              <w:right w:val="single" w:sz="8" w:color="auto"/>
            </w:tcBorders>
            <w:shd w:val="clear" w:color="auto" w:fill="F4F8EE"/>
          </w:tcPr>
          <w:p>
            <w:pPr>
              <w:jc w:val="right"/>
              <w:spacing w:after="0"/>
              <w:rPr>
                <w:sz w:val="20"/>
                <w:szCs w:val="20"/>
                <w:color w:val="auto"/>
              </w:rPr>
            </w:pPr>
            <w:r>
              <w:rPr>
                <w:rFonts w:ascii="Arial" w:cs="Arial" w:eastAsia="Arial" w:hAnsi="Arial"/>
                <w:sz w:val="13"/>
                <w:szCs w:val="13"/>
                <w:b w:val="1"/>
                <w:bCs w:val="1"/>
                <w:color w:val="auto"/>
              </w:rPr>
              <w:t>2,169,028</w:t>
            </w:r>
          </w:p>
        </w:tc>
        <w:tc>
          <w:tcPr>
            <w:tcW w:w="1240" w:type="dxa"/>
            <w:vAlign w:val="bottom"/>
            <w:tcBorders>
              <w:top w:val="single" w:sz="8" w:color="auto"/>
              <w:bottom w:val="single" w:sz="8" w:color="auto"/>
              <w:right w:val="single" w:sz="8" w:color="auto"/>
            </w:tcBorders>
            <w:shd w:val="clear" w:color="auto" w:fill="F4F8EE"/>
          </w:tcPr>
          <w:p>
            <w:pPr>
              <w:jc w:val="right"/>
              <w:ind w:right="13"/>
              <w:spacing w:after="0"/>
              <w:rPr>
                <w:sz w:val="20"/>
                <w:szCs w:val="20"/>
                <w:color w:val="auto"/>
              </w:rPr>
            </w:pPr>
            <w:r>
              <w:rPr>
                <w:rFonts w:ascii="Arial" w:cs="Arial" w:eastAsia="Arial" w:hAnsi="Arial"/>
                <w:sz w:val="13"/>
                <w:szCs w:val="13"/>
                <w:b w:val="1"/>
                <w:bCs w:val="1"/>
                <w:color w:val="auto"/>
              </w:rPr>
              <w:t>1,791,889</w:t>
            </w:r>
          </w:p>
        </w:tc>
        <w:tc>
          <w:tcPr>
            <w:tcW w:w="0" w:type="dxa"/>
            <w:vAlign w:val="bottom"/>
          </w:tcPr>
          <w:p>
            <w:pPr>
              <w:spacing w:after="0"/>
              <w:rPr>
                <w:sz w:val="1"/>
                <w:szCs w:val="1"/>
                <w:color w:val="auto"/>
              </w:rPr>
            </w:pPr>
          </w:p>
        </w:tc>
      </w:tr>
      <w:tr>
        <w:trPr>
          <w:trHeight w:val="201"/>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Mr. David B. Jones</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Cash Severance - Salary</w:t>
            </w:r>
          </w:p>
        </w:tc>
        <w:tc>
          <w:tcPr>
            <w:tcW w:w="94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Senior Vice President, General</w:t>
            </w:r>
          </w:p>
        </w:tc>
        <w:tc>
          <w:tcPr>
            <w:tcW w:w="1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and benefits</w:t>
            </w:r>
          </w:p>
        </w:tc>
        <w:tc>
          <w:tcPr>
            <w:tcW w:w="9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425,040</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850,080</w:t>
            </w:r>
          </w:p>
        </w:tc>
        <w:tc>
          <w:tcPr>
            <w:tcW w:w="12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45"/>
        </w:trPr>
        <w:tc>
          <w:tcPr>
            <w:tcW w:w="23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color w:val="auto"/>
              </w:rPr>
              <w:t>Counsel, Chief Compliance Officer</w:t>
            </w:r>
          </w:p>
        </w:tc>
        <w:tc>
          <w:tcPr>
            <w:tcW w:w="1980" w:type="dxa"/>
            <w:vAlign w:val="bottom"/>
            <w:tcBorders>
              <w:right w:val="single" w:sz="8" w:color="auto"/>
            </w:tcBorders>
            <w:vMerge w:val="continue"/>
          </w:tcPr>
          <w:p>
            <w:pPr>
              <w:spacing w:after="0"/>
              <w:rPr>
                <w:sz w:val="3"/>
                <w:szCs w:val="3"/>
                <w:color w:val="auto"/>
              </w:rPr>
            </w:pPr>
          </w:p>
        </w:tc>
        <w:tc>
          <w:tcPr>
            <w:tcW w:w="940" w:type="dxa"/>
            <w:vAlign w:val="bottom"/>
            <w:tcBorders>
              <w:right w:val="single" w:sz="8" w:color="auto"/>
            </w:tcBorders>
            <w:vMerge w:val="continue"/>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360" w:type="dxa"/>
            <w:vAlign w:val="bottom"/>
            <w:tcBorders>
              <w:left w:val="single" w:sz="8" w:color="auto"/>
              <w:right w:val="single" w:sz="8" w:color="auto"/>
            </w:tcBorders>
            <w:vMerge w:val="continue"/>
          </w:tcPr>
          <w:p>
            <w:pPr>
              <w:spacing w:after="0"/>
              <w:rPr>
                <w:sz w:val="11"/>
                <w:szCs w:val="11"/>
                <w:color w:val="auto"/>
              </w:rPr>
            </w:pPr>
          </w:p>
        </w:tc>
        <w:tc>
          <w:tcPr>
            <w:tcW w:w="1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Cash Severance - Bonus</w:t>
            </w:r>
          </w:p>
        </w:tc>
        <w:tc>
          <w:tcPr>
            <w:tcW w:w="9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255,024</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510,048</w:t>
            </w:r>
          </w:p>
        </w:tc>
        <w:tc>
          <w:tcPr>
            <w:tcW w:w="12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89"/>
        </w:trPr>
        <w:tc>
          <w:tcPr>
            <w:tcW w:w="23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color w:val="auto"/>
              </w:rPr>
              <w:t>and Corporate Secretary</w:t>
            </w:r>
          </w:p>
        </w:tc>
        <w:tc>
          <w:tcPr>
            <w:tcW w:w="198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360" w:type="dxa"/>
            <w:vAlign w:val="bottom"/>
            <w:tcBorders>
              <w:left w:val="single" w:sz="8" w:color="auto"/>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Vested Equity</w:t>
            </w:r>
          </w:p>
        </w:tc>
        <w:tc>
          <w:tcPr>
            <w:tcW w:w="9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0</w:t>
            </w:r>
          </w:p>
        </w:tc>
        <w:tc>
          <w:tcPr>
            <w:tcW w:w="12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4"/>
        </w:trPr>
        <w:tc>
          <w:tcPr>
            <w:tcW w:w="2360" w:type="dxa"/>
            <w:vAlign w:val="bottom"/>
            <w:tcBorders>
              <w:left w:val="single" w:sz="8" w:color="auto"/>
              <w:right w:val="single" w:sz="8" w:color="auto"/>
            </w:tcBorders>
          </w:tcPr>
          <w:p>
            <w:pPr>
              <w:spacing w:after="0"/>
              <w:rPr>
                <w:sz w:val="11"/>
                <w:szCs w:val="11"/>
                <w:color w:val="auto"/>
              </w:rPr>
            </w:pPr>
          </w:p>
        </w:tc>
        <w:tc>
          <w:tcPr>
            <w:tcW w:w="1980" w:type="dxa"/>
            <w:vAlign w:val="bottom"/>
            <w:tcBorders>
              <w:right w:val="single" w:sz="8" w:color="auto"/>
            </w:tcBorders>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20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Unvested Equity</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1,217,155</w:t>
            </w: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1,217,155</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right w:val="single" w:sz="8" w:color="auto"/>
            </w:tcBorders>
          </w:tcPr>
          <w:p>
            <w:pPr>
              <w:spacing w:after="0"/>
              <w:rPr>
                <w:sz w:val="19"/>
                <w:szCs w:val="19"/>
                <w:color w:val="auto"/>
              </w:rPr>
            </w:pP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Life Insurance</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25"/>
        </w:trPr>
        <w:tc>
          <w:tcPr>
            <w:tcW w:w="2360" w:type="dxa"/>
            <w:vAlign w:val="bottom"/>
            <w:tcBorders>
              <w:left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360" w:type="dxa"/>
            <w:vAlign w:val="bottom"/>
            <w:tcBorders>
              <w:left w:val="single" w:sz="8" w:color="auto"/>
              <w:bottom w:val="single" w:sz="8" w:color="auto"/>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Total</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680,064</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2,577,283</w:t>
            </w:r>
          </w:p>
        </w:tc>
        <w:tc>
          <w:tcPr>
            <w:tcW w:w="12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1,967,155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1167130</wp:posOffset>
            </wp:positionV>
            <wp:extent cx="297180" cy="290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9" w:name="page90"/>
    <w:bookmarkEnd w:id="89"/>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Footnotes to “Post Employment Payments” table:</w:t>
      </w:r>
    </w:p>
    <w:p>
      <w:pPr>
        <w:spacing w:after="0" w:line="128" w:lineRule="exact"/>
        <w:rPr>
          <w:sz w:val="20"/>
          <w:szCs w:val="20"/>
          <w:color w:val="auto"/>
        </w:rPr>
      </w:pPr>
    </w:p>
    <w:p>
      <w:pPr>
        <w:ind w:left="540" w:right="139" w:hanging="335"/>
        <w:spacing w:after="0" w:line="281" w:lineRule="auto"/>
        <w:tabs>
          <w:tab w:leader="none" w:pos="5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 the case of resignation or dismissal for cause, none of the NEOs would be entitled to any post-employment payments from the Company.</w:t>
      </w:r>
    </w:p>
    <w:p>
      <w:pPr>
        <w:spacing w:after="0" w:line="63" w:lineRule="exact"/>
        <w:rPr>
          <w:rFonts w:ascii="Arial" w:cs="Arial" w:eastAsia="Arial" w:hAnsi="Arial"/>
          <w:sz w:val="15"/>
          <w:szCs w:val="15"/>
          <w:color w:val="auto"/>
        </w:rPr>
      </w:pPr>
    </w:p>
    <w:p>
      <w:pPr>
        <w:jc w:val="both"/>
        <w:ind w:left="540" w:right="119" w:hanging="335"/>
        <w:spacing w:after="0" w:line="252" w:lineRule="auto"/>
        <w:tabs>
          <w:tab w:leader="none" w:pos="5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NEOs are treated in line with all other employees in the event of retirement or change of control in terms of payments relating to stock options, full value awards and cash incentive awards. In the case of retirement, under the rules of the Omnibus Plan, any Omnibus options or cash incentive awards granted at market price will vest and become exercisable; while under the rules of the Omnibus Plan full value awards or cash incentive awards granted at zero price which have not vested will lapse, unless the Compensation Committee deems it appropriate to exercise their discretion and allow a proportion of unvested awards to vest. The amounts detailed in the table above assume no such discretion has been exercised. The value of any stock options, full value awards and cash incentive awards which will become exercisable under each scenario, using the 2025-year-end stock price of $76.54, is included in the table above, as an indication.</w:t>
      </w:r>
    </w:p>
    <w:p>
      <w:pPr>
        <w:spacing w:after="0" w:line="99" w:lineRule="exact"/>
        <w:rPr>
          <w:rFonts w:ascii="Arial" w:cs="Arial" w:eastAsia="Arial" w:hAnsi="Arial"/>
          <w:sz w:val="15"/>
          <w:szCs w:val="15"/>
          <w:color w:val="auto"/>
        </w:rPr>
      </w:pPr>
    </w:p>
    <w:p>
      <w:pPr>
        <w:jc w:val="both"/>
        <w:ind w:left="540" w:right="119" w:hanging="335"/>
        <w:spacing w:after="0" w:line="250" w:lineRule="auto"/>
        <w:tabs>
          <w:tab w:leader="none" w:pos="5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employment agreement for each NEO includes a change of control clause. This specifies that, in the event of a change of control of the Company, if the Company terminates the NEO within twelve months of the change of control, or if the NEO terminates his employment within twelve months for good cause, the NEO will be entitled to a compensation payment. If the Company terminates the employment of the NEO during this period, the payment is calculated as twenty-four months compensation defined as base salary, bonus at target and any car allowance from the date of notice of termination. If the NEO terminates his employment, the payment is calculated as twenty-four months’ compensation, defined as above, from the date of the change of control. In addition, under the rules of the Omnibus Plan, all options, full value awards and cash incentive awards would vest upon termination due to the change of control. The NEOs are treated in the same way as other employees who hold options, full value awards or cash incentive awards under the plans. Change of control is deemed to have occurred if a person or group becomes the beneficial owner of 30% or more of the combined voting power of the Company; there is a consolidation or merger and the Company is not the surviving Company; the stockholders of the Company approve plans or proposals for a liquidation or dissolution of the Company or, if following a cash offer or merger, the members of the Board cease to constitute a majority of the Board. The amounts detailed in the Post Employment Payments table include the compensation payments and the value of any stock options, full value awards and cash incentive awards which will become exercisable in these scenarios, using the 2025-year-end stock price of $76.54 as an indication.</w:t>
      </w:r>
    </w:p>
    <w:p>
      <w:pPr>
        <w:spacing w:after="0" w:line="100" w:lineRule="exact"/>
        <w:rPr>
          <w:rFonts w:ascii="Arial" w:cs="Arial" w:eastAsia="Arial" w:hAnsi="Arial"/>
          <w:sz w:val="15"/>
          <w:szCs w:val="15"/>
          <w:color w:val="auto"/>
        </w:rPr>
      </w:pPr>
    </w:p>
    <w:p>
      <w:pPr>
        <w:jc w:val="both"/>
        <w:ind w:left="540" w:right="139" w:hanging="335"/>
        <w:spacing w:after="0" w:line="264" w:lineRule="auto"/>
        <w:tabs>
          <w:tab w:leader="none" w:pos="5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NEOs based in the U.K. are provided with life insurance cover at six times their base salary if they die in service. In the case of the NEOs based in the U.S., the death in service cover is two times base salary, with the maximum payment capped at $750,000. The amount of these potential payments for each NEO is included in the table above, as an indication.</w:t>
      </w:r>
    </w:p>
    <w:p>
      <w:pPr>
        <w:spacing w:after="0" w:line="76" w:lineRule="exact"/>
        <w:rPr>
          <w:rFonts w:ascii="Arial" w:cs="Arial" w:eastAsia="Arial" w:hAnsi="Arial"/>
          <w:sz w:val="15"/>
          <w:szCs w:val="15"/>
          <w:color w:val="auto"/>
        </w:rPr>
      </w:pPr>
    </w:p>
    <w:p>
      <w:pPr>
        <w:jc w:val="both"/>
        <w:ind w:left="540" w:right="119" w:hanging="335"/>
        <w:spacing w:after="0" w:line="251" w:lineRule="auto"/>
        <w:tabs>
          <w:tab w:leader="none" w:pos="5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If the Company terminates the employment of a NEO without cause, the NEO would normally be eligible for a severance payment to cover loss of salary and other direct compensation for the duration of the notice period specified in their employment agreement. All the NEOs have a twelve-month notice period. In addition, in line with the rules of the Omnibus Plan, any Omnibus options and cash incentive awards granted at market price would vest and the NEO would have twelve months from the date of termination to exercise these and any vested options and vested cash incentive awards granted at market price under any of the share plans. With regards to the options, full value awards and cash incentive awards, the NEOs are treated the same way as other employees who hold options, full value awards and cash incentive awards under the plans. The amounts detailed in the post-employment payments table include the severance payments and the value of any share options, full value awards and cash incentive awards which will become exercisable, using the 2025-year-end stock price of $76.54.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2590800</wp:posOffset>
            </wp:positionV>
            <wp:extent cx="297180" cy="290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0" w:name="page91"/>
    <w:bookmarkEnd w:id="90"/>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4F81BD"/>
        </w:rPr>
        <w:t>PAY VERSUS PERFORMANCE</w:t>
      </w:r>
    </w:p>
    <w:p>
      <w:pPr>
        <w:spacing w:after="0" w:line="195" w:lineRule="exact"/>
        <w:rPr>
          <w:sz w:val="20"/>
          <w:szCs w:val="20"/>
          <w:color w:val="auto"/>
        </w:rPr>
      </w:pPr>
    </w:p>
    <w:p>
      <w:pPr>
        <w:ind w:left="200" w:right="139"/>
        <w:spacing w:after="0" w:line="281" w:lineRule="auto"/>
        <w:rPr>
          <w:sz w:val="20"/>
          <w:szCs w:val="20"/>
          <w:color w:val="auto"/>
        </w:rPr>
      </w:pPr>
      <w:r>
        <w:rPr>
          <w:rFonts w:ascii="Arial" w:cs="Arial" w:eastAsia="Arial" w:hAnsi="Arial"/>
          <w:sz w:val="15"/>
          <w:szCs w:val="15"/>
          <w:color w:val="auto"/>
        </w:rPr>
        <w:t>As required by Item 402(v) of Regulation S-K, we are providing the following information about the relationship between compensation actually paid (CAP), as defined in Item 402(v), and performance.</w:t>
      </w:r>
    </w:p>
    <w:p>
      <w:pPr>
        <w:spacing w:after="0" w:line="70" w:lineRule="exact"/>
        <w:rPr>
          <w:sz w:val="20"/>
          <w:szCs w:val="20"/>
          <w:color w:val="auto"/>
        </w:rPr>
      </w:pPr>
    </w:p>
    <w:tbl>
      <w:tblPr>
        <w:tblLayout w:type="fixed"/>
        <w:tblInd w:w="210" w:type="dxa"/>
        <w:tblCellMar>
          <w:top w:w="0" w:type="dxa"/>
          <w:left w:w="0" w:type="dxa"/>
          <w:bottom w:w="0" w:type="dxa"/>
          <w:right w:w="0" w:type="dxa"/>
        </w:tblCellMar>
      </w:tblPr>
      <w:tr>
        <w:trPr>
          <w:trHeight w:val="137"/>
        </w:trPr>
        <w:tc>
          <w:tcPr>
            <w:tcW w:w="520" w:type="dxa"/>
            <w:vAlign w:val="bottom"/>
            <w:tcBorders>
              <w:top w:val="single" w:sz="8" w:color="auto"/>
              <w:left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8"/>
              </w:rPr>
              <w:t>Year (a)</w:t>
            </w:r>
          </w:p>
        </w:tc>
        <w:tc>
          <w:tcPr>
            <w:tcW w:w="108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6"/>
              </w:rPr>
              <w:t>Summary</w:t>
            </w:r>
          </w:p>
        </w:tc>
        <w:tc>
          <w:tcPr>
            <w:tcW w:w="11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7"/>
              </w:rPr>
              <w:t>Compensation</w:t>
            </w:r>
          </w:p>
        </w:tc>
        <w:tc>
          <w:tcPr>
            <w:tcW w:w="128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7"/>
              </w:rPr>
              <w:t>Average Summary</w:t>
            </w:r>
          </w:p>
        </w:tc>
        <w:tc>
          <w:tcPr>
            <w:tcW w:w="12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6"/>
              </w:rPr>
              <w:t>Average Compensation</w:t>
            </w:r>
          </w:p>
        </w:tc>
        <w:tc>
          <w:tcPr>
            <w:tcW w:w="1960" w:type="dxa"/>
            <w:vAlign w:val="bottom"/>
            <w:tcBorders>
              <w:top w:val="single" w:sz="8" w:color="auto"/>
              <w:right w:val="single" w:sz="8" w:color="auto"/>
            </w:tcBorders>
            <w:gridSpan w:val="2"/>
            <w:shd w:val="clear" w:color="auto" w:fill="4F81BD"/>
          </w:tcPr>
          <w:p>
            <w:pPr>
              <w:jc w:val="center"/>
              <w:ind w:right="15"/>
              <w:spacing w:after="0"/>
              <w:rPr>
                <w:sz w:val="20"/>
                <w:szCs w:val="20"/>
                <w:color w:val="auto"/>
              </w:rPr>
            </w:pPr>
            <w:r>
              <w:rPr>
                <w:rFonts w:ascii="Arial" w:cs="Arial" w:eastAsia="Arial" w:hAnsi="Arial"/>
                <w:sz w:val="10"/>
                <w:szCs w:val="10"/>
                <w:b w:val="1"/>
                <w:bCs w:val="1"/>
                <w:color w:val="FFFFFF"/>
                <w:w w:val="95"/>
              </w:rPr>
              <w:t>Value of Initial Fixed $100 Investment</w:t>
            </w:r>
          </w:p>
        </w:tc>
        <w:tc>
          <w:tcPr>
            <w:tcW w:w="78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86"/>
              </w:rPr>
              <w:t>Net</w:t>
            </w:r>
          </w:p>
        </w:tc>
        <w:tc>
          <w:tcPr>
            <w:tcW w:w="8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6"/>
              </w:rPr>
              <w:t>Corporate</w:t>
            </w:r>
          </w:p>
        </w:tc>
        <w:tc>
          <w:tcPr>
            <w:tcW w:w="0" w:type="dxa"/>
            <w:vAlign w:val="bottom"/>
          </w:tcPr>
          <w:p>
            <w:pPr>
              <w:spacing w:after="0"/>
              <w:rPr>
                <w:sz w:val="1"/>
                <w:szCs w:val="1"/>
                <w:color w:val="auto"/>
              </w:rPr>
            </w:pPr>
          </w:p>
        </w:tc>
      </w:tr>
      <w:tr>
        <w:trPr>
          <w:trHeight w:val="158"/>
        </w:trPr>
        <w:tc>
          <w:tcPr>
            <w:tcW w:w="520" w:type="dxa"/>
            <w:vAlign w:val="bottom"/>
            <w:tcBorders>
              <w:left w:val="single" w:sz="8" w:color="auto"/>
              <w:bottom w:val="single" w:sz="8" w:color="4F81BD"/>
              <w:right w:val="single" w:sz="8" w:color="auto"/>
            </w:tcBorders>
            <w:shd w:val="clear" w:color="auto" w:fill="4F81BD"/>
          </w:tcPr>
          <w:p>
            <w:pPr>
              <w:spacing w:after="0"/>
              <w:rPr>
                <w:sz w:val="13"/>
                <w:szCs w:val="13"/>
                <w:color w:val="auto"/>
              </w:rPr>
            </w:pPr>
          </w:p>
        </w:tc>
        <w:tc>
          <w:tcPr>
            <w:tcW w:w="1080" w:type="dxa"/>
            <w:vAlign w:val="bottom"/>
            <w:tcBorders>
              <w:bottom w:val="single" w:sz="8" w:color="4F81BD"/>
              <w:right w:val="single" w:sz="8" w:color="auto"/>
            </w:tcBorders>
            <w:shd w:val="clear" w:color="auto" w:fill="4F81BD"/>
          </w:tcPr>
          <w:p>
            <w:pPr>
              <w:jc w:val="center"/>
              <w:spacing w:after="0" w:line="109" w:lineRule="exact"/>
              <w:rPr>
                <w:sz w:val="20"/>
                <w:szCs w:val="20"/>
                <w:color w:val="auto"/>
              </w:rPr>
            </w:pPr>
            <w:r>
              <w:rPr>
                <w:rFonts w:ascii="Arial" w:cs="Arial" w:eastAsia="Arial" w:hAnsi="Arial"/>
                <w:sz w:val="10"/>
                <w:szCs w:val="10"/>
                <w:b w:val="1"/>
                <w:bCs w:val="1"/>
                <w:color w:val="FFFFFF"/>
                <w:w w:val="95"/>
              </w:rPr>
              <w:t>Compensation Table</w:t>
            </w:r>
          </w:p>
        </w:tc>
        <w:tc>
          <w:tcPr>
            <w:tcW w:w="1100" w:type="dxa"/>
            <w:vAlign w:val="bottom"/>
            <w:tcBorders>
              <w:bottom w:val="single" w:sz="8" w:color="4F81BD"/>
              <w:right w:val="single" w:sz="8" w:color="auto"/>
            </w:tcBorders>
            <w:shd w:val="clear" w:color="auto" w:fill="4F81BD"/>
          </w:tcPr>
          <w:p>
            <w:pPr>
              <w:jc w:val="center"/>
              <w:spacing w:after="0" w:line="109" w:lineRule="exact"/>
              <w:rPr>
                <w:sz w:val="20"/>
                <w:szCs w:val="20"/>
                <w:color w:val="auto"/>
              </w:rPr>
            </w:pPr>
            <w:r>
              <w:rPr>
                <w:rFonts w:ascii="Arial" w:cs="Arial" w:eastAsia="Arial" w:hAnsi="Arial"/>
                <w:sz w:val="10"/>
                <w:szCs w:val="10"/>
                <w:b w:val="1"/>
                <w:bCs w:val="1"/>
                <w:color w:val="FFFFFF"/>
                <w:w w:val="92"/>
              </w:rPr>
              <w:t>Actually</w:t>
            </w:r>
          </w:p>
        </w:tc>
        <w:tc>
          <w:tcPr>
            <w:tcW w:w="1280" w:type="dxa"/>
            <w:vAlign w:val="bottom"/>
            <w:tcBorders>
              <w:bottom w:val="single" w:sz="8" w:color="4F81BD"/>
              <w:right w:val="single" w:sz="8" w:color="auto"/>
            </w:tcBorders>
            <w:shd w:val="clear" w:color="auto" w:fill="4F81BD"/>
          </w:tcPr>
          <w:p>
            <w:pPr>
              <w:jc w:val="center"/>
              <w:spacing w:after="0" w:line="109" w:lineRule="exact"/>
              <w:rPr>
                <w:sz w:val="20"/>
                <w:szCs w:val="20"/>
                <w:color w:val="auto"/>
              </w:rPr>
            </w:pPr>
            <w:r>
              <w:rPr>
                <w:rFonts w:ascii="Arial" w:cs="Arial" w:eastAsia="Arial" w:hAnsi="Arial"/>
                <w:sz w:val="10"/>
                <w:szCs w:val="10"/>
                <w:b w:val="1"/>
                <w:bCs w:val="1"/>
                <w:color w:val="FFFFFF"/>
                <w:w w:val="94"/>
              </w:rPr>
              <w:t>Compensation Table Total</w:t>
            </w:r>
          </w:p>
        </w:tc>
        <w:tc>
          <w:tcPr>
            <w:tcW w:w="1200" w:type="dxa"/>
            <w:vAlign w:val="bottom"/>
            <w:tcBorders>
              <w:bottom w:val="single" w:sz="8" w:color="4F81BD"/>
              <w:right w:val="single" w:sz="8" w:color="auto"/>
            </w:tcBorders>
            <w:shd w:val="clear" w:color="auto" w:fill="4F81BD"/>
          </w:tcPr>
          <w:p>
            <w:pPr>
              <w:jc w:val="center"/>
              <w:spacing w:after="0" w:line="109" w:lineRule="exact"/>
              <w:rPr>
                <w:sz w:val="20"/>
                <w:szCs w:val="20"/>
                <w:color w:val="auto"/>
              </w:rPr>
            </w:pPr>
            <w:r>
              <w:rPr>
                <w:rFonts w:ascii="Arial" w:cs="Arial" w:eastAsia="Arial" w:hAnsi="Arial"/>
                <w:sz w:val="10"/>
                <w:szCs w:val="10"/>
                <w:b w:val="1"/>
                <w:bCs w:val="1"/>
                <w:color w:val="FFFFFF"/>
                <w:w w:val="95"/>
              </w:rPr>
              <w:t>Actually Paid to</w:t>
            </w:r>
          </w:p>
        </w:tc>
        <w:tc>
          <w:tcPr>
            <w:tcW w:w="1960" w:type="dxa"/>
            <w:vAlign w:val="bottom"/>
            <w:tcBorders>
              <w:bottom w:val="single" w:sz="8" w:color="4F81BD"/>
              <w:right w:val="single" w:sz="8" w:color="auto"/>
            </w:tcBorders>
            <w:gridSpan w:val="2"/>
            <w:shd w:val="clear" w:color="auto" w:fill="4F81BD"/>
          </w:tcPr>
          <w:p>
            <w:pPr>
              <w:jc w:val="center"/>
              <w:spacing w:after="0" w:line="109" w:lineRule="exact"/>
              <w:rPr>
                <w:sz w:val="20"/>
                <w:szCs w:val="20"/>
                <w:color w:val="auto"/>
              </w:rPr>
            </w:pPr>
            <w:r>
              <w:rPr>
                <w:rFonts w:ascii="Arial" w:cs="Arial" w:eastAsia="Arial" w:hAnsi="Arial"/>
                <w:sz w:val="10"/>
                <w:szCs w:val="10"/>
                <w:b w:val="1"/>
                <w:bCs w:val="1"/>
                <w:color w:val="FFFFFF"/>
                <w:w w:val="95"/>
              </w:rPr>
              <w:t>Based On:</w:t>
            </w:r>
          </w:p>
        </w:tc>
        <w:tc>
          <w:tcPr>
            <w:tcW w:w="780" w:type="dxa"/>
            <w:vAlign w:val="bottom"/>
            <w:tcBorders>
              <w:bottom w:val="single" w:sz="8" w:color="4F81BD"/>
              <w:right w:val="single" w:sz="8" w:color="auto"/>
            </w:tcBorders>
            <w:shd w:val="clear" w:color="auto" w:fill="4F81BD"/>
          </w:tcPr>
          <w:p>
            <w:pPr>
              <w:jc w:val="center"/>
              <w:spacing w:after="0" w:line="109" w:lineRule="exact"/>
              <w:rPr>
                <w:sz w:val="20"/>
                <w:szCs w:val="20"/>
                <w:color w:val="auto"/>
              </w:rPr>
            </w:pPr>
            <w:r>
              <w:rPr>
                <w:rFonts w:ascii="Arial" w:cs="Arial" w:eastAsia="Arial" w:hAnsi="Arial"/>
                <w:sz w:val="10"/>
                <w:szCs w:val="10"/>
                <w:b w:val="1"/>
                <w:bCs w:val="1"/>
                <w:color w:val="FFFFFF"/>
                <w:w w:val="96"/>
              </w:rPr>
              <w:t>Income</w:t>
            </w:r>
          </w:p>
        </w:tc>
        <w:tc>
          <w:tcPr>
            <w:tcW w:w="800" w:type="dxa"/>
            <w:vAlign w:val="bottom"/>
            <w:tcBorders>
              <w:bottom w:val="single" w:sz="8" w:color="4F81BD"/>
              <w:right w:val="single" w:sz="8" w:color="auto"/>
            </w:tcBorders>
            <w:shd w:val="clear" w:color="auto" w:fill="4F81BD"/>
          </w:tcPr>
          <w:p>
            <w:pPr>
              <w:jc w:val="center"/>
              <w:spacing w:after="0" w:line="109" w:lineRule="exact"/>
              <w:rPr>
                <w:sz w:val="20"/>
                <w:szCs w:val="20"/>
                <w:color w:val="auto"/>
              </w:rPr>
            </w:pPr>
            <w:r>
              <w:rPr>
                <w:rFonts w:ascii="Arial" w:cs="Arial" w:eastAsia="Arial" w:hAnsi="Arial"/>
                <w:sz w:val="10"/>
                <w:szCs w:val="10"/>
                <w:b w:val="1"/>
                <w:bCs w:val="1"/>
                <w:color w:val="FFFFFF"/>
                <w:w w:val="93"/>
              </w:rPr>
              <w:t>Operating</w:t>
            </w:r>
          </w:p>
        </w:tc>
        <w:tc>
          <w:tcPr>
            <w:tcW w:w="0" w:type="dxa"/>
            <w:vAlign w:val="bottom"/>
          </w:tcPr>
          <w:p>
            <w:pPr>
              <w:spacing w:after="0"/>
              <w:rPr>
                <w:sz w:val="1"/>
                <w:szCs w:val="1"/>
                <w:color w:val="auto"/>
              </w:rPr>
            </w:pPr>
          </w:p>
        </w:tc>
      </w:tr>
      <w:tr>
        <w:trPr>
          <w:trHeight w:val="58"/>
        </w:trPr>
        <w:tc>
          <w:tcPr>
            <w:tcW w:w="520" w:type="dxa"/>
            <w:vAlign w:val="bottom"/>
            <w:tcBorders>
              <w:top w:val="single" w:sz="8" w:color="4F81BD"/>
              <w:left w:val="single" w:sz="8" w:color="auto"/>
              <w:right w:val="single" w:sz="8" w:color="auto"/>
            </w:tcBorders>
            <w:shd w:val="clear" w:color="auto" w:fill="4F81BD"/>
          </w:tcPr>
          <w:p>
            <w:pPr>
              <w:spacing w:after="0"/>
              <w:rPr>
                <w:sz w:val="5"/>
                <w:szCs w:val="5"/>
                <w:color w:val="auto"/>
              </w:rPr>
            </w:pPr>
          </w:p>
        </w:tc>
        <w:tc>
          <w:tcPr>
            <w:tcW w:w="1080" w:type="dxa"/>
            <w:vAlign w:val="bottom"/>
            <w:tcBorders>
              <w:top w:val="single" w:sz="8" w:color="4F81BD"/>
              <w:right w:val="single" w:sz="8" w:color="auto"/>
            </w:tcBorders>
            <w:shd w:val="clear" w:color="auto" w:fill="4F81BD"/>
          </w:tcPr>
          <w:p>
            <w:pPr>
              <w:jc w:val="center"/>
              <w:spacing w:after="0" w:line="59" w:lineRule="exact"/>
              <w:rPr>
                <w:sz w:val="20"/>
                <w:szCs w:val="20"/>
                <w:color w:val="auto"/>
              </w:rPr>
            </w:pPr>
            <w:r>
              <w:rPr>
                <w:rFonts w:ascii="Arial" w:cs="Arial" w:eastAsia="Arial" w:hAnsi="Arial"/>
                <w:sz w:val="6"/>
                <w:szCs w:val="6"/>
                <w:b w:val="1"/>
                <w:bCs w:val="1"/>
                <w:color w:val="FFFFFF"/>
              </w:rPr>
              <w:t>Total</w:t>
            </w:r>
          </w:p>
        </w:tc>
        <w:tc>
          <w:tcPr>
            <w:tcW w:w="1100" w:type="dxa"/>
            <w:vAlign w:val="bottom"/>
            <w:tcBorders>
              <w:top w:val="single" w:sz="8" w:color="4F81BD"/>
              <w:right w:val="single" w:sz="8" w:color="auto"/>
            </w:tcBorders>
            <w:shd w:val="clear" w:color="auto" w:fill="4F81BD"/>
          </w:tcPr>
          <w:p>
            <w:pPr>
              <w:jc w:val="center"/>
              <w:spacing w:after="0" w:line="59" w:lineRule="exact"/>
              <w:rPr>
                <w:sz w:val="20"/>
                <w:szCs w:val="20"/>
                <w:color w:val="auto"/>
              </w:rPr>
            </w:pPr>
            <w:r>
              <w:rPr>
                <w:rFonts w:ascii="Arial" w:cs="Arial" w:eastAsia="Arial" w:hAnsi="Arial"/>
                <w:sz w:val="5"/>
                <w:szCs w:val="5"/>
                <w:b w:val="1"/>
                <w:bCs w:val="1"/>
                <w:color w:val="FFFFFF"/>
              </w:rPr>
              <w:t>Paid to PEO</w:t>
            </w:r>
            <w:r>
              <w:rPr>
                <w:rFonts w:ascii="Arial" w:cs="Arial" w:eastAsia="Arial" w:hAnsi="Arial"/>
                <w:sz w:val="6"/>
                <w:szCs w:val="6"/>
                <w:b w:val="1"/>
                <w:bCs w:val="1"/>
                <w:color w:val="FFFFFF"/>
                <w:vertAlign w:val="superscript"/>
              </w:rPr>
              <w:t>2,3</w:t>
            </w:r>
          </w:p>
        </w:tc>
        <w:tc>
          <w:tcPr>
            <w:tcW w:w="1280" w:type="dxa"/>
            <w:vAlign w:val="bottom"/>
            <w:tcBorders>
              <w:top w:val="single" w:sz="8" w:color="4F81BD"/>
              <w:right w:val="single" w:sz="8" w:color="auto"/>
            </w:tcBorders>
            <w:shd w:val="clear" w:color="auto" w:fill="4F81BD"/>
          </w:tcPr>
          <w:p>
            <w:pPr>
              <w:jc w:val="center"/>
              <w:spacing w:after="0" w:line="59" w:lineRule="exact"/>
              <w:rPr>
                <w:sz w:val="20"/>
                <w:szCs w:val="20"/>
                <w:color w:val="auto"/>
              </w:rPr>
            </w:pPr>
            <w:r>
              <w:rPr>
                <w:rFonts w:ascii="Arial" w:cs="Arial" w:eastAsia="Arial" w:hAnsi="Arial"/>
                <w:sz w:val="6"/>
                <w:szCs w:val="6"/>
                <w:b w:val="1"/>
                <w:bCs w:val="1"/>
                <w:color w:val="FFFFFF"/>
              </w:rPr>
              <w:t>for Non-PEO Named</w:t>
            </w:r>
          </w:p>
        </w:tc>
        <w:tc>
          <w:tcPr>
            <w:tcW w:w="1200" w:type="dxa"/>
            <w:vAlign w:val="bottom"/>
            <w:tcBorders>
              <w:top w:val="single" w:sz="8" w:color="4F81BD"/>
              <w:right w:val="single" w:sz="8" w:color="auto"/>
            </w:tcBorders>
            <w:shd w:val="clear" w:color="auto" w:fill="4F81BD"/>
          </w:tcPr>
          <w:p>
            <w:pPr>
              <w:jc w:val="center"/>
              <w:spacing w:after="0" w:line="59" w:lineRule="exact"/>
              <w:rPr>
                <w:sz w:val="20"/>
                <w:szCs w:val="20"/>
                <w:color w:val="auto"/>
              </w:rPr>
            </w:pPr>
            <w:r>
              <w:rPr>
                <w:rFonts w:ascii="Arial" w:cs="Arial" w:eastAsia="Arial" w:hAnsi="Arial"/>
                <w:sz w:val="5"/>
                <w:szCs w:val="5"/>
                <w:b w:val="1"/>
                <w:bCs w:val="1"/>
                <w:color w:val="FFFFFF"/>
              </w:rPr>
              <w:t>Non-PEO NEOs</w:t>
            </w:r>
            <w:r>
              <w:rPr>
                <w:rFonts w:ascii="Arial" w:cs="Arial" w:eastAsia="Arial" w:hAnsi="Arial"/>
                <w:sz w:val="6"/>
                <w:szCs w:val="6"/>
                <w:b w:val="1"/>
                <w:bCs w:val="1"/>
                <w:color w:val="FFFFFF"/>
                <w:vertAlign w:val="superscript"/>
              </w:rPr>
              <w:t>2,3</w:t>
            </w:r>
          </w:p>
        </w:tc>
        <w:tc>
          <w:tcPr>
            <w:tcW w:w="980" w:type="dxa"/>
            <w:vAlign w:val="bottom"/>
            <w:tcBorders>
              <w:top w:val="single" w:sz="8" w:color="auto"/>
              <w:right w:val="single" w:sz="8" w:color="auto"/>
            </w:tcBorders>
            <w:vMerge w:val="restart"/>
            <w:shd w:val="clear" w:color="auto" w:fill="4F81BD"/>
          </w:tcPr>
          <w:p>
            <w:pPr>
              <w:jc w:val="center"/>
              <w:spacing w:after="0"/>
              <w:rPr>
                <w:sz w:val="20"/>
                <w:szCs w:val="20"/>
                <w:color w:val="auto"/>
              </w:rPr>
            </w:pPr>
            <w:r>
              <w:rPr>
                <w:rFonts w:ascii="Arial" w:cs="Arial" w:eastAsia="Arial" w:hAnsi="Arial"/>
                <w:sz w:val="10"/>
                <w:szCs w:val="10"/>
                <w:b w:val="1"/>
                <w:bCs w:val="1"/>
                <w:color w:val="FFFFFF"/>
                <w:w w:val="91"/>
              </w:rPr>
              <w:t>Total</w:t>
            </w:r>
          </w:p>
        </w:tc>
        <w:tc>
          <w:tcPr>
            <w:tcW w:w="980" w:type="dxa"/>
            <w:vAlign w:val="bottom"/>
            <w:tcBorders>
              <w:top w:val="single" w:sz="8" w:color="auto"/>
              <w:right w:val="single" w:sz="8" w:color="auto"/>
            </w:tcBorders>
            <w:vMerge w:val="restart"/>
            <w:shd w:val="clear" w:color="auto" w:fill="4F81BD"/>
          </w:tcPr>
          <w:p>
            <w:pPr>
              <w:jc w:val="center"/>
              <w:ind w:right="15"/>
              <w:spacing w:after="0"/>
              <w:rPr>
                <w:sz w:val="20"/>
                <w:szCs w:val="20"/>
                <w:color w:val="auto"/>
              </w:rPr>
            </w:pPr>
            <w:r>
              <w:rPr>
                <w:rFonts w:ascii="Arial" w:cs="Arial" w:eastAsia="Arial" w:hAnsi="Arial"/>
                <w:sz w:val="10"/>
                <w:szCs w:val="10"/>
                <w:b w:val="1"/>
                <w:bCs w:val="1"/>
                <w:color w:val="FFFFFF"/>
                <w:w w:val="95"/>
              </w:rPr>
              <w:t>Peer Group</w:t>
            </w:r>
          </w:p>
        </w:tc>
        <w:tc>
          <w:tcPr>
            <w:tcW w:w="780" w:type="dxa"/>
            <w:vAlign w:val="bottom"/>
            <w:tcBorders>
              <w:top w:val="single" w:sz="8" w:color="4F81BD"/>
              <w:right w:val="single" w:sz="8" w:color="auto"/>
            </w:tcBorders>
            <w:shd w:val="clear" w:color="auto" w:fill="4F81BD"/>
          </w:tcPr>
          <w:p>
            <w:pPr>
              <w:jc w:val="center"/>
              <w:spacing w:after="0" w:line="59" w:lineRule="exact"/>
              <w:rPr>
                <w:sz w:val="20"/>
                <w:szCs w:val="20"/>
                <w:color w:val="auto"/>
              </w:rPr>
            </w:pPr>
            <w:r>
              <w:rPr>
                <w:rFonts w:ascii="Arial" w:cs="Arial" w:eastAsia="Arial" w:hAnsi="Arial"/>
                <w:sz w:val="5"/>
                <w:szCs w:val="5"/>
                <w:b w:val="1"/>
                <w:bCs w:val="1"/>
                <w:color w:val="FFFFFF"/>
              </w:rPr>
              <w:t>(millions)</w:t>
            </w:r>
            <w:r>
              <w:rPr>
                <w:rFonts w:ascii="Arial" w:cs="Arial" w:eastAsia="Arial" w:hAnsi="Arial"/>
                <w:sz w:val="6"/>
                <w:szCs w:val="6"/>
                <w:b w:val="1"/>
                <w:bCs w:val="1"/>
                <w:color w:val="FFFFFF"/>
                <w:vertAlign w:val="superscript"/>
              </w:rPr>
              <w:t>5</w:t>
            </w:r>
            <w:r>
              <w:rPr>
                <w:rFonts w:ascii="Arial" w:cs="Arial" w:eastAsia="Arial" w:hAnsi="Arial"/>
                <w:sz w:val="5"/>
                <w:szCs w:val="5"/>
                <w:b w:val="1"/>
                <w:bCs w:val="1"/>
                <w:color w:val="FFFFFF"/>
              </w:rPr>
              <w:t xml:space="preserve"> (h)</w:t>
            </w:r>
          </w:p>
        </w:tc>
        <w:tc>
          <w:tcPr>
            <w:tcW w:w="800" w:type="dxa"/>
            <w:vAlign w:val="bottom"/>
            <w:tcBorders>
              <w:top w:val="single" w:sz="8" w:color="4F81BD"/>
              <w:right w:val="single" w:sz="8" w:color="auto"/>
            </w:tcBorders>
            <w:shd w:val="clear" w:color="auto" w:fill="4F81BD"/>
          </w:tcPr>
          <w:p>
            <w:pPr>
              <w:jc w:val="center"/>
              <w:spacing w:after="0" w:line="59" w:lineRule="exact"/>
              <w:rPr>
                <w:sz w:val="20"/>
                <w:szCs w:val="20"/>
                <w:color w:val="auto"/>
              </w:rPr>
            </w:pPr>
            <w:r>
              <w:rPr>
                <w:rFonts w:ascii="Arial" w:cs="Arial" w:eastAsia="Arial" w:hAnsi="Arial"/>
                <w:sz w:val="5"/>
                <w:szCs w:val="5"/>
                <w:b w:val="1"/>
                <w:bCs w:val="1"/>
                <w:color w:val="FFFFFF"/>
              </w:rPr>
              <w:t>Income</w:t>
            </w:r>
            <w:r>
              <w:rPr>
                <w:rFonts w:ascii="Arial" w:cs="Arial" w:eastAsia="Arial" w:hAnsi="Arial"/>
                <w:sz w:val="6"/>
                <w:szCs w:val="6"/>
                <w:b w:val="1"/>
                <w:bCs w:val="1"/>
                <w:color w:val="FFFFFF"/>
                <w:vertAlign w:val="superscript"/>
              </w:rPr>
              <w:t>6</w:t>
            </w:r>
          </w:p>
        </w:tc>
        <w:tc>
          <w:tcPr>
            <w:tcW w:w="0" w:type="dxa"/>
            <w:vAlign w:val="bottom"/>
          </w:tcPr>
          <w:p>
            <w:pPr>
              <w:spacing w:after="0"/>
              <w:rPr>
                <w:sz w:val="1"/>
                <w:szCs w:val="1"/>
                <w:color w:val="auto"/>
              </w:rPr>
            </w:pPr>
          </w:p>
        </w:tc>
      </w:tr>
      <w:tr>
        <w:trPr>
          <w:trHeight w:val="122"/>
        </w:trPr>
        <w:tc>
          <w:tcPr>
            <w:tcW w:w="520" w:type="dxa"/>
            <w:vAlign w:val="bottom"/>
            <w:tcBorders>
              <w:left w:val="single" w:sz="8" w:color="auto"/>
              <w:right w:val="single" w:sz="8" w:color="auto"/>
            </w:tcBorders>
            <w:shd w:val="clear" w:color="auto" w:fill="4F81BD"/>
          </w:tcPr>
          <w:p>
            <w:pPr>
              <w:spacing w:after="0"/>
              <w:rPr>
                <w:sz w:val="10"/>
                <w:szCs w:val="10"/>
                <w:color w:val="auto"/>
              </w:rPr>
            </w:pPr>
          </w:p>
        </w:tc>
        <w:tc>
          <w:tcPr>
            <w:tcW w:w="1080" w:type="dxa"/>
            <w:vAlign w:val="bottom"/>
            <w:tcBorders>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5"/>
              </w:rPr>
              <w:t>for Principal</w:t>
            </w:r>
          </w:p>
        </w:tc>
        <w:tc>
          <w:tcPr>
            <w:tcW w:w="1100" w:type="dxa"/>
            <w:vAlign w:val="bottom"/>
            <w:tcBorders>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7"/>
              </w:rPr>
              <w:t>(c)</w:t>
            </w:r>
          </w:p>
        </w:tc>
        <w:tc>
          <w:tcPr>
            <w:tcW w:w="1280" w:type="dxa"/>
            <w:vAlign w:val="bottom"/>
            <w:tcBorders>
              <w:right w:val="single" w:sz="8" w:color="auto"/>
            </w:tcBorders>
            <w:shd w:val="clear" w:color="auto" w:fill="4F81BD"/>
          </w:tcPr>
          <w:p>
            <w:pPr>
              <w:jc w:val="center"/>
              <w:spacing w:after="0" w:line="123" w:lineRule="exact"/>
              <w:rPr>
                <w:sz w:val="20"/>
                <w:szCs w:val="20"/>
                <w:color w:val="auto"/>
              </w:rPr>
            </w:pPr>
            <w:r>
              <w:rPr>
                <w:rFonts w:ascii="Arial" w:cs="Arial" w:eastAsia="Arial" w:hAnsi="Arial"/>
                <w:sz w:val="10"/>
                <w:szCs w:val="10"/>
                <w:b w:val="1"/>
                <w:bCs w:val="1"/>
                <w:color w:val="FFFFFF"/>
                <w:w w:val="93"/>
              </w:rPr>
              <w:t>Executive Officers</w:t>
            </w:r>
            <w:r>
              <w:rPr>
                <w:rFonts w:ascii="Arial" w:cs="Arial" w:eastAsia="Arial" w:hAnsi="Arial"/>
                <w:sz w:val="13"/>
                <w:szCs w:val="13"/>
                <w:b w:val="1"/>
                <w:bCs w:val="1"/>
                <w:color w:val="FFFFFF"/>
                <w:w w:val="93"/>
                <w:vertAlign w:val="superscript"/>
              </w:rPr>
              <w:t>1</w:t>
            </w:r>
          </w:p>
        </w:tc>
        <w:tc>
          <w:tcPr>
            <w:tcW w:w="1200" w:type="dxa"/>
            <w:vAlign w:val="bottom"/>
            <w:tcBorders>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7"/>
              </w:rPr>
              <w:t>(e)</w:t>
            </w:r>
          </w:p>
        </w:tc>
        <w:tc>
          <w:tcPr>
            <w:tcW w:w="980" w:type="dxa"/>
            <w:vAlign w:val="bottom"/>
            <w:tcBorders>
              <w:right w:val="single" w:sz="8" w:color="auto"/>
            </w:tcBorders>
            <w:vMerge w:val="continue"/>
            <w:shd w:val="clear" w:color="auto" w:fill="4F81BD"/>
          </w:tcPr>
          <w:p>
            <w:pPr>
              <w:spacing w:after="0"/>
              <w:rPr>
                <w:sz w:val="10"/>
                <w:szCs w:val="10"/>
                <w:color w:val="auto"/>
              </w:rPr>
            </w:pPr>
          </w:p>
        </w:tc>
        <w:tc>
          <w:tcPr>
            <w:tcW w:w="980" w:type="dxa"/>
            <w:vAlign w:val="bottom"/>
            <w:tcBorders>
              <w:right w:val="single" w:sz="8" w:color="auto"/>
            </w:tcBorders>
            <w:vMerge w:val="continue"/>
            <w:shd w:val="clear" w:color="auto" w:fill="4F81BD"/>
          </w:tcPr>
          <w:p>
            <w:pPr>
              <w:spacing w:after="0"/>
              <w:rPr>
                <w:sz w:val="10"/>
                <w:szCs w:val="10"/>
                <w:color w:val="auto"/>
              </w:rPr>
            </w:pPr>
          </w:p>
        </w:tc>
        <w:tc>
          <w:tcPr>
            <w:tcW w:w="780" w:type="dxa"/>
            <w:vAlign w:val="bottom"/>
            <w:tcBorders>
              <w:right w:val="single" w:sz="8" w:color="auto"/>
            </w:tcBorders>
            <w:shd w:val="clear" w:color="auto" w:fill="4F81BD"/>
          </w:tcPr>
          <w:p>
            <w:pPr>
              <w:spacing w:after="0"/>
              <w:rPr>
                <w:sz w:val="10"/>
                <w:szCs w:val="10"/>
                <w:color w:val="auto"/>
              </w:rPr>
            </w:pPr>
          </w:p>
        </w:tc>
        <w:tc>
          <w:tcPr>
            <w:tcW w:w="800" w:type="dxa"/>
            <w:vAlign w:val="bottom"/>
            <w:tcBorders>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8"/>
              </w:rPr>
              <w:t>(millions)</w:t>
            </w:r>
          </w:p>
        </w:tc>
        <w:tc>
          <w:tcPr>
            <w:tcW w:w="0" w:type="dxa"/>
            <w:vAlign w:val="bottom"/>
          </w:tcPr>
          <w:p>
            <w:pPr>
              <w:spacing w:after="0"/>
              <w:rPr>
                <w:sz w:val="1"/>
                <w:szCs w:val="1"/>
                <w:color w:val="auto"/>
              </w:rPr>
            </w:pPr>
          </w:p>
        </w:tc>
      </w:tr>
      <w:tr>
        <w:trPr>
          <w:trHeight w:val="47"/>
        </w:trPr>
        <w:tc>
          <w:tcPr>
            <w:tcW w:w="520" w:type="dxa"/>
            <w:vAlign w:val="bottom"/>
            <w:tcBorders>
              <w:left w:val="single" w:sz="8" w:color="auto"/>
              <w:right w:val="single" w:sz="8" w:color="auto"/>
            </w:tcBorders>
            <w:shd w:val="clear" w:color="auto" w:fill="4F81BD"/>
          </w:tcPr>
          <w:p>
            <w:pPr>
              <w:spacing w:after="0"/>
              <w:rPr>
                <w:sz w:val="4"/>
                <w:szCs w:val="4"/>
                <w:color w:val="auto"/>
              </w:rPr>
            </w:pPr>
          </w:p>
        </w:tc>
        <w:tc>
          <w:tcPr>
            <w:tcW w:w="1080" w:type="dxa"/>
            <w:vAlign w:val="bottom"/>
            <w:tcBorders>
              <w:right w:val="single" w:sz="8" w:color="auto"/>
            </w:tcBorders>
            <w:vMerge w:val="restart"/>
            <w:shd w:val="clear" w:color="auto" w:fill="4F81BD"/>
          </w:tcPr>
          <w:p>
            <w:pPr>
              <w:jc w:val="center"/>
              <w:spacing w:after="0"/>
              <w:rPr>
                <w:sz w:val="20"/>
                <w:szCs w:val="20"/>
                <w:color w:val="auto"/>
              </w:rPr>
            </w:pPr>
            <w:r>
              <w:rPr>
                <w:rFonts w:ascii="Arial" w:cs="Arial" w:eastAsia="Arial" w:hAnsi="Arial"/>
                <w:sz w:val="10"/>
                <w:szCs w:val="10"/>
                <w:b w:val="1"/>
                <w:bCs w:val="1"/>
                <w:color w:val="FFFFFF"/>
                <w:w w:val="95"/>
              </w:rPr>
              <w:t>Executive Officer</w:t>
            </w:r>
          </w:p>
        </w:tc>
        <w:tc>
          <w:tcPr>
            <w:tcW w:w="1100" w:type="dxa"/>
            <w:vAlign w:val="bottom"/>
            <w:tcBorders>
              <w:right w:val="single" w:sz="8" w:color="auto"/>
            </w:tcBorders>
            <w:shd w:val="clear" w:color="auto" w:fill="4F81BD"/>
          </w:tcPr>
          <w:p>
            <w:pPr>
              <w:spacing w:after="0"/>
              <w:rPr>
                <w:sz w:val="4"/>
                <w:szCs w:val="4"/>
                <w:color w:val="auto"/>
              </w:rPr>
            </w:pPr>
          </w:p>
        </w:tc>
        <w:tc>
          <w:tcPr>
            <w:tcW w:w="1280" w:type="dxa"/>
            <w:vAlign w:val="bottom"/>
            <w:tcBorders>
              <w:right w:val="single" w:sz="8" w:color="auto"/>
            </w:tcBorders>
            <w:vMerge w:val="restart"/>
            <w:shd w:val="clear" w:color="auto" w:fill="4F81BD"/>
          </w:tcPr>
          <w:p>
            <w:pPr>
              <w:jc w:val="center"/>
              <w:spacing w:after="0"/>
              <w:rPr>
                <w:sz w:val="20"/>
                <w:szCs w:val="20"/>
                <w:color w:val="auto"/>
              </w:rPr>
            </w:pPr>
            <w:r>
              <w:rPr>
                <w:rFonts w:ascii="Arial" w:cs="Arial" w:eastAsia="Arial" w:hAnsi="Arial"/>
                <w:sz w:val="10"/>
                <w:szCs w:val="10"/>
                <w:b w:val="1"/>
                <w:bCs w:val="1"/>
                <w:color w:val="FFFFFF"/>
              </w:rPr>
              <w:t>(d)</w:t>
            </w:r>
          </w:p>
        </w:tc>
        <w:tc>
          <w:tcPr>
            <w:tcW w:w="1200" w:type="dxa"/>
            <w:vAlign w:val="bottom"/>
            <w:tcBorders>
              <w:right w:val="single" w:sz="8" w:color="auto"/>
            </w:tcBorders>
            <w:shd w:val="clear" w:color="auto" w:fill="4F81BD"/>
          </w:tcPr>
          <w:p>
            <w:pPr>
              <w:spacing w:after="0"/>
              <w:rPr>
                <w:sz w:val="4"/>
                <w:szCs w:val="4"/>
                <w:color w:val="auto"/>
              </w:rPr>
            </w:pPr>
          </w:p>
        </w:tc>
        <w:tc>
          <w:tcPr>
            <w:tcW w:w="980" w:type="dxa"/>
            <w:vAlign w:val="bottom"/>
            <w:tcBorders>
              <w:right w:val="single" w:sz="8" w:color="auto"/>
            </w:tcBorders>
            <w:shd w:val="clear" w:color="auto" w:fill="4F81BD"/>
          </w:tcPr>
          <w:p>
            <w:pPr>
              <w:jc w:val="center"/>
              <w:ind w:right="14"/>
              <w:spacing w:after="0" w:line="48" w:lineRule="exact"/>
              <w:rPr>
                <w:sz w:val="20"/>
                <w:szCs w:val="20"/>
                <w:color w:val="auto"/>
              </w:rPr>
            </w:pPr>
            <w:r>
              <w:rPr>
                <w:rFonts w:ascii="Arial" w:cs="Arial" w:eastAsia="Arial" w:hAnsi="Arial"/>
                <w:sz w:val="5"/>
                <w:szCs w:val="5"/>
                <w:b w:val="1"/>
                <w:bCs w:val="1"/>
                <w:color w:val="FFFFFF"/>
              </w:rPr>
              <w:t>Shareholder</w:t>
            </w:r>
          </w:p>
        </w:tc>
        <w:tc>
          <w:tcPr>
            <w:tcW w:w="980" w:type="dxa"/>
            <w:vAlign w:val="bottom"/>
            <w:tcBorders>
              <w:right w:val="single" w:sz="8" w:color="auto"/>
            </w:tcBorders>
            <w:shd w:val="clear" w:color="auto" w:fill="4F81BD"/>
          </w:tcPr>
          <w:p>
            <w:pPr>
              <w:jc w:val="center"/>
              <w:spacing w:after="0" w:line="48" w:lineRule="exact"/>
              <w:rPr>
                <w:sz w:val="20"/>
                <w:szCs w:val="20"/>
                <w:color w:val="auto"/>
              </w:rPr>
            </w:pPr>
            <w:r>
              <w:rPr>
                <w:rFonts w:ascii="Arial" w:cs="Arial" w:eastAsia="Arial" w:hAnsi="Arial"/>
                <w:sz w:val="5"/>
                <w:szCs w:val="5"/>
                <w:b w:val="1"/>
                <w:bCs w:val="1"/>
                <w:color w:val="FFFFFF"/>
              </w:rPr>
              <w:t>Total</w:t>
            </w:r>
          </w:p>
        </w:tc>
        <w:tc>
          <w:tcPr>
            <w:tcW w:w="780" w:type="dxa"/>
            <w:vAlign w:val="bottom"/>
            <w:tcBorders>
              <w:right w:val="single" w:sz="8" w:color="auto"/>
            </w:tcBorders>
            <w:shd w:val="clear" w:color="auto" w:fill="4F81BD"/>
          </w:tcPr>
          <w:p>
            <w:pPr>
              <w:spacing w:after="0"/>
              <w:rPr>
                <w:sz w:val="4"/>
                <w:szCs w:val="4"/>
                <w:color w:val="auto"/>
              </w:rPr>
            </w:pPr>
          </w:p>
        </w:tc>
        <w:tc>
          <w:tcPr>
            <w:tcW w:w="800" w:type="dxa"/>
            <w:vAlign w:val="bottom"/>
            <w:tcBorders>
              <w:right w:val="single" w:sz="8" w:color="auto"/>
            </w:tcBorders>
            <w:vMerge w:val="restart"/>
            <w:shd w:val="clear" w:color="auto" w:fill="4F81BD"/>
          </w:tcPr>
          <w:p>
            <w:pPr>
              <w:jc w:val="center"/>
              <w:spacing w:after="0"/>
              <w:rPr>
                <w:sz w:val="20"/>
                <w:szCs w:val="20"/>
                <w:color w:val="auto"/>
              </w:rPr>
            </w:pPr>
            <w:r>
              <w:rPr>
                <w:rFonts w:ascii="Arial" w:cs="Arial" w:eastAsia="Arial" w:hAnsi="Arial"/>
                <w:sz w:val="10"/>
                <w:szCs w:val="10"/>
                <w:b w:val="1"/>
                <w:bCs w:val="1"/>
                <w:color w:val="FFFFFF"/>
                <w:w w:val="84"/>
              </w:rPr>
              <w:t>(i)</w:t>
            </w:r>
          </w:p>
        </w:tc>
        <w:tc>
          <w:tcPr>
            <w:tcW w:w="0" w:type="dxa"/>
            <w:vAlign w:val="bottom"/>
          </w:tcPr>
          <w:p>
            <w:pPr>
              <w:spacing w:after="0"/>
              <w:rPr>
                <w:sz w:val="1"/>
                <w:szCs w:val="1"/>
                <w:color w:val="auto"/>
              </w:rPr>
            </w:pPr>
          </w:p>
        </w:tc>
      </w:tr>
      <w:tr>
        <w:trPr>
          <w:trHeight w:val="97"/>
        </w:trPr>
        <w:tc>
          <w:tcPr>
            <w:tcW w:w="520" w:type="dxa"/>
            <w:vAlign w:val="bottom"/>
            <w:tcBorders>
              <w:left w:val="single" w:sz="8" w:color="auto"/>
              <w:right w:val="single" w:sz="8" w:color="auto"/>
            </w:tcBorders>
            <w:shd w:val="clear" w:color="auto" w:fill="4F81BD"/>
          </w:tcPr>
          <w:p>
            <w:pPr>
              <w:spacing w:after="0"/>
              <w:rPr>
                <w:sz w:val="8"/>
                <w:szCs w:val="8"/>
                <w:color w:val="auto"/>
              </w:rPr>
            </w:pPr>
          </w:p>
        </w:tc>
        <w:tc>
          <w:tcPr>
            <w:tcW w:w="1080" w:type="dxa"/>
            <w:vAlign w:val="bottom"/>
            <w:tcBorders>
              <w:right w:val="single" w:sz="8" w:color="auto"/>
            </w:tcBorders>
            <w:vMerge w:val="continue"/>
            <w:shd w:val="clear" w:color="auto" w:fill="4F81BD"/>
          </w:tcPr>
          <w:p>
            <w:pPr>
              <w:spacing w:after="0"/>
              <w:rPr>
                <w:sz w:val="8"/>
                <w:szCs w:val="8"/>
                <w:color w:val="auto"/>
              </w:rPr>
            </w:pPr>
          </w:p>
        </w:tc>
        <w:tc>
          <w:tcPr>
            <w:tcW w:w="1100" w:type="dxa"/>
            <w:vAlign w:val="bottom"/>
            <w:tcBorders>
              <w:right w:val="single" w:sz="8" w:color="auto"/>
            </w:tcBorders>
            <w:shd w:val="clear" w:color="auto" w:fill="4F81BD"/>
          </w:tcPr>
          <w:p>
            <w:pPr>
              <w:spacing w:after="0"/>
              <w:rPr>
                <w:sz w:val="8"/>
                <w:szCs w:val="8"/>
                <w:color w:val="auto"/>
              </w:rPr>
            </w:pPr>
          </w:p>
        </w:tc>
        <w:tc>
          <w:tcPr>
            <w:tcW w:w="1280" w:type="dxa"/>
            <w:vAlign w:val="bottom"/>
            <w:tcBorders>
              <w:right w:val="single" w:sz="8" w:color="auto"/>
            </w:tcBorders>
            <w:vMerge w:val="continue"/>
            <w:shd w:val="clear" w:color="auto" w:fill="4F81BD"/>
          </w:tcPr>
          <w:p>
            <w:pPr>
              <w:spacing w:after="0"/>
              <w:rPr>
                <w:sz w:val="8"/>
                <w:szCs w:val="8"/>
                <w:color w:val="auto"/>
              </w:rPr>
            </w:pPr>
          </w:p>
        </w:tc>
        <w:tc>
          <w:tcPr>
            <w:tcW w:w="1200" w:type="dxa"/>
            <w:vAlign w:val="bottom"/>
            <w:tcBorders>
              <w:right w:val="single" w:sz="8" w:color="auto"/>
            </w:tcBorders>
            <w:shd w:val="clear" w:color="auto" w:fill="4F81BD"/>
          </w:tcPr>
          <w:p>
            <w:pPr>
              <w:spacing w:after="0"/>
              <w:rPr>
                <w:sz w:val="8"/>
                <w:szCs w:val="8"/>
                <w:color w:val="auto"/>
              </w:rPr>
            </w:pPr>
          </w:p>
        </w:tc>
        <w:tc>
          <w:tcPr>
            <w:tcW w:w="980" w:type="dxa"/>
            <w:vAlign w:val="bottom"/>
            <w:tcBorders>
              <w:right w:val="single" w:sz="8" w:color="auto"/>
            </w:tcBorders>
            <w:shd w:val="clear" w:color="auto" w:fill="4F81BD"/>
          </w:tcPr>
          <w:p>
            <w:pPr>
              <w:jc w:val="center"/>
              <w:spacing w:after="0" w:line="98" w:lineRule="exact"/>
              <w:rPr>
                <w:sz w:val="20"/>
                <w:szCs w:val="20"/>
                <w:color w:val="auto"/>
              </w:rPr>
            </w:pPr>
            <w:r>
              <w:rPr>
                <w:rFonts w:ascii="Arial" w:cs="Arial" w:eastAsia="Arial" w:hAnsi="Arial"/>
                <w:sz w:val="10"/>
                <w:szCs w:val="10"/>
                <w:b w:val="1"/>
                <w:bCs w:val="1"/>
                <w:color w:val="FFFFFF"/>
                <w:w w:val="92"/>
              </w:rPr>
              <w:t>Return</w:t>
            </w:r>
          </w:p>
        </w:tc>
        <w:tc>
          <w:tcPr>
            <w:tcW w:w="980" w:type="dxa"/>
            <w:vAlign w:val="bottom"/>
            <w:tcBorders>
              <w:right w:val="single" w:sz="8" w:color="auto"/>
            </w:tcBorders>
            <w:shd w:val="clear" w:color="auto" w:fill="4F81BD"/>
          </w:tcPr>
          <w:p>
            <w:pPr>
              <w:jc w:val="center"/>
              <w:ind w:right="15"/>
              <w:spacing w:after="0" w:line="98" w:lineRule="exact"/>
              <w:rPr>
                <w:sz w:val="20"/>
                <w:szCs w:val="20"/>
                <w:color w:val="auto"/>
              </w:rPr>
            </w:pPr>
            <w:r>
              <w:rPr>
                <w:rFonts w:ascii="Arial" w:cs="Arial" w:eastAsia="Arial" w:hAnsi="Arial"/>
                <w:sz w:val="10"/>
                <w:szCs w:val="10"/>
                <w:b w:val="1"/>
                <w:bCs w:val="1"/>
                <w:color w:val="FFFFFF"/>
                <w:w w:val="95"/>
              </w:rPr>
              <w:t>Shareholder</w:t>
            </w:r>
          </w:p>
        </w:tc>
        <w:tc>
          <w:tcPr>
            <w:tcW w:w="780" w:type="dxa"/>
            <w:vAlign w:val="bottom"/>
            <w:tcBorders>
              <w:right w:val="single" w:sz="8" w:color="auto"/>
            </w:tcBorders>
            <w:shd w:val="clear" w:color="auto" w:fill="4F81BD"/>
          </w:tcPr>
          <w:p>
            <w:pPr>
              <w:spacing w:after="0"/>
              <w:rPr>
                <w:sz w:val="8"/>
                <w:szCs w:val="8"/>
                <w:color w:val="auto"/>
              </w:rPr>
            </w:pPr>
          </w:p>
        </w:tc>
        <w:tc>
          <w:tcPr>
            <w:tcW w:w="800" w:type="dxa"/>
            <w:vAlign w:val="bottom"/>
            <w:tcBorders>
              <w:right w:val="single" w:sz="8" w:color="auto"/>
            </w:tcBorders>
            <w:vMerge w:val="continue"/>
            <w:shd w:val="clear" w:color="auto" w:fill="4F81BD"/>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520" w:type="dxa"/>
            <w:vAlign w:val="bottom"/>
            <w:tcBorders>
              <w:left w:val="single" w:sz="8" w:color="auto"/>
              <w:right w:val="single" w:sz="8" w:color="auto"/>
            </w:tcBorders>
            <w:shd w:val="clear" w:color="auto" w:fill="4F81BD"/>
          </w:tcPr>
          <w:p>
            <w:pPr>
              <w:spacing w:after="0"/>
              <w:rPr>
                <w:sz w:val="5"/>
                <w:szCs w:val="5"/>
                <w:color w:val="auto"/>
              </w:rPr>
            </w:pPr>
          </w:p>
        </w:tc>
        <w:tc>
          <w:tcPr>
            <w:tcW w:w="1080" w:type="dxa"/>
            <w:vAlign w:val="bottom"/>
            <w:tcBorders>
              <w:right w:val="single" w:sz="8" w:color="auto"/>
            </w:tcBorders>
            <w:shd w:val="clear" w:color="auto" w:fill="4F81BD"/>
          </w:tcPr>
          <w:p>
            <w:pPr>
              <w:jc w:val="center"/>
              <w:spacing w:after="0" w:line="67" w:lineRule="exact"/>
              <w:rPr>
                <w:sz w:val="20"/>
                <w:szCs w:val="20"/>
                <w:color w:val="auto"/>
              </w:rPr>
            </w:pPr>
            <w:r>
              <w:rPr>
                <w:rFonts w:ascii="Arial" w:cs="Arial" w:eastAsia="Arial" w:hAnsi="Arial"/>
                <w:sz w:val="7"/>
                <w:szCs w:val="7"/>
                <w:b w:val="1"/>
                <w:bCs w:val="1"/>
                <w:color w:val="FFFFFF"/>
              </w:rPr>
              <w:t>(PEO)</w:t>
            </w:r>
          </w:p>
        </w:tc>
        <w:tc>
          <w:tcPr>
            <w:tcW w:w="1100" w:type="dxa"/>
            <w:vAlign w:val="bottom"/>
            <w:tcBorders>
              <w:right w:val="single" w:sz="8" w:color="auto"/>
            </w:tcBorders>
            <w:shd w:val="clear" w:color="auto" w:fill="4F81BD"/>
          </w:tcPr>
          <w:p>
            <w:pPr>
              <w:spacing w:after="0"/>
              <w:rPr>
                <w:sz w:val="5"/>
                <w:szCs w:val="5"/>
                <w:color w:val="auto"/>
              </w:rPr>
            </w:pPr>
          </w:p>
        </w:tc>
        <w:tc>
          <w:tcPr>
            <w:tcW w:w="1280" w:type="dxa"/>
            <w:vAlign w:val="bottom"/>
            <w:tcBorders>
              <w:right w:val="single" w:sz="8" w:color="auto"/>
            </w:tcBorders>
            <w:shd w:val="clear" w:color="auto" w:fill="4F81BD"/>
          </w:tcPr>
          <w:p>
            <w:pPr>
              <w:spacing w:after="0"/>
              <w:rPr>
                <w:sz w:val="5"/>
                <w:szCs w:val="5"/>
                <w:color w:val="auto"/>
              </w:rPr>
            </w:pPr>
          </w:p>
        </w:tc>
        <w:tc>
          <w:tcPr>
            <w:tcW w:w="1200" w:type="dxa"/>
            <w:vAlign w:val="bottom"/>
            <w:tcBorders>
              <w:right w:val="single" w:sz="8" w:color="auto"/>
            </w:tcBorders>
            <w:shd w:val="clear" w:color="auto" w:fill="4F81BD"/>
          </w:tcPr>
          <w:p>
            <w:pPr>
              <w:spacing w:after="0"/>
              <w:rPr>
                <w:sz w:val="5"/>
                <w:szCs w:val="5"/>
                <w:color w:val="auto"/>
              </w:rPr>
            </w:pPr>
          </w:p>
        </w:tc>
        <w:tc>
          <w:tcPr>
            <w:tcW w:w="980" w:type="dxa"/>
            <w:vAlign w:val="bottom"/>
            <w:tcBorders>
              <w:right w:val="single" w:sz="8" w:color="auto"/>
            </w:tcBorders>
            <w:vMerge w:val="restart"/>
            <w:shd w:val="clear" w:color="auto" w:fill="4F81BD"/>
          </w:tcPr>
          <w:p>
            <w:pPr>
              <w:jc w:val="center"/>
              <w:spacing w:after="0"/>
              <w:rPr>
                <w:sz w:val="20"/>
                <w:szCs w:val="20"/>
                <w:color w:val="auto"/>
              </w:rPr>
            </w:pPr>
            <w:r>
              <w:rPr>
                <w:rFonts w:ascii="Arial" w:cs="Arial" w:eastAsia="Arial" w:hAnsi="Arial"/>
                <w:sz w:val="10"/>
                <w:szCs w:val="10"/>
                <w:b w:val="1"/>
                <w:bCs w:val="1"/>
                <w:color w:val="FFFFFF"/>
                <w:w w:val="99"/>
              </w:rPr>
              <w:t>(f)</w:t>
            </w:r>
          </w:p>
        </w:tc>
        <w:tc>
          <w:tcPr>
            <w:tcW w:w="980" w:type="dxa"/>
            <w:vAlign w:val="bottom"/>
            <w:tcBorders>
              <w:right w:val="single" w:sz="8" w:color="auto"/>
            </w:tcBorders>
            <w:shd w:val="clear" w:color="auto" w:fill="4F81BD"/>
          </w:tcPr>
          <w:p>
            <w:pPr>
              <w:jc w:val="right"/>
              <w:ind w:right="295"/>
              <w:spacing w:after="0" w:line="67" w:lineRule="exact"/>
              <w:rPr>
                <w:sz w:val="20"/>
                <w:szCs w:val="20"/>
                <w:color w:val="auto"/>
              </w:rPr>
            </w:pPr>
            <w:r>
              <w:rPr>
                <w:rFonts w:ascii="Arial" w:cs="Arial" w:eastAsia="Arial" w:hAnsi="Arial"/>
                <w:sz w:val="7"/>
                <w:szCs w:val="7"/>
                <w:b w:val="1"/>
                <w:bCs w:val="1"/>
                <w:color w:val="FFFFFF"/>
              </w:rPr>
              <w:t>4</w:t>
            </w:r>
          </w:p>
        </w:tc>
        <w:tc>
          <w:tcPr>
            <w:tcW w:w="780" w:type="dxa"/>
            <w:vAlign w:val="bottom"/>
            <w:tcBorders>
              <w:right w:val="single" w:sz="8" w:color="auto"/>
            </w:tcBorders>
            <w:shd w:val="clear" w:color="auto" w:fill="4F81BD"/>
          </w:tcPr>
          <w:p>
            <w:pPr>
              <w:spacing w:after="0"/>
              <w:rPr>
                <w:sz w:val="5"/>
                <w:szCs w:val="5"/>
                <w:color w:val="auto"/>
              </w:rPr>
            </w:pPr>
          </w:p>
        </w:tc>
        <w:tc>
          <w:tcPr>
            <w:tcW w:w="800" w:type="dxa"/>
            <w:vAlign w:val="bottom"/>
            <w:tcBorders>
              <w:right w:val="single" w:sz="8" w:color="auto"/>
            </w:tcBorders>
            <w:shd w:val="clear" w:color="auto" w:fill="4F81BD"/>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520" w:type="dxa"/>
            <w:vAlign w:val="bottom"/>
            <w:tcBorders>
              <w:left w:val="single" w:sz="8" w:color="auto"/>
              <w:right w:val="single" w:sz="8" w:color="auto"/>
            </w:tcBorders>
            <w:shd w:val="clear" w:color="auto" w:fill="4F81BD"/>
          </w:tcPr>
          <w:p>
            <w:pPr>
              <w:spacing w:after="0"/>
              <w:rPr>
                <w:sz w:val="7"/>
                <w:szCs w:val="7"/>
                <w:color w:val="auto"/>
              </w:rPr>
            </w:pPr>
          </w:p>
        </w:tc>
        <w:tc>
          <w:tcPr>
            <w:tcW w:w="1080" w:type="dxa"/>
            <w:vAlign w:val="bottom"/>
            <w:tcBorders>
              <w:right w:val="single" w:sz="8" w:color="auto"/>
            </w:tcBorders>
            <w:vMerge w:val="restart"/>
            <w:shd w:val="clear" w:color="auto" w:fill="4F81BD"/>
          </w:tcPr>
          <w:p>
            <w:pPr>
              <w:jc w:val="center"/>
              <w:spacing w:after="0" w:line="134" w:lineRule="exact"/>
              <w:rPr>
                <w:sz w:val="20"/>
                <w:szCs w:val="20"/>
                <w:color w:val="auto"/>
              </w:rPr>
            </w:pPr>
            <w:r>
              <w:rPr>
                <w:rFonts w:ascii="Arial" w:cs="Arial" w:eastAsia="Arial" w:hAnsi="Arial"/>
                <w:sz w:val="10"/>
                <w:szCs w:val="10"/>
                <w:b w:val="1"/>
                <w:bCs w:val="1"/>
                <w:color w:val="FFFFFF"/>
                <w:w w:val="90"/>
              </w:rPr>
              <w:t>(b)</w:t>
            </w:r>
            <w:r>
              <w:rPr>
                <w:rFonts w:ascii="Arial" w:cs="Arial" w:eastAsia="Arial" w:hAnsi="Arial"/>
                <w:sz w:val="13"/>
                <w:szCs w:val="13"/>
                <w:b w:val="1"/>
                <w:bCs w:val="1"/>
                <w:color w:val="FFFFFF"/>
                <w:w w:val="90"/>
                <w:vertAlign w:val="superscript"/>
              </w:rPr>
              <w:t>1</w:t>
            </w:r>
          </w:p>
        </w:tc>
        <w:tc>
          <w:tcPr>
            <w:tcW w:w="1100" w:type="dxa"/>
            <w:vAlign w:val="bottom"/>
            <w:tcBorders>
              <w:right w:val="single" w:sz="8" w:color="auto"/>
            </w:tcBorders>
            <w:shd w:val="clear" w:color="auto" w:fill="4F81BD"/>
          </w:tcPr>
          <w:p>
            <w:pPr>
              <w:spacing w:after="0"/>
              <w:rPr>
                <w:sz w:val="7"/>
                <w:szCs w:val="7"/>
                <w:color w:val="auto"/>
              </w:rPr>
            </w:pPr>
          </w:p>
        </w:tc>
        <w:tc>
          <w:tcPr>
            <w:tcW w:w="1280" w:type="dxa"/>
            <w:vAlign w:val="bottom"/>
            <w:tcBorders>
              <w:right w:val="single" w:sz="8" w:color="auto"/>
            </w:tcBorders>
            <w:shd w:val="clear" w:color="auto" w:fill="4F81BD"/>
          </w:tcPr>
          <w:p>
            <w:pPr>
              <w:spacing w:after="0"/>
              <w:rPr>
                <w:sz w:val="7"/>
                <w:szCs w:val="7"/>
                <w:color w:val="auto"/>
              </w:rPr>
            </w:pPr>
          </w:p>
        </w:tc>
        <w:tc>
          <w:tcPr>
            <w:tcW w:w="1200" w:type="dxa"/>
            <w:vAlign w:val="bottom"/>
            <w:tcBorders>
              <w:right w:val="single" w:sz="8" w:color="auto"/>
            </w:tcBorders>
            <w:shd w:val="clear" w:color="auto" w:fill="4F81BD"/>
          </w:tcPr>
          <w:p>
            <w:pPr>
              <w:spacing w:after="0"/>
              <w:rPr>
                <w:sz w:val="7"/>
                <w:szCs w:val="7"/>
                <w:color w:val="auto"/>
              </w:rPr>
            </w:pPr>
          </w:p>
        </w:tc>
        <w:tc>
          <w:tcPr>
            <w:tcW w:w="980" w:type="dxa"/>
            <w:vAlign w:val="bottom"/>
            <w:tcBorders>
              <w:right w:val="single" w:sz="8" w:color="auto"/>
            </w:tcBorders>
            <w:vMerge w:val="continue"/>
            <w:shd w:val="clear" w:color="auto" w:fill="4F81BD"/>
          </w:tcPr>
          <w:p>
            <w:pPr>
              <w:spacing w:after="0"/>
              <w:rPr>
                <w:sz w:val="7"/>
                <w:szCs w:val="7"/>
                <w:color w:val="auto"/>
              </w:rPr>
            </w:pPr>
          </w:p>
        </w:tc>
        <w:tc>
          <w:tcPr>
            <w:tcW w:w="980" w:type="dxa"/>
            <w:vAlign w:val="bottom"/>
            <w:tcBorders>
              <w:right w:val="single" w:sz="8" w:color="auto"/>
            </w:tcBorders>
            <w:vMerge w:val="restart"/>
            <w:shd w:val="clear" w:color="auto" w:fill="4F81BD"/>
          </w:tcPr>
          <w:p>
            <w:pPr>
              <w:jc w:val="right"/>
              <w:ind w:right="335"/>
              <w:spacing w:after="0"/>
              <w:rPr>
                <w:sz w:val="20"/>
                <w:szCs w:val="20"/>
                <w:color w:val="auto"/>
              </w:rPr>
            </w:pPr>
            <w:r>
              <w:rPr>
                <w:rFonts w:ascii="Arial" w:cs="Arial" w:eastAsia="Arial" w:hAnsi="Arial"/>
                <w:sz w:val="10"/>
                <w:szCs w:val="10"/>
                <w:b w:val="1"/>
                <w:bCs w:val="1"/>
                <w:color w:val="FFFFFF"/>
              </w:rPr>
              <w:t>Return</w:t>
            </w:r>
          </w:p>
        </w:tc>
        <w:tc>
          <w:tcPr>
            <w:tcW w:w="780" w:type="dxa"/>
            <w:vAlign w:val="bottom"/>
            <w:tcBorders>
              <w:right w:val="single" w:sz="8" w:color="auto"/>
            </w:tcBorders>
            <w:shd w:val="clear" w:color="auto" w:fill="4F81BD"/>
          </w:tcPr>
          <w:p>
            <w:pPr>
              <w:spacing w:after="0"/>
              <w:rPr>
                <w:sz w:val="7"/>
                <w:szCs w:val="7"/>
                <w:color w:val="auto"/>
              </w:rPr>
            </w:pPr>
          </w:p>
        </w:tc>
        <w:tc>
          <w:tcPr>
            <w:tcW w:w="800" w:type="dxa"/>
            <w:vAlign w:val="bottom"/>
            <w:tcBorders>
              <w:right w:val="single" w:sz="8" w:color="auto"/>
            </w:tcBorders>
            <w:shd w:val="clear" w:color="auto" w:fill="4F81BD"/>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520" w:type="dxa"/>
            <w:vAlign w:val="bottom"/>
            <w:tcBorders>
              <w:left w:val="single" w:sz="8" w:color="auto"/>
              <w:right w:val="single" w:sz="8" w:color="auto"/>
            </w:tcBorders>
            <w:shd w:val="clear" w:color="auto" w:fill="4F81BD"/>
          </w:tcPr>
          <w:p>
            <w:pPr>
              <w:spacing w:after="0"/>
              <w:rPr>
                <w:sz w:val="3"/>
                <w:szCs w:val="3"/>
                <w:color w:val="auto"/>
              </w:rPr>
            </w:pPr>
          </w:p>
        </w:tc>
        <w:tc>
          <w:tcPr>
            <w:tcW w:w="1080" w:type="dxa"/>
            <w:vAlign w:val="bottom"/>
            <w:tcBorders>
              <w:right w:val="single" w:sz="8" w:color="auto"/>
            </w:tcBorders>
            <w:vMerge w:val="continue"/>
            <w:shd w:val="clear" w:color="auto" w:fill="4F81BD"/>
          </w:tcPr>
          <w:p>
            <w:pPr>
              <w:spacing w:after="0"/>
              <w:rPr>
                <w:sz w:val="3"/>
                <w:szCs w:val="3"/>
                <w:color w:val="auto"/>
              </w:rPr>
            </w:pPr>
          </w:p>
        </w:tc>
        <w:tc>
          <w:tcPr>
            <w:tcW w:w="1100" w:type="dxa"/>
            <w:vAlign w:val="bottom"/>
            <w:tcBorders>
              <w:right w:val="single" w:sz="8" w:color="auto"/>
            </w:tcBorders>
            <w:shd w:val="clear" w:color="auto" w:fill="4F81BD"/>
          </w:tcPr>
          <w:p>
            <w:pPr>
              <w:spacing w:after="0"/>
              <w:rPr>
                <w:sz w:val="3"/>
                <w:szCs w:val="3"/>
                <w:color w:val="auto"/>
              </w:rPr>
            </w:pPr>
          </w:p>
        </w:tc>
        <w:tc>
          <w:tcPr>
            <w:tcW w:w="1280" w:type="dxa"/>
            <w:vAlign w:val="bottom"/>
            <w:tcBorders>
              <w:right w:val="single" w:sz="8" w:color="auto"/>
            </w:tcBorders>
            <w:shd w:val="clear" w:color="auto" w:fill="4F81BD"/>
          </w:tcPr>
          <w:p>
            <w:pPr>
              <w:spacing w:after="0"/>
              <w:rPr>
                <w:sz w:val="3"/>
                <w:szCs w:val="3"/>
                <w:color w:val="auto"/>
              </w:rPr>
            </w:pPr>
          </w:p>
        </w:tc>
        <w:tc>
          <w:tcPr>
            <w:tcW w:w="1200" w:type="dxa"/>
            <w:vAlign w:val="bottom"/>
            <w:tcBorders>
              <w:right w:val="single" w:sz="8" w:color="auto"/>
            </w:tcBorders>
            <w:shd w:val="clear" w:color="auto" w:fill="4F81BD"/>
          </w:tcPr>
          <w:p>
            <w:pPr>
              <w:spacing w:after="0"/>
              <w:rPr>
                <w:sz w:val="3"/>
                <w:szCs w:val="3"/>
                <w:color w:val="auto"/>
              </w:rPr>
            </w:pPr>
          </w:p>
        </w:tc>
        <w:tc>
          <w:tcPr>
            <w:tcW w:w="980" w:type="dxa"/>
            <w:vAlign w:val="bottom"/>
            <w:tcBorders>
              <w:right w:val="single" w:sz="8" w:color="auto"/>
            </w:tcBorders>
            <w:shd w:val="clear" w:color="auto" w:fill="4F81BD"/>
          </w:tcPr>
          <w:p>
            <w:pPr>
              <w:spacing w:after="0"/>
              <w:rPr>
                <w:sz w:val="3"/>
                <w:szCs w:val="3"/>
                <w:color w:val="auto"/>
              </w:rPr>
            </w:pPr>
          </w:p>
        </w:tc>
        <w:tc>
          <w:tcPr>
            <w:tcW w:w="980" w:type="dxa"/>
            <w:vAlign w:val="bottom"/>
            <w:tcBorders>
              <w:right w:val="single" w:sz="8" w:color="auto"/>
            </w:tcBorders>
            <w:vMerge w:val="continue"/>
            <w:shd w:val="clear" w:color="auto" w:fill="4F81BD"/>
          </w:tcPr>
          <w:p>
            <w:pPr>
              <w:spacing w:after="0"/>
              <w:rPr>
                <w:sz w:val="3"/>
                <w:szCs w:val="3"/>
                <w:color w:val="auto"/>
              </w:rPr>
            </w:pPr>
          </w:p>
        </w:tc>
        <w:tc>
          <w:tcPr>
            <w:tcW w:w="780" w:type="dxa"/>
            <w:vAlign w:val="bottom"/>
            <w:tcBorders>
              <w:right w:val="single" w:sz="8" w:color="auto"/>
            </w:tcBorders>
            <w:shd w:val="clear" w:color="auto" w:fill="4F81BD"/>
          </w:tcPr>
          <w:p>
            <w:pPr>
              <w:spacing w:after="0"/>
              <w:rPr>
                <w:sz w:val="3"/>
                <w:szCs w:val="3"/>
                <w:color w:val="auto"/>
              </w:rPr>
            </w:pPr>
          </w:p>
        </w:tc>
        <w:tc>
          <w:tcPr>
            <w:tcW w:w="800" w:type="dxa"/>
            <w:vAlign w:val="bottom"/>
            <w:tcBorders>
              <w:right w:val="single" w:sz="8" w:color="auto"/>
            </w:tcBorders>
            <w:shd w:val="clear" w:color="auto" w:fill="4F81BD"/>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520" w:type="dxa"/>
            <w:vAlign w:val="bottom"/>
            <w:tcBorders>
              <w:left w:val="single" w:sz="8" w:color="auto"/>
              <w:bottom w:val="single" w:sz="8" w:color="auto"/>
              <w:right w:val="single" w:sz="8" w:color="auto"/>
            </w:tcBorders>
            <w:shd w:val="clear" w:color="auto" w:fill="4F81BD"/>
          </w:tcPr>
          <w:p>
            <w:pPr>
              <w:spacing w:after="0"/>
              <w:rPr>
                <w:sz w:val="9"/>
                <w:szCs w:val="9"/>
                <w:color w:val="auto"/>
              </w:rPr>
            </w:pPr>
          </w:p>
        </w:tc>
        <w:tc>
          <w:tcPr>
            <w:tcW w:w="1080" w:type="dxa"/>
            <w:vAlign w:val="bottom"/>
            <w:tcBorders>
              <w:bottom w:val="single" w:sz="8" w:color="auto"/>
              <w:right w:val="single" w:sz="8" w:color="auto"/>
            </w:tcBorders>
            <w:shd w:val="clear" w:color="auto" w:fill="4F81BD"/>
          </w:tcPr>
          <w:p>
            <w:pPr>
              <w:spacing w:after="0"/>
              <w:rPr>
                <w:sz w:val="9"/>
                <w:szCs w:val="9"/>
                <w:color w:val="auto"/>
              </w:rPr>
            </w:pPr>
          </w:p>
        </w:tc>
        <w:tc>
          <w:tcPr>
            <w:tcW w:w="1100" w:type="dxa"/>
            <w:vAlign w:val="bottom"/>
            <w:tcBorders>
              <w:bottom w:val="single" w:sz="8" w:color="auto"/>
              <w:right w:val="single" w:sz="8" w:color="auto"/>
            </w:tcBorders>
            <w:shd w:val="clear" w:color="auto" w:fill="4F81BD"/>
          </w:tcPr>
          <w:p>
            <w:pPr>
              <w:spacing w:after="0"/>
              <w:rPr>
                <w:sz w:val="9"/>
                <w:szCs w:val="9"/>
                <w:color w:val="auto"/>
              </w:rPr>
            </w:pPr>
          </w:p>
        </w:tc>
        <w:tc>
          <w:tcPr>
            <w:tcW w:w="1280" w:type="dxa"/>
            <w:vAlign w:val="bottom"/>
            <w:tcBorders>
              <w:bottom w:val="single" w:sz="8" w:color="auto"/>
              <w:right w:val="single" w:sz="8" w:color="auto"/>
            </w:tcBorders>
            <w:shd w:val="clear" w:color="auto" w:fill="4F81BD"/>
          </w:tcPr>
          <w:p>
            <w:pPr>
              <w:spacing w:after="0"/>
              <w:rPr>
                <w:sz w:val="9"/>
                <w:szCs w:val="9"/>
                <w:color w:val="auto"/>
              </w:rPr>
            </w:pPr>
          </w:p>
        </w:tc>
        <w:tc>
          <w:tcPr>
            <w:tcW w:w="1200" w:type="dxa"/>
            <w:vAlign w:val="bottom"/>
            <w:tcBorders>
              <w:bottom w:val="single" w:sz="8" w:color="auto"/>
              <w:right w:val="single" w:sz="8" w:color="auto"/>
            </w:tcBorders>
            <w:shd w:val="clear" w:color="auto" w:fill="4F81BD"/>
          </w:tcPr>
          <w:p>
            <w:pPr>
              <w:spacing w:after="0"/>
              <w:rPr>
                <w:sz w:val="9"/>
                <w:szCs w:val="9"/>
                <w:color w:val="auto"/>
              </w:rPr>
            </w:pPr>
          </w:p>
        </w:tc>
        <w:tc>
          <w:tcPr>
            <w:tcW w:w="980" w:type="dxa"/>
            <w:vAlign w:val="bottom"/>
            <w:tcBorders>
              <w:bottom w:val="single" w:sz="8" w:color="auto"/>
              <w:right w:val="single" w:sz="8" w:color="auto"/>
            </w:tcBorders>
            <w:shd w:val="clear" w:color="auto" w:fill="4F81BD"/>
          </w:tcPr>
          <w:p>
            <w:pPr>
              <w:spacing w:after="0"/>
              <w:rPr>
                <w:sz w:val="9"/>
                <w:szCs w:val="9"/>
                <w:color w:val="auto"/>
              </w:rPr>
            </w:pPr>
          </w:p>
        </w:tc>
        <w:tc>
          <w:tcPr>
            <w:tcW w:w="980" w:type="dxa"/>
            <w:vAlign w:val="bottom"/>
            <w:tcBorders>
              <w:bottom w:val="single" w:sz="8" w:color="auto"/>
              <w:right w:val="single" w:sz="8" w:color="auto"/>
            </w:tcBorders>
            <w:shd w:val="clear" w:color="auto" w:fill="4F81BD"/>
          </w:tcPr>
          <w:p>
            <w:pPr>
              <w:jc w:val="center"/>
              <w:ind w:right="15"/>
              <w:spacing w:after="0" w:line="112" w:lineRule="exact"/>
              <w:rPr>
                <w:sz w:val="20"/>
                <w:szCs w:val="20"/>
                <w:color w:val="auto"/>
              </w:rPr>
            </w:pPr>
            <w:r>
              <w:rPr>
                <w:rFonts w:ascii="Arial" w:cs="Arial" w:eastAsia="Arial" w:hAnsi="Arial"/>
                <w:sz w:val="10"/>
                <w:szCs w:val="10"/>
                <w:b w:val="1"/>
                <w:bCs w:val="1"/>
                <w:color w:val="FFFFFF"/>
                <w:w w:val="93"/>
              </w:rPr>
              <w:t>(g)</w:t>
            </w:r>
          </w:p>
        </w:tc>
        <w:tc>
          <w:tcPr>
            <w:tcW w:w="780" w:type="dxa"/>
            <w:vAlign w:val="bottom"/>
            <w:tcBorders>
              <w:bottom w:val="single" w:sz="8" w:color="auto"/>
              <w:right w:val="single" w:sz="8" w:color="auto"/>
            </w:tcBorders>
            <w:shd w:val="clear" w:color="auto" w:fill="4F81BD"/>
          </w:tcPr>
          <w:p>
            <w:pPr>
              <w:spacing w:after="0"/>
              <w:rPr>
                <w:sz w:val="9"/>
                <w:szCs w:val="9"/>
                <w:color w:val="auto"/>
              </w:rPr>
            </w:pPr>
          </w:p>
        </w:tc>
        <w:tc>
          <w:tcPr>
            <w:tcW w:w="800" w:type="dxa"/>
            <w:vAlign w:val="bottom"/>
            <w:tcBorders>
              <w:bottom w:val="single" w:sz="8" w:color="auto"/>
              <w:right w:val="single" w:sz="8" w:color="auto"/>
            </w:tcBorders>
            <w:shd w:val="clear" w:color="auto" w:fill="4F81BD"/>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2025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$8,253,108</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$5,503,148</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$1,425,451</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$1,109,140</w:t>
            </w:r>
          </w:p>
        </w:tc>
        <w:tc>
          <w:tcPr>
            <w:tcW w:w="98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0"/>
                <w:szCs w:val="10"/>
                <w:color w:val="auto"/>
                <w:w w:val="95"/>
              </w:rPr>
              <w:t>$91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$116.6</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$151.8</w:t>
            </w:r>
          </w:p>
        </w:tc>
        <w:tc>
          <w:tcPr>
            <w:tcW w:w="0" w:type="dxa"/>
            <w:vAlign w:val="bottom"/>
          </w:tcPr>
          <w:p>
            <w:pPr>
              <w:spacing w:after="0"/>
              <w:rPr>
                <w:sz w:val="1"/>
                <w:szCs w:val="1"/>
                <w:color w:val="auto"/>
              </w:rPr>
            </w:pPr>
          </w:p>
        </w:tc>
      </w:tr>
      <w:tr>
        <w:trPr>
          <w:trHeight w:val="147"/>
        </w:trPr>
        <w:tc>
          <w:tcPr>
            <w:tcW w:w="520" w:type="dxa"/>
            <w:vAlign w:val="bottom"/>
            <w:tcBorders>
              <w:left w:val="single" w:sz="8" w:color="auto"/>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8"/>
              </w:rPr>
              <w:t>2024</w:t>
            </w:r>
          </w:p>
        </w:tc>
        <w:tc>
          <w:tcPr>
            <w:tcW w:w="108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7"/>
              </w:rPr>
              <w:t>$13,216,384</w:t>
            </w:r>
          </w:p>
        </w:tc>
        <w:tc>
          <w:tcPr>
            <w:tcW w:w="110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3"/>
              </w:rPr>
              <w:t>$11,169,734</w:t>
            </w:r>
          </w:p>
        </w:tc>
        <w:tc>
          <w:tcPr>
            <w:tcW w:w="128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9"/>
              </w:rPr>
              <w:t>$2,282,244</w:t>
            </w:r>
          </w:p>
        </w:tc>
        <w:tc>
          <w:tcPr>
            <w:tcW w:w="120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5"/>
              </w:rPr>
              <w:t>$2,148,332</w:t>
            </w:r>
          </w:p>
        </w:tc>
        <w:tc>
          <w:tcPr>
            <w:tcW w:w="98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8"/>
              </w:rPr>
              <w:t>$128</w:t>
            </w:r>
          </w:p>
        </w:tc>
        <w:tc>
          <w:tcPr>
            <w:tcW w:w="98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8"/>
              </w:rPr>
              <w:t>$108</w:t>
            </w:r>
          </w:p>
        </w:tc>
        <w:tc>
          <w:tcPr>
            <w:tcW w:w="78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5"/>
              </w:rPr>
              <w:t>$35.6</w:t>
            </w:r>
          </w:p>
        </w:tc>
        <w:tc>
          <w:tcPr>
            <w:tcW w:w="80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1"/>
              </w:rPr>
              <w:t>$209.4</w:t>
            </w:r>
          </w:p>
        </w:tc>
        <w:tc>
          <w:tcPr>
            <w:tcW w:w="0" w:type="dxa"/>
            <w:vAlign w:val="bottom"/>
          </w:tcPr>
          <w:p>
            <w:pPr>
              <w:spacing w:after="0"/>
              <w:rPr>
                <w:sz w:val="1"/>
                <w:szCs w:val="1"/>
                <w:color w:val="auto"/>
              </w:rPr>
            </w:pPr>
          </w:p>
        </w:tc>
      </w:tr>
      <w:tr>
        <w:trPr>
          <w:trHeight w:val="147"/>
        </w:trPr>
        <w:tc>
          <w:tcPr>
            <w:tcW w:w="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2023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$7,299,862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$10,144,030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$1,253,550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$1,604,203</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$141</w:t>
            </w:r>
          </w:p>
        </w:tc>
        <w:tc>
          <w:tcPr>
            <w:tcW w:w="980" w:type="dxa"/>
            <w:vAlign w:val="bottom"/>
            <w:tcBorders>
              <w:bottom w:val="single" w:sz="8" w:color="auto"/>
              <w:right w:val="single" w:sz="8" w:color="auto"/>
            </w:tcBorders>
          </w:tcPr>
          <w:p>
            <w:pPr>
              <w:jc w:val="center"/>
              <w:ind w:right="15"/>
              <w:spacing w:after="0"/>
              <w:rPr>
                <w:sz w:val="20"/>
                <w:szCs w:val="20"/>
                <w:color w:val="auto"/>
              </w:rPr>
            </w:pPr>
            <w:r>
              <w:rPr>
                <w:rFonts w:ascii="Arial" w:cs="Arial" w:eastAsia="Arial" w:hAnsi="Arial"/>
                <w:sz w:val="10"/>
                <w:szCs w:val="10"/>
                <w:color w:val="auto"/>
                <w:w w:val="89"/>
              </w:rPr>
              <w:t>$110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7"/>
              </w:rPr>
              <w:t>$139.1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$182.1</w:t>
            </w:r>
          </w:p>
        </w:tc>
        <w:tc>
          <w:tcPr>
            <w:tcW w:w="0" w:type="dxa"/>
            <w:vAlign w:val="bottom"/>
          </w:tcPr>
          <w:p>
            <w:pPr>
              <w:spacing w:after="0"/>
              <w:rPr>
                <w:sz w:val="1"/>
                <w:szCs w:val="1"/>
                <w:color w:val="auto"/>
              </w:rPr>
            </w:pPr>
          </w:p>
        </w:tc>
      </w:tr>
      <w:tr>
        <w:trPr>
          <w:trHeight w:val="147"/>
        </w:trPr>
        <w:tc>
          <w:tcPr>
            <w:tcW w:w="520" w:type="dxa"/>
            <w:vAlign w:val="bottom"/>
            <w:tcBorders>
              <w:left w:val="single" w:sz="8" w:color="auto"/>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8"/>
              </w:rPr>
              <w:t>2022</w:t>
            </w:r>
          </w:p>
        </w:tc>
        <w:tc>
          <w:tcPr>
            <w:tcW w:w="108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5"/>
              </w:rPr>
              <w:t>$7,888,489</w:t>
            </w:r>
          </w:p>
        </w:tc>
        <w:tc>
          <w:tcPr>
            <w:tcW w:w="110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3"/>
              </w:rPr>
              <w:t>$11,227,698</w:t>
            </w:r>
          </w:p>
        </w:tc>
        <w:tc>
          <w:tcPr>
            <w:tcW w:w="128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9"/>
              </w:rPr>
              <w:t>$1,375,137</w:t>
            </w:r>
          </w:p>
        </w:tc>
        <w:tc>
          <w:tcPr>
            <w:tcW w:w="120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5"/>
              </w:rPr>
              <w:t>$1,771,361</w:t>
            </w:r>
          </w:p>
        </w:tc>
        <w:tc>
          <w:tcPr>
            <w:tcW w:w="980" w:type="dxa"/>
            <w:vAlign w:val="bottom"/>
            <w:tcBorders>
              <w:bottom w:val="single" w:sz="8" w:color="auto"/>
              <w:right w:val="single" w:sz="8" w:color="auto"/>
            </w:tcBorders>
            <w:shd w:val="clear" w:color="auto" w:fill="EDF2F8"/>
          </w:tcPr>
          <w:p>
            <w:pPr>
              <w:jc w:val="center"/>
              <w:ind w:right="14"/>
              <w:spacing w:after="0"/>
              <w:rPr>
                <w:sz w:val="20"/>
                <w:szCs w:val="20"/>
                <w:color w:val="auto"/>
              </w:rPr>
            </w:pPr>
            <w:r>
              <w:rPr>
                <w:rFonts w:ascii="Arial" w:cs="Arial" w:eastAsia="Arial" w:hAnsi="Arial"/>
                <w:sz w:val="10"/>
                <w:szCs w:val="10"/>
                <w:color w:val="auto"/>
                <w:w w:val="89"/>
              </w:rPr>
              <w:t>$116</w:t>
            </w:r>
          </w:p>
        </w:tc>
        <w:tc>
          <w:tcPr>
            <w:tcW w:w="980" w:type="dxa"/>
            <w:vAlign w:val="bottom"/>
            <w:tcBorders>
              <w:bottom w:val="single" w:sz="8" w:color="auto"/>
              <w:right w:val="single" w:sz="8" w:color="auto"/>
            </w:tcBorders>
            <w:shd w:val="clear" w:color="auto" w:fill="EDF2F8"/>
          </w:tcPr>
          <w:p>
            <w:pPr>
              <w:jc w:val="center"/>
              <w:ind w:right="15"/>
              <w:spacing w:after="0"/>
              <w:rPr>
                <w:sz w:val="20"/>
                <w:szCs w:val="20"/>
                <w:color w:val="auto"/>
              </w:rPr>
            </w:pPr>
            <w:r>
              <w:rPr>
                <w:rFonts w:ascii="Arial" w:cs="Arial" w:eastAsia="Arial" w:hAnsi="Arial"/>
                <w:sz w:val="10"/>
                <w:szCs w:val="10"/>
                <w:color w:val="auto"/>
                <w:w w:val="95"/>
              </w:rPr>
              <w:t>$96</w:t>
            </w:r>
          </w:p>
        </w:tc>
        <w:tc>
          <w:tcPr>
            <w:tcW w:w="78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7"/>
              </w:rPr>
              <w:t>$133.0</w:t>
            </w:r>
          </w:p>
        </w:tc>
        <w:tc>
          <w:tcPr>
            <w:tcW w:w="800" w:type="dxa"/>
            <w:vAlign w:val="bottom"/>
            <w:tcBorders>
              <w:bottom w:val="single" w:sz="8" w:color="auto"/>
              <w:right w:val="single" w:sz="8" w:color="auto"/>
            </w:tcBorders>
            <w:shd w:val="clear" w:color="auto" w:fill="EDF2F8"/>
          </w:tcPr>
          <w:p>
            <w:pPr>
              <w:jc w:val="center"/>
              <w:spacing w:after="0"/>
              <w:rPr>
                <w:sz w:val="20"/>
                <w:szCs w:val="20"/>
                <w:color w:val="auto"/>
              </w:rPr>
            </w:pPr>
            <w:r>
              <w:rPr>
                <w:rFonts w:ascii="Arial" w:cs="Arial" w:eastAsia="Arial" w:hAnsi="Arial"/>
                <w:sz w:val="10"/>
                <w:szCs w:val="10"/>
                <w:color w:val="auto"/>
                <w:w w:val="91"/>
              </w:rPr>
              <w:t>$213.3</w:t>
            </w:r>
          </w:p>
        </w:tc>
        <w:tc>
          <w:tcPr>
            <w:tcW w:w="0" w:type="dxa"/>
            <w:vAlign w:val="bottom"/>
          </w:tcPr>
          <w:p>
            <w:pPr>
              <w:spacing w:after="0"/>
              <w:rPr>
                <w:sz w:val="1"/>
                <w:szCs w:val="1"/>
                <w:color w:val="auto"/>
              </w:rPr>
            </w:pPr>
          </w:p>
        </w:tc>
      </w:tr>
      <w:tr>
        <w:trPr>
          <w:trHeight w:val="147"/>
        </w:trPr>
        <w:tc>
          <w:tcPr>
            <w:tcW w:w="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2021</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$9,897,900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$6,603,590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$1,668,578</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$1,305,876</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$101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$128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$93.1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$131.2</w:t>
            </w: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ind w:left="540" w:right="139" w:hanging="335"/>
        <w:spacing w:after="0" w:line="258" w:lineRule="auto"/>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PEO listed for 2021, 2022, 2023, 2024, and 2025 is Patrick S. Williams. The Non-PEO remaining NEOs for 2025 are Ian P. Cleminson, Ian M. McRobbie, Corbin Barnes, and David B. Jones. The Non-PEO remaining NEOs for 2023 and 2024 are Ian P. Cleminson, Philip J. Boon, Corbin Barnes, and David B. Jones. The Non-PEO remaining NEOs for 2021 and 2022 are Ian P. Cleminson, Philip J. Boon, Ian M. McRobbie, and David B. Jones.</w:t>
      </w:r>
    </w:p>
    <w:p>
      <w:pPr>
        <w:spacing w:after="0" w:line="93" w:lineRule="exact"/>
        <w:rPr>
          <w:rFonts w:ascii="Arial" w:cs="Arial" w:eastAsia="Arial" w:hAnsi="Arial"/>
          <w:sz w:val="15"/>
          <w:szCs w:val="15"/>
          <w:color w:val="auto"/>
        </w:rPr>
      </w:pPr>
    </w:p>
    <w:p>
      <w:pPr>
        <w:ind w:left="540" w:hanging="335"/>
        <w:spacing w:after="0"/>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following adjustments relating to equity awards were made to total compensation for 2025 to determine CAP:</w:t>
      </w:r>
    </w:p>
    <w:p>
      <w:pPr>
        <w:spacing w:after="0" w:line="123" w:lineRule="exact"/>
        <w:rPr>
          <w:sz w:val="20"/>
          <w:szCs w:val="20"/>
          <w:color w:val="auto"/>
        </w:rPr>
      </w:pPr>
    </w:p>
    <w:tbl>
      <w:tblPr>
        <w:tblLayout w:type="fixed"/>
        <w:tblInd w:w="550" w:type="dxa"/>
        <w:tblCellMar>
          <w:top w:w="0" w:type="dxa"/>
          <w:left w:w="0" w:type="dxa"/>
          <w:bottom w:w="0" w:type="dxa"/>
          <w:right w:w="0" w:type="dxa"/>
        </w:tblCellMar>
      </w:tblPr>
      <w:tr>
        <w:trPr>
          <w:trHeight w:val="159"/>
        </w:trPr>
        <w:tc>
          <w:tcPr>
            <w:tcW w:w="320" w:type="dxa"/>
            <w:vAlign w:val="bottom"/>
            <w:tcBorders>
              <w:top w:val="single" w:sz="8" w:color="auto"/>
              <w:left w:val="single" w:sz="8" w:color="auto"/>
            </w:tcBorders>
            <w:shd w:val="clear" w:color="auto" w:fill="4F81BD"/>
          </w:tcPr>
          <w:p>
            <w:pPr>
              <w:spacing w:after="0"/>
              <w:rPr>
                <w:sz w:val="13"/>
                <w:szCs w:val="13"/>
                <w:color w:val="auto"/>
              </w:rPr>
            </w:pPr>
          </w:p>
        </w:tc>
        <w:tc>
          <w:tcPr>
            <w:tcW w:w="740" w:type="dxa"/>
            <w:vAlign w:val="bottom"/>
            <w:tcBorders>
              <w:top w:val="single" w:sz="8" w:color="auto"/>
              <w:right w:val="single" w:sz="8" w:color="auto"/>
            </w:tcBorders>
            <w:shd w:val="clear" w:color="auto" w:fill="4F81BD"/>
          </w:tcPr>
          <w:p>
            <w:pPr>
              <w:ind w:left="100"/>
              <w:spacing w:after="0"/>
              <w:rPr>
                <w:sz w:val="20"/>
                <w:szCs w:val="20"/>
                <w:color w:val="auto"/>
              </w:rPr>
            </w:pPr>
            <w:r>
              <w:rPr>
                <w:rFonts w:ascii="Arial" w:cs="Arial" w:eastAsia="Arial" w:hAnsi="Arial"/>
                <w:sz w:val="10"/>
                <w:szCs w:val="10"/>
                <w:b w:val="1"/>
                <w:bCs w:val="1"/>
                <w:color w:val="FFFFFF"/>
              </w:rPr>
              <w:t>Year</w:t>
            </w:r>
          </w:p>
        </w:tc>
        <w:tc>
          <w:tcPr>
            <w:tcW w:w="15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5"/>
              </w:rPr>
              <w:t>Value of Equity Awards</w:t>
            </w:r>
          </w:p>
        </w:tc>
        <w:tc>
          <w:tcPr>
            <w:tcW w:w="164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6"/>
              </w:rPr>
              <w:t>Year End Value of Equity</w:t>
            </w:r>
          </w:p>
        </w:tc>
        <w:tc>
          <w:tcPr>
            <w:tcW w:w="146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4"/>
              </w:rPr>
              <w:t>Change in Fair</w:t>
            </w:r>
          </w:p>
        </w:tc>
        <w:tc>
          <w:tcPr>
            <w:tcW w:w="16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5"/>
              </w:rPr>
              <w:t>Change in Fair Value from</w:t>
            </w:r>
          </w:p>
        </w:tc>
        <w:tc>
          <w:tcPr>
            <w:tcW w:w="1100" w:type="dxa"/>
            <w:vAlign w:val="bottom"/>
            <w:tcBorders>
              <w:top w:val="single" w:sz="8" w:color="auto"/>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7"/>
              </w:rPr>
              <w:t>Total Equity Award</w:t>
            </w:r>
          </w:p>
        </w:tc>
        <w:tc>
          <w:tcPr>
            <w:tcW w:w="0" w:type="dxa"/>
            <w:vAlign w:val="bottom"/>
          </w:tcPr>
          <w:p>
            <w:pPr>
              <w:spacing w:after="0"/>
              <w:rPr>
                <w:sz w:val="1"/>
                <w:szCs w:val="1"/>
                <w:color w:val="auto"/>
              </w:rPr>
            </w:pPr>
          </w:p>
        </w:tc>
      </w:tr>
      <w:tr>
        <w:trPr>
          <w:trHeight w:val="111"/>
        </w:trPr>
        <w:tc>
          <w:tcPr>
            <w:tcW w:w="320" w:type="dxa"/>
            <w:vAlign w:val="bottom"/>
            <w:tcBorders>
              <w:left w:val="single" w:sz="8" w:color="auto"/>
            </w:tcBorders>
            <w:shd w:val="clear" w:color="auto" w:fill="4F81BD"/>
          </w:tcPr>
          <w:p>
            <w:pPr>
              <w:spacing w:after="0"/>
              <w:rPr>
                <w:sz w:val="9"/>
                <w:szCs w:val="9"/>
                <w:color w:val="auto"/>
              </w:rPr>
            </w:pPr>
          </w:p>
        </w:tc>
        <w:tc>
          <w:tcPr>
            <w:tcW w:w="740" w:type="dxa"/>
            <w:vAlign w:val="bottom"/>
            <w:tcBorders>
              <w:right w:val="single" w:sz="8" w:color="auto"/>
            </w:tcBorders>
            <w:shd w:val="clear" w:color="auto" w:fill="4F81BD"/>
          </w:tcPr>
          <w:p>
            <w:pPr>
              <w:spacing w:after="0"/>
              <w:rPr>
                <w:sz w:val="9"/>
                <w:szCs w:val="9"/>
                <w:color w:val="auto"/>
              </w:rPr>
            </w:pPr>
          </w:p>
        </w:tc>
        <w:tc>
          <w:tcPr>
            <w:tcW w:w="150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5"/>
              </w:rPr>
              <w:t>Disclosed in the Summary</w:t>
            </w:r>
          </w:p>
        </w:tc>
        <w:tc>
          <w:tcPr>
            <w:tcW w:w="164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6"/>
              </w:rPr>
              <w:t>Awards Granted During the</w:t>
            </w:r>
          </w:p>
        </w:tc>
        <w:tc>
          <w:tcPr>
            <w:tcW w:w="146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5"/>
              </w:rPr>
              <w:t>Value from Prior</w:t>
            </w:r>
          </w:p>
        </w:tc>
        <w:tc>
          <w:tcPr>
            <w:tcW w:w="160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5"/>
              </w:rPr>
              <w:t>Prior Year End Fair Value of</w:t>
            </w:r>
          </w:p>
        </w:tc>
        <w:tc>
          <w:tcPr>
            <w:tcW w:w="110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8"/>
              </w:rPr>
              <w:t>Adjustments</w:t>
            </w:r>
          </w:p>
        </w:tc>
        <w:tc>
          <w:tcPr>
            <w:tcW w:w="0" w:type="dxa"/>
            <w:vAlign w:val="bottom"/>
          </w:tcPr>
          <w:p>
            <w:pPr>
              <w:spacing w:after="0"/>
              <w:rPr>
                <w:sz w:val="1"/>
                <w:szCs w:val="1"/>
                <w:color w:val="auto"/>
              </w:rPr>
            </w:pPr>
          </w:p>
        </w:tc>
      </w:tr>
      <w:tr>
        <w:trPr>
          <w:trHeight w:val="111"/>
        </w:trPr>
        <w:tc>
          <w:tcPr>
            <w:tcW w:w="320" w:type="dxa"/>
            <w:vAlign w:val="bottom"/>
            <w:tcBorders>
              <w:left w:val="single" w:sz="8" w:color="auto"/>
            </w:tcBorders>
            <w:shd w:val="clear" w:color="auto" w:fill="4F81BD"/>
          </w:tcPr>
          <w:p>
            <w:pPr>
              <w:spacing w:after="0"/>
              <w:rPr>
                <w:sz w:val="9"/>
                <w:szCs w:val="9"/>
                <w:color w:val="auto"/>
              </w:rPr>
            </w:pPr>
          </w:p>
        </w:tc>
        <w:tc>
          <w:tcPr>
            <w:tcW w:w="740" w:type="dxa"/>
            <w:vAlign w:val="bottom"/>
            <w:tcBorders>
              <w:right w:val="single" w:sz="8" w:color="auto"/>
            </w:tcBorders>
            <w:shd w:val="clear" w:color="auto" w:fill="4F81BD"/>
          </w:tcPr>
          <w:p>
            <w:pPr>
              <w:spacing w:after="0"/>
              <w:rPr>
                <w:sz w:val="9"/>
                <w:szCs w:val="9"/>
                <w:color w:val="auto"/>
              </w:rPr>
            </w:pPr>
          </w:p>
        </w:tc>
        <w:tc>
          <w:tcPr>
            <w:tcW w:w="150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5"/>
              </w:rPr>
              <w:t>Compensation Table</w:t>
            </w:r>
          </w:p>
        </w:tc>
        <w:tc>
          <w:tcPr>
            <w:tcW w:w="164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6"/>
              </w:rPr>
              <w:t>Covered Year</w:t>
            </w:r>
          </w:p>
        </w:tc>
        <w:tc>
          <w:tcPr>
            <w:tcW w:w="146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5"/>
              </w:rPr>
              <w:t>Year End Fair Value</w:t>
            </w:r>
          </w:p>
        </w:tc>
        <w:tc>
          <w:tcPr>
            <w:tcW w:w="160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5"/>
              </w:rPr>
              <w:t>Awards Granted in Prior Years</w:t>
            </w:r>
          </w:p>
        </w:tc>
        <w:tc>
          <w:tcPr>
            <w:tcW w:w="1100" w:type="dxa"/>
            <w:vAlign w:val="bottom"/>
            <w:tcBorders>
              <w:right w:val="single" w:sz="8" w:color="auto"/>
            </w:tcBorders>
            <w:shd w:val="clear" w:color="auto" w:fill="4F81BD"/>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20" w:type="dxa"/>
            <w:vAlign w:val="bottom"/>
            <w:tcBorders>
              <w:left w:val="single" w:sz="8" w:color="auto"/>
            </w:tcBorders>
            <w:shd w:val="clear" w:color="auto" w:fill="4F81BD"/>
          </w:tcPr>
          <w:p>
            <w:pPr>
              <w:spacing w:after="0"/>
              <w:rPr>
                <w:sz w:val="9"/>
                <w:szCs w:val="9"/>
                <w:color w:val="auto"/>
              </w:rPr>
            </w:pPr>
          </w:p>
        </w:tc>
        <w:tc>
          <w:tcPr>
            <w:tcW w:w="740" w:type="dxa"/>
            <w:vAlign w:val="bottom"/>
            <w:tcBorders>
              <w:right w:val="single" w:sz="8" w:color="auto"/>
            </w:tcBorders>
            <w:shd w:val="clear" w:color="auto" w:fill="4F81BD"/>
          </w:tcPr>
          <w:p>
            <w:pPr>
              <w:spacing w:after="0"/>
              <w:rPr>
                <w:sz w:val="9"/>
                <w:szCs w:val="9"/>
                <w:color w:val="auto"/>
              </w:rPr>
            </w:pPr>
          </w:p>
        </w:tc>
        <w:tc>
          <w:tcPr>
            <w:tcW w:w="1500" w:type="dxa"/>
            <w:vAlign w:val="bottom"/>
            <w:tcBorders>
              <w:right w:val="single" w:sz="8" w:color="auto"/>
            </w:tcBorders>
            <w:shd w:val="clear" w:color="auto" w:fill="4F81BD"/>
          </w:tcPr>
          <w:p>
            <w:pPr>
              <w:spacing w:after="0"/>
              <w:rPr>
                <w:sz w:val="9"/>
                <w:szCs w:val="9"/>
                <w:color w:val="auto"/>
              </w:rPr>
            </w:pPr>
          </w:p>
        </w:tc>
        <w:tc>
          <w:tcPr>
            <w:tcW w:w="1640" w:type="dxa"/>
            <w:vAlign w:val="bottom"/>
            <w:tcBorders>
              <w:right w:val="single" w:sz="8" w:color="auto"/>
            </w:tcBorders>
            <w:shd w:val="clear" w:color="auto" w:fill="4F81BD"/>
          </w:tcPr>
          <w:p>
            <w:pPr>
              <w:spacing w:after="0"/>
              <w:rPr>
                <w:sz w:val="9"/>
                <w:szCs w:val="9"/>
                <w:color w:val="auto"/>
              </w:rPr>
            </w:pPr>
          </w:p>
        </w:tc>
        <w:tc>
          <w:tcPr>
            <w:tcW w:w="146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8"/>
              </w:rPr>
              <w:t>of Outstanding and</w:t>
            </w:r>
          </w:p>
        </w:tc>
        <w:tc>
          <w:tcPr>
            <w:tcW w:w="1600" w:type="dxa"/>
            <w:vAlign w:val="bottom"/>
            <w:tcBorders>
              <w:right w:val="single" w:sz="8" w:color="auto"/>
            </w:tcBorders>
            <w:shd w:val="clear" w:color="auto" w:fill="4F81BD"/>
          </w:tcPr>
          <w:p>
            <w:pPr>
              <w:jc w:val="center"/>
              <w:spacing w:after="0" w:line="112" w:lineRule="exact"/>
              <w:rPr>
                <w:sz w:val="20"/>
                <w:szCs w:val="20"/>
                <w:color w:val="auto"/>
              </w:rPr>
            </w:pPr>
            <w:r>
              <w:rPr>
                <w:rFonts w:ascii="Arial" w:cs="Arial" w:eastAsia="Arial" w:hAnsi="Arial"/>
                <w:sz w:val="10"/>
                <w:szCs w:val="10"/>
                <w:b w:val="1"/>
                <w:bCs w:val="1"/>
                <w:color w:val="FFFFFF"/>
                <w:w w:val="95"/>
              </w:rPr>
              <w:t>Vesting During the Covered</w:t>
            </w:r>
          </w:p>
        </w:tc>
        <w:tc>
          <w:tcPr>
            <w:tcW w:w="1100" w:type="dxa"/>
            <w:vAlign w:val="bottom"/>
            <w:tcBorders>
              <w:right w:val="single" w:sz="8" w:color="auto"/>
            </w:tcBorders>
            <w:shd w:val="clear" w:color="auto" w:fill="4F81BD"/>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20" w:type="dxa"/>
            <w:vAlign w:val="bottom"/>
            <w:tcBorders>
              <w:left w:val="single" w:sz="8" w:color="auto"/>
              <w:bottom w:val="single" w:sz="8" w:color="4F81BD"/>
            </w:tcBorders>
            <w:shd w:val="clear" w:color="auto" w:fill="4F81BD"/>
          </w:tcPr>
          <w:p>
            <w:pPr>
              <w:spacing w:after="0"/>
              <w:rPr>
                <w:sz w:val="14"/>
                <w:szCs w:val="14"/>
                <w:color w:val="auto"/>
              </w:rPr>
            </w:pPr>
          </w:p>
        </w:tc>
        <w:tc>
          <w:tcPr>
            <w:tcW w:w="740" w:type="dxa"/>
            <w:vAlign w:val="bottom"/>
            <w:tcBorders>
              <w:bottom w:val="single" w:sz="8" w:color="4F81BD"/>
              <w:right w:val="single" w:sz="8" w:color="auto"/>
            </w:tcBorders>
            <w:shd w:val="clear" w:color="auto" w:fill="4F81BD"/>
          </w:tcPr>
          <w:p>
            <w:pPr>
              <w:spacing w:after="0"/>
              <w:rPr>
                <w:sz w:val="14"/>
                <w:szCs w:val="14"/>
                <w:color w:val="auto"/>
              </w:rPr>
            </w:pPr>
          </w:p>
        </w:tc>
        <w:tc>
          <w:tcPr>
            <w:tcW w:w="1500" w:type="dxa"/>
            <w:vAlign w:val="bottom"/>
            <w:tcBorders>
              <w:bottom w:val="single" w:sz="8" w:color="4F81BD"/>
              <w:right w:val="single" w:sz="8" w:color="auto"/>
            </w:tcBorders>
            <w:shd w:val="clear" w:color="auto" w:fill="4F81BD"/>
          </w:tcPr>
          <w:p>
            <w:pPr>
              <w:spacing w:after="0"/>
              <w:rPr>
                <w:sz w:val="14"/>
                <w:szCs w:val="14"/>
                <w:color w:val="auto"/>
              </w:rPr>
            </w:pPr>
          </w:p>
        </w:tc>
        <w:tc>
          <w:tcPr>
            <w:tcW w:w="1640" w:type="dxa"/>
            <w:vAlign w:val="bottom"/>
            <w:tcBorders>
              <w:bottom w:val="single" w:sz="8" w:color="4F81BD"/>
              <w:right w:val="single" w:sz="8" w:color="auto"/>
            </w:tcBorders>
            <w:shd w:val="clear" w:color="auto" w:fill="4F81BD"/>
          </w:tcPr>
          <w:p>
            <w:pPr>
              <w:spacing w:after="0"/>
              <w:rPr>
                <w:sz w:val="14"/>
                <w:szCs w:val="14"/>
                <w:color w:val="auto"/>
              </w:rPr>
            </w:pPr>
          </w:p>
        </w:tc>
        <w:tc>
          <w:tcPr>
            <w:tcW w:w="146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7"/>
              </w:rPr>
              <w:t>Unvested Equity Awards</w:t>
            </w:r>
          </w:p>
        </w:tc>
        <w:tc>
          <w:tcPr>
            <w:tcW w:w="1600" w:type="dxa"/>
            <w:vAlign w:val="bottom"/>
            <w:tcBorders>
              <w:bottom w:val="single" w:sz="8" w:color="4F81BD"/>
              <w:right w:val="single" w:sz="8" w:color="auto"/>
            </w:tcBorders>
            <w:shd w:val="clear" w:color="auto" w:fill="4F81BD"/>
          </w:tcPr>
          <w:p>
            <w:pPr>
              <w:jc w:val="center"/>
              <w:spacing w:after="0"/>
              <w:rPr>
                <w:sz w:val="20"/>
                <w:szCs w:val="20"/>
                <w:color w:val="auto"/>
              </w:rPr>
            </w:pPr>
            <w:r>
              <w:rPr>
                <w:rFonts w:ascii="Arial" w:cs="Arial" w:eastAsia="Arial" w:hAnsi="Arial"/>
                <w:sz w:val="10"/>
                <w:szCs w:val="10"/>
                <w:b w:val="1"/>
                <w:bCs w:val="1"/>
                <w:color w:val="FFFFFF"/>
                <w:w w:val="92"/>
              </w:rPr>
              <w:t>Year</w:t>
            </w:r>
          </w:p>
        </w:tc>
        <w:tc>
          <w:tcPr>
            <w:tcW w:w="1100" w:type="dxa"/>
            <w:vAlign w:val="bottom"/>
            <w:tcBorders>
              <w:bottom w:val="single" w:sz="8" w:color="4F81BD"/>
              <w:right w:val="single" w:sz="8" w:color="auto"/>
            </w:tcBorders>
            <w:shd w:val="clear" w:color="auto" w:fill="4F81BD"/>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0"/>
                <w:szCs w:val="10"/>
                <w:color w:val="auto"/>
                <w:w w:val="89"/>
              </w:rPr>
              <w:t>2025</w:t>
            </w:r>
          </w:p>
        </w:tc>
        <w:tc>
          <w:tcPr>
            <w:tcW w:w="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PEO</w:t>
            </w:r>
          </w:p>
        </w:tc>
        <w:tc>
          <w:tcPr>
            <w:tcW w:w="1500" w:type="dxa"/>
            <w:vAlign w:val="bottom"/>
            <w:tcBorders>
              <w:top w:val="single" w:sz="8" w:color="auto"/>
              <w:right w:val="single" w:sz="8" w:color="auto"/>
            </w:tcBorders>
          </w:tcPr>
          <w:p>
            <w:pPr>
              <w:jc w:val="right"/>
              <w:ind w:right="432"/>
              <w:spacing w:after="0"/>
              <w:rPr>
                <w:sz w:val="20"/>
                <w:szCs w:val="20"/>
                <w:color w:val="auto"/>
              </w:rPr>
            </w:pPr>
            <w:r>
              <w:rPr>
                <w:rFonts w:ascii="Arial" w:cs="Arial" w:eastAsia="Arial" w:hAnsi="Arial"/>
                <w:sz w:val="10"/>
                <w:szCs w:val="10"/>
                <w:color w:val="auto"/>
              </w:rPr>
              <w:t>($5,285,623)</w:t>
            </w:r>
          </w:p>
        </w:tc>
        <w:tc>
          <w:tcPr>
            <w:tcW w:w="1640" w:type="dxa"/>
            <w:vAlign w:val="bottom"/>
            <w:tcBorders>
              <w:top w:val="single" w:sz="8" w:color="auto"/>
              <w:right w:val="single" w:sz="8" w:color="auto"/>
            </w:tcBorders>
          </w:tcPr>
          <w:p>
            <w:pPr>
              <w:jc w:val="right"/>
              <w:ind w:right="552"/>
              <w:spacing w:after="0"/>
              <w:rPr>
                <w:sz w:val="20"/>
                <w:szCs w:val="20"/>
                <w:color w:val="auto"/>
              </w:rPr>
            </w:pPr>
            <w:r>
              <w:rPr>
                <w:rFonts w:ascii="Arial" w:cs="Arial" w:eastAsia="Arial" w:hAnsi="Arial"/>
                <w:sz w:val="10"/>
                <w:szCs w:val="10"/>
                <w:color w:val="auto"/>
              </w:rPr>
              <w:t>$4,394,222</w:t>
            </w:r>
          </w:p>
        </w:tc>
        <w:tc>
          <w:tcPr>
            <w:tcW w:w="1460" w:type="dxa"/>
            <w:vAlign w:val="bottom"/>
            <w:tcBorders>
              <w:top w:val="single" w:sz="8" w:color="auto"/>
              <w:right w:val="single" w:sz="8" w:color="auto"/>
            </w:tcBorders>
          </w:tcPr>
          <w:p>
            <w:pPr>
              <w:jc w:val="right"/>
              <w:ind w:right="432"/>
              <w:spacing w:after="0"/>
              <w:rPr>
                <w:sz w:val="20"/>
                <w:szCs w:val="20"/>
                <w:color w:val="auto"/>
              </w:rPr>
            </w:pPr>
            <w:r>
              <w:rPr>
                <w:rFonts w:ascii="Arial" w:cs="Arial" w:eastAsia="Arial" w:hAnsi="Arial"/>
                <w:sz w:val="10"/>
                <w:szCs w:val="10"/>
                <w:color w:val="auto"/>
              </w:rPr>
              <w:t>($1,734,947)</w:t>
            </w:r>
          </w:p>
        </w:tc>
        <w:tc>
          <w:tcPr>
            <w:tcW w:w="1600" w:type="dxa"/>
            <w:vAlign w:val="bottom"/>
            <w:tcBorders>
              <w:top w:val="single" w:sz="8" w:color="auto"/>
              <w:right w:val="single" w:sz="8" w:color="auto"/>
            </w:tcBorders>
          </w:tcPr>
          <w:p>
            <w:pPr>
              <w:jc w:val="right"/>
              <w:ind w:right="532"/>
              <w:spacing w:after="0"/>
              <w:rPr>
                <w:sz w:val="20"/>
                <w:szCs w:val="20"/>
                <w:color w:val="auto"/>
              </w:rPr>
            </w:pPr>
            <w:r>
              <w:rPr>
                <w:rFonts w:ascii="Arial" w:cs="Arial" w:eastAsia="Arial" w:hAnsi="Arial"/>
                <w:sz w:val="10"/>
                <w:szCs w:val="10"/>
                <w:color w:val="auto"/>
              </w:rPr>
              <w:t>($123,611)</w:t>
            </w:r>
          </w:p>
        </w:tc>
        <w:tc>
          <w:tcPr>
            <w:tcW w:w="1100" w:type="dxa"/>
            <w:vAlign w:val="bottom"/>
            <w:tcBorders>
              <w:top w:val="single" w:sz="8" w:color="auto"/>
              <w:right w:val="single" w:sz="8" w:color="auto"/>
            </w:tcBorders>
          </w:tcPr>
          <w:p>
            <w:pPr>
              <w:jc w:val="right"/>
              <w:ind w:right="232"/>
              <w:spacing w:after="0"/>
              <w:rPr>
                <w:sz w:val="20"/>
                <w:szCs w:val="20"/>
                <w:color w:val="auto"/>
              </w:rPr>
            </w:pPr>
            <w:r>
              <w:rPr>
                <w:rFonts w:ascii="Arial" w:cs="Arial" w:eastAsia="Arial" w:hAnsi="Arial"/>
                <w:sz w:val="10"/>
                <w:szCs w:val="10"/>
                <w:color w:val="auto"/>
              </w:rPr>
              <w:t>($2,749,960)</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320" w:type="dxa"/>
            <w:vAlign w:val="bottom"/>
            <w:tcBorders>
              <w:left w:val="single" w:sz="8" w:color="auto"/>
            </w:tcBorders>
            <w:shd w:val="clear" w:color="auto" w:fill="EDF2F8"/>
          </w:tcPr>
          <w:p>
            <w:pPr>
              <w:ind w:left="100"/>
              <w:spacing w:after="0"/>
              <w:rPr>
                <w:sz w:val="20"/>
                <w:szCs w:val="20"/>
                <w:color w:val="auto"/>
              </w:rPr>
            </w:pPr>
            <w:r>
              <w:rPr>
                <w:rFonts w:ascii="Arial" w:cs="Arial" w:eastAsia="Arial" w:hAnsi="Arial"/>
                <w:sz w:val="10"/>
                <w:szCs w:val="10"/>
                <w:color w:val="auto"/>
                <w:w w:val="89"/>
              </w:rPr>
              <w:t>2025</w:t>
            </w:r>
          </w:p>
        </w:tc>
        <w:tc>
          <w:tcPr>
            <w:tcW w:w="740" w:type="dxa"/>
            <w:vAlign w:val="bottom"/>
            <w:tcBorders>
              <w:right w:val="single" w:sz="8" w:color="auto"/>
            </w:tcBorders>
            <w:shd w:val="clear" w:color="auto" w:fill="EDF2F8"/>
          </w:tcPr>
          <w:p>
            <w:pPr>
              <w:ind w:left="20"/>
              <w:spacing w:after="0"/>
              <w:rPr>
                <w:sz w:val="20"/>
                <w:szCs w:val="20"/>
                <w:color w:val="auto"/>
              </w:rPr>
            </w:pPr>
            <w:r>
              <w:rPr>
                <w:rFonts w:ascii="Arial" w:cs="Arial" w:eastAsia="Arial" w:hAnsi="Arial"/>
                <w:sz w:val="10"/>
                <w:szCs w:val="10"/>
                <w:color w:val="auto"/>
              </w:rPr>
              <w:t>Average Non-</w:t>
            </w:r>
          </w:p>
        </w:tc>
        <w:tc>
          <w:tcPr>
            <w:tcW w:w="1500" w:type="dxa"/>
            <w:vAlign w:val="bottom"/>
            <w:tcBorders>
              <w:right w:val="single" w:sz="8" w:color="auto"/>
            </w:tcBorders>
            <w:vMerge w:val="restart"/>
            <w:shd w:val="clear" w:color="auto" w:fill="EDF2F8"/>
          </w:tcPr>
          <w:p>
            <w:pPr>
              <w:jc w:val="right"/>
              <w:ind w:right="472"/>
              <w:spacing w:after="0"/>
              <w:rPr>
                <w:sz w:val="20"/>
                <w:szCs w:val="20"/>
                <w:color w:val="auto"/>
              </w:rPr>
            </w:pPr>
            <w:r>
              <w:rPr>
                <w:rFonts w:ascii="Arial" w:cs="Arial" w:eastAsia="Arial" w:hAnsi="Arial"/>
                <w:sz w:val="10"/>
                <w:szCs w:val="10"/>
                <w:color w:val="auto"/>
              </w:rPr>
              <w:t>($703,628)</w:t>
            </w:r>
          </w:p>
        </w:tc>
        <w:tc>
          <w:tcPr>
            <w:tcW w:w="1640" w:type="dxa"/>
            <w:vAlign w:val="bottom"/>
            <w:tcBorders>
              <w:right w:val="single" w:sz="8" w:color="auto"/>
            </w:tcBorders>
            <w:vMerge w:val="restart"/>
            <w:shd w:val="clear" w:color="auto" w:fill="EDF2F8"/>
          </w:tcPr>
          <w:p>
            <w:pPr>
              <w:jc w:val="right"/>
              <w:ind w:right="592"/>
              <w:spacing w:after="0"/>
              <w:rPr>
                <w:sz w:val="20"/>
                <w:szCs w:val="20"/>
                <w:color w:val="auto"/>
              </w:rPr>
            </w:pPr>
            <w:r>
              <w:rPr>
                <w:rFonts w:ascii="Arial" w:cs="Arial" w:eastAsia="Arial" w:hAnsi="Arial"/>
                <w:sz w:val="10"/>
                <w:szCs w:val="10"/>
                <w:color w:val="auto"/>
              </w:rPr>
              <w:t>$606,870</w:t>
            </w:r>
          </w:p>
        </w:tc>
        <w:tc>
          <w:tcPr>
            <w:tcW w:w="1460" w:type="dxa"/>
            <w:vAlign w:val="bottom"/>
            <w:tcBorders>
              <w:right w:val="single" w:sz="8" w:color="auto"/>
            </w:tcBorders>
            <w:vMerge w:val="restart"/>
            <w:shd w:val="clear" w:color="auto" w:fill="EDF2F8"/>
          </w:tcPr>
          <w:p>
            <w:pPr>
              <w:jc w:val="right"/>
              <w:ind w:right="472"/>
              <w:spacing w:after="0"/>
              <w:rPr>
                <w:sz w:val="20"/>
                <w:szCs w:val="20"/>
                <w:color w:val="auto"/>
              </w:rPr>
            </w:pPr>
            <w:r>
              <w:rPr>
                <w:rFonts w:ascii="Arial" w:cs="Arial" w:eastAsia="Arial" w:hAnsi="Arial"/>
                <w:sz w:val="10"/>
                <w:szCs w:val="10"/>
                <w:color w:val="auto"/>
              </w:rPr>
              <w:t>($195,422)</w:t>
            </w:r>
          </w:p>
        </w:tc>
        <w:tc>
          <w:tcPr>
            <w:tcW w:w="1600" w:type="dxa"/>
            <w:vAlign w:val="bottom"/>
            <w:tcBorders>
              <w:right w:val="single" w:sz="8" w:color="auto"/>
            </w:tcBorders>
            <w:vMerge w:val="restart"/>
            <w:shd w:val="clear" w:color="auto" w:fill="EDF2F8"/>
          </w:tcPr>
          <w:p>
            <w:pPr>
              <w:jc w:val="right"/>
              <w:ind w:right="552"/>
              <w:spacing w:after="0"/>
              <w:rPr>
                <w:sz w:val="20"/>
                <w:szCs w:val="20"/>
                <w:color w:val="auto"/>
              </w:rPr>
            </w:pPr>
            <w:r>
              <w:rPr>
                <w:rFonts w:ascii="Arial" w:cs="Arial" w:eastAsia="Arial" w:hAnsi="Arial"/>
                <w:sz w:val="10"/>
                <w:szCs w:val="10"/>
                <w:color w:val="auto"/>
              </w:rPr>
              <w:t>($24,132)</w:t>
            </w:r>
          </w:p>
        </w:tc>
        <w:tc>
          <w:tcPr>
            <w:tcW w:w="1100" w:type="dxa"/>
            <w:vAlign w:val="bottom"/>
            <w:tcBorders>
              <w:right w:val="single" w:sz="8" w:color="auto"/>
            </w:tcBorders>
            <w:vMerge w:val="restart"/>
            <w:shd w:val="clear" w:color="auto" w:fill="EDF2F8"/>
          </w:tcPr>
          <w:p>
            <w:pPr>
              <w:jc w:val="right"/>
              <w:ind w:right="272"/>
              <w:spacing w:after="0"/>
              <w:rPr>
                <w:sz w:val="20"/>
                <w:szCs w:val="20"/>
                <w:color w:val="auto"/>
              </w:rPr>
            </w:pPr>
            <w:r>
              <w:rPr>
                <w:rFonts w:ascii="Arial" w:cs="Arial" w:eastAsia="Arial" w:hAnsi="Arial"/>
                <w:sz w:val="10"/>
                <w:szCs w:val="10"/>
                <w:color w:val="auto"/>
              </w:rPr>
              <w:t>($316,312)</w:t>
            </w:r>
          </w:p>
        </w:tc>
        <w:tc>
          <w:tcPr>
            <w:tcW w:w="0" w:type="dxa"/>
            <w:vAlign w:val="bottom"/>
          </w:tcPr>
          <w:p>
            <w:pPr>
              <w:spacing w:after="0"/>
              <w:rPr>
                <w:sz w:val="1"/>
                <w:szCs w:val="1"/>
                <w:color w:val="auto"/>
              </w:rPr>
            </w:pPr>
          </w:p>
        </w:tc>
      </w:tr>
      <w:tr>
        <w:trPr>
          <w:trHeight w:val="70"/>
        </w:trPr>
        <w:tc>
          <w:tcPr>
            <w:tcW w:w="1060" w:type="dxa"/>
            <w:vAlign w:val="bottom"/>
            <w:tcBorders>
              <w:left w:val="single" w:sz="8" w:color="auto"/>
              <w:right w:val="single" w:sz="8" w:color="auto"/>
            </w:tcBorders>
            <w:gridSpan w:val="2"/>
            <w:vMerge w:val="restart"/>
            <w:shd w:val="clear" w:color="auto" w:fill="EDF2F8"/>
          </w:tcPr>
          <w:p>
            <w:pPr>
              <w:ind w:left="100"/>
              <w:spacing w:after="0"/>
              <w:rPr>
                <w:sz w:val="20"/>
                <w:szCs w:val="20"/>
                <w:color w:val="auto"/>
              </w:rPr>
            </w:pPr>
            <w:r>
              <w:rPr>
                <w:rFonts w:ascii="Arial" w:cs="Arial" w:eastAsia="Arial" w:hAnsi="Arial"/>
                <w:sz w:val="10"/>
                <w:szCs w:val="10"/>
                <w:color w:val="auto"/>
              </w:rPr>
              <w:t>PEO NEOs</w:t>
            </w:r>
          </w:p>
        </w:tc>
        <w:tc>
          <w:tcPr>
            <w:tcW w:w="1500" w:type="dxa"/>
            <w:vAlign w:val="bottom"/>
            <w:tcBorders>
              <w:right w:val="single" w:sz="8" w:color="auto"/>
            </w:tcBorders>
            <w:vMerge w:val="continue"/>
            <w:shd w:val="clear" w:color="auto" w:fill="EDF2F8"/>
          </w:tcPr>
          <w:p>
            <w:pPr>
              <w:spacing w:after="0"/>
              <w:rPr>
                <w:sz w:val="6"/>
                <w:szCs w:val="6"/>
                <w:color w:val="auto"/>
              </w:rPr>
            </w:pPr>
          </w:p>
        </w:tc>
        <w:tc>
          <w:tcPr>
            <w:tcW w:w="1640" w:type="dxa"/>
            <w:vAlign w:val="bottom"/>
            <w:tcBorders>
              <w:right w:val="single" w:sz="8" w:color="auto"/>
            </w:tcBorders>
            <w:vMerge w:val="continue"/>
            <w:shd w:val="clear" w:color="auto" w:fill="EDF2F8"/>
          </w:tcPr>
          <w:p>
            <w:pPr>
              <w:spacing w:after="0"/>
              <w:rPr>
                <w:sz w:val="6"/>
                <w:szCs w:val="6"/>
                <w:color w:val="auto"/>
              </w:rPr>
            </w:pPr>
          </w:p>
        </w:tc>
        <w:tc>
          <w:tcPr>
            <w:tcW w:w="1460" w:type="dxa"/>
            <w:vAlign w:val="bottom"/>
            <w:tcBorders>
              <w:right w:val="single" w:sz="8" w:color="auto"/>
            </w:tcBorders>
            <w:vMerge w:val="continue"/>
            <w:shd w:val="clear" w:color="auto" w:fill="EDF2F8"/>
          </w:tcPr>
          <w:p>
            <w:pPr>
              <w:spacing w:after="0"/>
              <w:rPr>
                <w:sz w:val="6"/>
                <w:szCs w:val="6"/>
                <w:color w:val="auto"/>
              </w:rPr>
            </w:pPr>
          </w:p>
        </w:tc>
        <w:tc>
          <w:tcPr>
            <w:tcW w:w="1600" w:type="dxa"/>
            <w:vAlign w:val="bottom"/>
            <w:tcBorders>
              <w:right w:val="single" w:sz="8" w:color="auto"/>
            </w:tcBorders>
            <w:vMerge w:val="continue"/>
            <w:shd w:val="clear" w:color="auto" w:fill="EDF2F8"/>
          </w:tcPr>
          <w:p>
            <w:pPr>
              <w:spacing w:after="0"/>
              <w:rPr>
                <w:sz w:val="6"/>
                <w:szCs w:val="6"/>
                <w:color w:val="auto"/>
              </w:rPr>
            </w:pPr>
          </w:p>
        </w:tc>
        <w:tc>
          <w:tcPr>
            <w:tcW w:w="1100" w:type="dxa"/>
            <w:vAlign w:val="bottom"/>
            <w:tcBorders>
              <w:right w:val="single" w:sz="8" w:color="auto"/>
            </w:tcBorders>
            <w:vMerge w:val="continue"/>
            <w:shd w:val="clear" w:color="auto" w:fill="EDF2F8"/>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060" w:type="dxa"/>
            <w:vAlign w:val="bottom"/>
            <w:tcBorders>
              <w:left w:val="single" w:sz="8" w:color="auto"/>
              <w:bottom w:val="single" w:sz="8" w:color="EDF2F8"/>
              <w:right w:val="single" w:sz="8" w:color="auto"/>
            </w:tcBorders>
            <w:gridSpan w:val="2"/>
            <w:vMerge w:val="continue"/>
            <w:shd w:val="clear" w:color="auto" w:fill="EDF2F8"/>
          </w:tcPr>
          <w:p>
            <w:pPr>
              <w:spacing w:after="0"/>
              <w:rPr>
                <w:sz w:val="6"/>
                <w:szCs w:val="6"/>
                <w:color w:val="auto"/>
              </w:rPr>
            </w:pPr>
          </w:p>
        </w:tc>
        <w:tc>
          <w:tcPr>
            <w:tcW w:w="1500" w:type="dxa"/>
            <w:vAlign w:val="bottom"/>
            <w:tcBorders>
              <w:bottom w:val="single" w:sz="8" w:color="EDF2F8"/>
              <w:right w:val="single" w:sz="8" w:color="auto"/>
            </w:tcBorders>
            <w:shd w:val="clear" w:color="auto" w:fill="EDF2F8"/>
          </w:tcPr>
          <w:p>
            <w:pPr>
              <w:spacing w:after="0"/>
              <w:rPr>
                <w:sz w:val="6"/>
                <w:szCs w:val="6"/>
                <w:color w:val="auto"/>
              </w:rPr>
            </w:pPr>
          </w:p>
        </w:tc>
        <w:tc>
          <w:tcPr>
            <w:tcW w:w="1640" w:type="dxa"/>
            <w:vAlign w:val="bottom"/>
            <w:tcBorders>
              <w:bottom w:val="single" w:sz="8" w:color="EDF2F8"/>
              <w:right w:val="single" w:sz="8" w:color="auto"/>
            </w:tcBorders>
            <w:shd w:val="clear" w:color="auto" w:fill="EDF2F8"/>
          </w:tcPr>
          <w:p>
            <w:pPr>
              <w:spacing w:after="0"/>
              <w:rPr>
                <w:sz w:val="6"/>
                <w:szCs w:val="6"/>
                <w:color w:val="auto"/>
              </w:rPr>
            </w:pPr>
          </w:p>
        </w:tc>
        <w:tc>
          <w:tcPr>
            <w:tcW w:w="1460" w:type="dxa"/>
            <w:vAlign w:val="bottom"/>
            <w:tcBorders>
              <w:bottom w:val="single" w:sz="8" w:color="EDF2F8"/>
              <w:right w:val="single" w:sz="8" w:color="auto"/>
            </w:tcBorders>
            <w:shd w:val="clear" w:color="auto" w:fill="EDF2F8"/>
          </w:tcPr>
          <w:p>
            <w:pPr>
              <w:spacing w:after="0"/>
              <w:rPr>
                <w:sz w:val="6"/>
                <w:szCs w:val="6"/>
                <w:color w:val="auto"/>
              </w:rPr>
            </w:pPr>
          </w:p>
        </w:tc>
        <w:tc>
          <w:tcPr>
            <w:tcW w:w="1600" w:type="dxa"/>
            <w:vAlign w:val="bottom"/>
            <w:tcBorders>
              <w:bottom w:val="single" w:sz="8" w:color="EDF2F8"/>
              <w:right w:val="single" w:sz="8" w:color="auto"/>
            </w:tcBorders>
            <w:shd w:val="clear" w:color="auto" w:fill="EDF2F8"/>
          </w:tcPr>
          <w:p>
            <w:pPr>
              <w:spacing w:after="0"/>
              <w:rPr>
                <w:sz w:val="6"/>
                <w:szCs w:val="6"/>
                <w:color w:val="auto"/>
              </w:rPr>
            </w:pPr>
          </w:p>
        </w:tc>
        <w:tc>
          <w:tcPr>
            <w:tcW w:w="1100" w:type="dxa"/>
            <w:vAlign w:val="bottom"/>
            <w:tcBorders>
              <w:bottom w:val="single" w:sz="8" w:color="EDF2F8"/>
              <w:right w:val="single" w:sz="8" w:color="auto"/>
            </w:tcBorders>
            <w:shd w:val="clear" w:color="auto" w:fill="EDF2F8"/>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880" w:right="139" w:hanging="340"/>
        <w:spacing w:after="0" w:line="281" w:lineRule="auto"/>
        <w:tabs>
          <w:tab w:leader="none" w:pos="783" w:val="left"/>
        </w:tabs>
        <w:numPr>
          <w:ilvl w:val="1"/>
          <w:numId w:val="45"/>
        </w:numPr>
        <w:rPr>
          <w:rFonts w:ascii="Arial" w:cs="Arial" w:eastAsia="Arial" w:hAnsi="Arial"/>
          <w:sz w:val="15"/>
          <w:szCs w:val="15"/>
          <w:color w:val="auto"/>
        </w:rPr>
      </w:pPr>
      <w:r>
        <w:rPr>
          <w:rFonts w:ascii="Arial" w:cs="Arial" w:eastAsia="Arial" w:hAnsi="Arial"/>
          <w:sz w:val="15"/>
          <w:szCs w:val="15"/>
          <w:color w:val="auto"/>
        </w:rPr>
        <w:t>The valuation methodologies used to calculate fair values for each measurement date do not materially differ from those used at the time of grant of each respective award.</w:t>
      </w:r>
    </w:p>
    <w:p>
      <w:pPr>
        <w:spacing w:after="0" w:line="375" w:lineRule="exact"/>
        <w:rPr>
          <w:rFonts w:ascii="Arial" w:cs="Arial" w:eastAsia="Arial" w:hAnsi="Arial"/>
          <w:sz w:val="15"/>
          <w:szCs w:val="15"/>
          <w:color w:val="auto"/>
        </w:rPr>
      </w:pPr>
    </w:p>
    <w:p>
      <w:pPr>
        <w:ind w:left="540" w:hanging="335"/>
        <w:spacing w:after="0"/>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For 2025, no adjustments were made relating to defined benefit and pension plans to determine CAP.</w:t>
      </w:r>
    </w:p>
    <w:p>
      <w:pPr>
        <w:spacing w:after="0" w:line="117" w:lineRule="exact"/>
        <w:rPr>
          <w:rFonts w:ascii="Arial" w:cs="Arial" w:eastAsia="Arial" w:hAnsi="Arial"/>
          <w:sz w:val="15"/>
          <w:szCs w:val="15"/>
          <w:color w:val="auto"/>
        </w:rPr>
      </w:pPr>
    </w:p>
    <w:p>
      <w:pPr>
        <w:ind w:left="540" w:right="139" w:hanging="335"/>
        <w:spacing w:after="0" w:line="281"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the cumulative TSR for the S&amp;P Composite 1500 Specialty Chemicals Index, as disclosed by Innospec for the purposes of Item 201(e) of Regulation S-K.</w:t>
      </w:r>
    </w:p>
    <w:p>
      <w:pPr>
        <w:spacing w:after="0" w:line="74" w:lineRule="exact"/>
        <w:rPr>
          <w:rFonts w:ascii="Arial" w:cs="Arial" w:eastAsia="Arial" w:hAnsi="Arial"/>
          <w:sz w:val="15"/>
          <w:szCs w:val="15"/>
          <w:color w:val="auto"/>
        </w:rPr>
      </w:pPr>
    </w:p>
    <w:p>
      <w:pPr>
        <w:ind w:left="540" w:right="119" w:hanging="335"/>
        <w:spacing w:after="0" w:line="281"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dollar amounts reported represent the amount of net income reflected in the Company’s audited financial statements for the applicable year (GAAP Net Income).</w:t>
      </w:r>
    </w:p>
    <w:p>
      <w:pPr>
        <w:spacing w:after="0" w:line="74" w:lineRule="exact"/>
        <w:rPr>
          <w:rFonts w:ascii="Arial" w:cs="Arial" w:eastAsia="Arial" w:hAnsi="Arial"/>
          <w:sz w:val="15"/>
          <w:szCs w:val="15"/>
          <w:color w:val="auto"/>
        </w:rPr>
      </w:pPr>
    </w:p>
    <w:p>
      <w:pPr>
        <w:jc w:val="both"/>
        <w:ind w:left="540" w:right="139" w:hanging="335"/>
        <w:spacing w:after="0" w:line="258"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Corporate Operating Income is the financial performance measure used by the Company in the most recently completed fiscal year to link CAP to the Company’s performance. Corporate Operating Income is calculated from GAAP Operating Income adjusted to exclude certain one-time/nonrecurring costs that are not reflective of the Company’s underlying operations, as further described in the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2303145</wp:posOffset>
            </wp:positionV>
            <wp:extent cx="297180" cy="290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1" w:name="page92"/>
    <w:bookmarkEnd w:id="91"/>
    <w:p>
      <w:pPr>
        <w:spacing w:after="0" w:line="102"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Analysis of the Information Presented in the Pay versus Performance Table</w:t>
      </w:r>
    </w:p>
    <w:p>
      <w:pPr>
        <w:spacing w:after="0" w:line="126" w:lineRule="exact"/>
        <w:rPr>
          <w:sz w:val="20"/>
          <w:szCs w:val="20"/>
          <w:color w:val="auto"/>
        </w:rPr>
      </w:pPr>
    </w:p>
    <w:p>
      <w:pPr>
        <w:ind w:left="200" w:right="139" w:firstLine="52"/>
        <w:spacing w:after="0" w:line="265" w:lineRule="auto"/>
        <w:rPr>
          <w:sz w:val="20"/>
          <w:szCs w:val="20"/>
          <w:color w:val="auto"/>
        </w:rPr>
      </w:pPr>
      <w:r>
        <w:rPr>
          <w:rFonts w:ascii="Arial" w:cs="Arial" w:eastAsia="Arial" w:hAnsi="Arial"/>
          <w:sz w:val="15"/>
          <w:szCs w:val="15"/>
          <w:color w:val="auto"/>
        </w:rPr>
        <w:t>The graphics below depict the relationship between CAP and Company TSR, S&amp;P Composite 1500 Specialty Chemicals Index TSR (referred to as the “peer group TSR” for purposes of 402(v)),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50165</wp:posOffset>
            </wp:positionV>
            <wp:extent cx="5515610" cy="398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15610" cy="398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Tabular List of Financial Performance Measures</w:t>
      </w:r>
    </w:p>
    <w:p>
      <w:pPr>
        <w:spacing w:after="0" w:line="126" w:lineRule="exact"/>
        <w:rPr>
          <w:sz w:val="20"/>
          <w:szCs w:val="20"/>
          <w:color w:val="auto"/>
        </w:rPr>
      </w:pPr>
    </w:p>
    <w:p>
      <w:pPr>
        <w:ind w:left="200" w:right="139"/>
        <w:spacing w:after="0" w:line="281" w:lineRule="auto"/>
        <w:rPr>
          <w:sz w:val="20"/>
          <w:szCs w:val="20"/>
          <w:color w:val="auto"/>
        </w:rPr>
      </w:pPr>
      <w:r>
        <w:rPr>
          <w:rFonts w:ascii="Arial" w:cs="Arial" w:eastAsia="Arial" w:hAnsi="Arial"/>
          <w:sz w:val="15"/>
          <w:szCs w:val="15"/>
          <w:color w:val="auto"/>
        </w:rPr>
        <w:t>The most important financial performance measures used by the Company to link executive CAP to the Company’s PEO and NEOs, for the most recently completed fiscal year, to the Company’s performance are as follows:</w:t>
      </w:r>
    </w:p>
    <w:p>
      <w:pPr>
        <w:spacing w:after="0" w:line="75" w:lineRule="exact"/>
        <w:rPr>
          <w:sz w:val="20"/>
          <w:szCs w:val="20"/>
          <w:color w:val="auto"/>
        </w:rPr>
      </w:pPr>
    </w:p>
    <w:p>
      <w:pPr>
        <w:ind w:left="880" w:hanging="3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Corporate Operating Income</w:t>
      </w:r>
    </w:p>
    <w:p>
      <w:pPr>
        <w:spacing w:after="0" w:line="117" w:lineRule="exact"/>
        <w:rPr>
          <w:rFonts w:ascii="Arial" w:cs="Arial" w:eastAsia="Arial" w:hAnsi="Arial"/>
          <w:sz w:val="15"/>
          <w:szCs w:val="15"/>
          <w:color w:val="auto"/>
        </w:rPr>
      </w:pPr>
    </w:p>
    <w:p>
      <w:pPr>
        <w:ind w:left="880" w:hanging="3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EPS</w:t>
      </w:r>
    </w:p>
    <w:p>
      <w:pPr>
        <w:spacing w:after="0" w:line="128" w:lineRule="exact"/>
        <w:rPr>
          <w:rFonts w:ascii="Arial" w:cs="Arial" w:eastAsia="Arial" w:hAnsi="Arial"/>
          <w:sz w:val="15"/>
          <w:szCs w:val="15"/>
          <w:color w:val="auto"/>
        </w:rPr>
      </w:pPr>
    </w:p>
    <w:p>
      <w:pPr>
        <w:ind w:left="880" w:hanging="3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Cash Flow</w:t>
      </w:r>
    </w:p>
    <w:p>
      <w:pPr>
        <w:spacing w:after="0" w:line="128" w:lineRule="exact"/>
        <w:rPr>
          <w:rFonts w:ascii="Arial" w:cs="Arial" w:eastAsia="Arial" w:hAnsi="Arial"/>
          <w:sz w:val="15"/>
          <w:szCs w:val="15"/>
          <w:color w:val="auto"/>
        </w:rPr>
      </w:pPr>
    </w:p>
    <w:p>
      <w:pPr>
        <w:ind w:left="880" w:hanging="3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Revenue</w:t>
      </w:r>
    </w:p>
    <w:p>
      <w:pPr>
        <w:spacing w:after="0" w:line="117" w:lineRule="exact"/>
        <w:rPr>
          <w:rFonts w:ascii="Arial" w:cs="Arial" w:eastAsia="Arial" w:hAnsi="Arial"/>
          <w:sz w:val="15"/>
          <w:szCs w:val="15"/>
          <w:color w:val="auto"/>
        </w:rPr>
      </w:pPr>
    </w:p>
    <w:p>
      <w:pPr>
        <w:ind w:left="880" w:hanging="340"/>
        <w:spacing w:after="0"/>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1504950</wp:posOffset>
            </wp:positionV>
            <wp:extent cx="297180" cy="2901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2" w:name="page93"/>
    <w:bookmarkEnd w:id="92"/>
    <w:p>
      <w:pPr>
        <w:spacing w:after="0" w:line="102"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Pay Ratio Disclosure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 line with the SEC disclosure requirements, the Company has determined the ratio of the total annual compensation of Mr.</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Williams, CEO, to the total annual compensation of the median employee for 2023, the last completed fiscal year.</w:t>
      </w:r>
    </w:p>
    <w:p>
      <w:pPr>
        <w:spacing w:after="0" w:line="103"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In 2025, the total annual compensation of the CEO was $8,253,108. The total annual compensation of the median employee was $104,479. As a result, for 2025, the ratio of the CEO’s total annual compensation to the total annual compensation of the median employee was approximately 79 to 1.</w:t>
      </w:r>
    </w:p>
    <w:p>
      <w:pPr>
        <w:spacing w:after="0" w:line="88" w:lineRule="exact"/>
        <w:rPr>
          <w:sz w:val="20"/>
          <w:szCs w:val="20"/>
          <w:color w:val="auto"/>
        </w:rPr>
      </w:pPr>
    </w:p>
    <w:p>
      <w:pPr>
        <w:jc w:val="both"/>
        <w:ind w:left="200" w:right="119"/>
        <w:spacing w:after="0" w:line="250" w:lineRule="auto"/>
        <w:rPr>
          <w:sz w:val="20"/>
          <w:szCs w:val="20"/>
          <w:color w:val="auto"/>
        </w:rPr>
      </w:pPr>
      <w:r>
        <w:rPr>
          <w:rFonts w:ascii="Arial" w:cs="Arial" w:eastAsia="Arial" w:hAnsi="Arial"/>
          <w:sz w:val="15"/>
          <w:szCs w:val="15"/>
          <w:color w:val="auto"/>
        </w:rPr>
        <w:t>The median employee was identified by examining compensation information derived from payroll records for all employees, excluding the CEO, who was employed by the Company on November 1, 2023. As of such date, the Company employed approximately 2,100 people, with around 720 of these employees located in the United States and around 1,380 located outside the United States. All employees were included, whether employed on a full-time, part-time, temporary, or seasonal basis. In identifying the median employee, the Company selected actual cash compensation for the 12-month period ending December 31, 2022 as the most appropriate measure of compensation, as there has been no change in the employee population or compensation arrangements that would have resulted in a significant change in the pay distribution to the workforce. Cash compensation was defined as base salary (for salaried employees), wages (for hourly employees), bonus and incentive payments earned in 2022, and any cash allowances including shift allowance, car allowance and responsibility allowance, but excluding any payments relating to stock-based incentives. In the cases where an individual was employed on November 1, 2023, but had not been employed in 2022, the 2022 compensation of an employee in a similar role and location was used as an estimate. In the cases where a full time or part time permanent employee was not employed by the Company for all of 2022, the compensation was annualized. Compensation was not analyzed for any temporary or seasonal workers. This measure was consistently applied to all employees included in the calculation.</w:t>
      </w:r>
    </w:p>
    <w:p>
      <w:pPr>
        <w:spacing w:after="0" w:line="102"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To determine the annual total compensation of the CEO, we used the amount reported in the “Total” column of the Summary Compensation Table in this Proxy Statement, which includes salary, stock and option awards, bonus, change in pension value, and all other compensation. The median employee’s total annual compensation for 2025 was calculated in accordance with the same requirements applicable to the CEO’s compensation as reported in the Summary Compensation Table and that number was used to calculate the ratio of the CEO’s pay to that of the median employee.</w:t>
      </w:r>
    </w:p>
    <w:p>
      <w:pPr>
        <w:spacing w:after="0" w:line="82" w:lineRule="exact"/>
        <w:rPr>
          <w:sz w:val="20"/>
          <w:szCs w:val="20"/>
          <w:color w:val="auto"/>
        </w:rPr>
      </w:pPr>
    </w:p>
    <w:p>
      <w:pPr>
        <w:jc w:val="both"/>
        <w:ind w:left="200" w:right="119"/>
        <w:spacing w:after="0" w:line="253" w:lineRule="auto"/>
        <w:rPr>
          <w:sz w:val="20"/>
          <w:szCs w:val="20"/>
          <w:color w:val="auto"/>
        </w:rPr>
      </w:pPr>
      <w:r>
        <w:rPr>
          <w:rFonts w:ascii="Arial" w:cs="Arial" w:eastAsia="Arial" w:hAnsi="Arial"/>
          <w:sz w:val="15"/>
          <w:szCs w:val="15"/>
          <w:color w:val="auto"/>
        </w:rPr>
        <w:t>The SEC rules requiring pay ratio disclosure allow companies to exercise a significant amount of flexibility in making the determination as to who is the median employee and do not mandate that each company use the same method. We believe that the pay ratio above is a reasonable estimate calculated in a manner consistent with the SEC rules. However, the total annual compensation of our median employee is unique to that person and is not necessarily a good indicator of the total annual compensation of any of the other employees of the Company, and it is not comparable to the annual total compensation of employees at other companies. Similarly, we would not expect that the ratio of the CEO’s total annual compensation to that of the median employee to be a number that can be compared to the ratio determined by other companies in any meaningful fashion.</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874796"/>
        </w:rPr>
        <w:t>OTHER MATTERS</w:t>
      </w:r>
    </w:p>
    <w:p>
      <w:pPr>
        <w:spacing w:after="0" w:line="190" w:lineRule="exact"/>
        <w:rPr>
          <w:sz w:val="20"/>
          <w:szCs w:val="20"/>
          <w:color w:val="auto"/>
        </w:rPr>
      </w:pPr>
    </w:p>
    <w:p>
      <w:pPr>
        <w:jc w:val="both"/>
        <w:ind w:left="200" w:right="139"/>
        <w:spacing w:after="0" w:line="258" w:lineRule="auto"/>
        <w:rPr>
          <w:sz w:val="20"/>
          <w:szCs w:val="20"/>
          <w:color w:val="auto"/>
        </w:rPr>
      </w:pPr>
      <w:r>
        <w:rPr>
          <w:rFonts w:ascii="Arial" w:cs="Arial" w:eastAsia="Arial" w:hAnsi="Arial"/>
          <w:sz w:val="15"/>
          <w:szCs w:val="15"/>
          <w:color w:val="auto"/>
        </w:rPr>
        <w:t>As of the date of this Proxy Statement, management is not aware of any matters to be presented at the Annual Meeting of Stockholders other than the matters specifically stated in the Notice of Annual Meeting of Stockholders and discussed in this Proxy Statement. If any other matter or matters are properly brought before the meeting, the persons named in the enclosed Proxy Form have discretionary authority to vote the proxy on each such matter in accordance with their judgement.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2543810</wp:posOffset>
            </wp:positionV>
            <wp:extent cx="297180" cy="290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3" w:name="page94"/>
    <w:bookmarkEnd w:id="93"/>
    <w:p>
      <w:pPr>
        <w:spacing w:after="0" w:line="7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874796"/>
        </w:rPr>
        <w:t>SOLICITATION AND EXPENSES OF SOLICITATION</w:t>
      </w:r>
    </w:p>
    <w:p>
      <w:pPr>
        <w:spacing w:after="0" w:line="190" w:lineRule="exact"/>
        <w:rPr>
          <w:sz w:val="20"/>
          <w:szCs w:val="20"/>
          <w:color w:val="auto"/>
        </w:rPr>
      </w:pPr>
    </w:p>
    <w:p>
      <w:pPr>
        <w:jc w:val="both"/>
        <w:ind w:left="200" w:right="139"/>
        <w:spacing w:after="0" w:line="256" w:lineRule="auto"/>
        <w:rPr>
          <w:sz w:val="20"/>
          <w:szCs w:val="20"/>
          <w:color w:val="auto"/>
        </w:rPr>
      </w:pPr>
      <w:r>
        <w:rPr>
          <w:rFonts w:ascii="Arial" w:cs="Arial" w:eastAsia="Arial" w:hAnsi="Arial"/>
          <w:sz w:val="15"/>
          <w:szCs w:val="15"/>
          <w:color w:val="auto"/>
        </w:rPr>
        <w:t>The solicitation of proxies will be made initially through the internet and by e-mail. The Company’s Directors, Executive Officers and employees may also solicit proxies in person, via computer, by telephone or email without additional compensation. In addition, proxies may be solicited by certain banking institutions, brokerage firms, custodians, trustees, nominees, and fiduciaries that will mail material to or otherwise communicate with the beneficial owners of shares of the Company’s Common Stock. All expenses of solicitation of proxies will be paid by the Company.</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874796"/>
        </w:rPr>
        <w:t>ANNUAL REPORT TO STOCKHOLDERS</w:t>
      </w:r>
    </w:p>
    <w:p>
      <w:pPr>
        <w:spacing w:after="0" w:line="190" w:lineRule="exact"/>
        <w:rPr>
          <w:sz w:val="20"/>
          <w:szCs w:val="20"/>
          <w:color w:val="auto"/>
        </w:rPr>
      </w:pPr>
    </w:p>
    <w:p>
      <w:pPr>
        <w:jc w:val="both"/>
        <w:ind w:left="200" w:right="119"/>
        <w:spacing w:after="0" w:line="256" w:lineRule="auto"/>
        <w:rPr>
          <w:sz w:val="20"/>
          <w:szCs w:val="20"/>
          <w:color w:val="auto"/>
        </w:rPr>
      </w:pPr>
      <w:r>
        <w:rPr>
          <w:rFonts w:ascii="Arial" w:cs="Arial" w:eastAsia="Arial" w:hAnsi="Arial"/>
          <w:sz w:val="15"/>
          <w:szCs w:val="15"/>
          <w:color w:val="auto"/>
        </w:rPr>
        <w:t>A copy of the Company’s 2025 Annual Report on Form 10-K for the fiscal year ended December 31, 2025 is now available to stockholders via the internet at www.envisionreports.com/iosp. Stockholders who require a printed copy of the Annual Report on Form 10-K may obtain one by writing to or calling our investor relations department: Investor Relations, Innospec Inc., Corporate Headquarters. 8310 South Valley Highway, Suite 350. Englewood, Colorado 80112, telephone +1 303-792-5554, or by e-mail to investor@innospecinc.com.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5563235</wp:posOffset>
            </wp:positionV>
            <wp:extent cx="297180" cy="290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4" w:name="page95"/>
    <w:bookmarkEnd w:id="94"/>
    <w:p>
      <w:pPr>
        <w:spacing w:after="0" w:line="78" w:lineRule="exact"/>
        <w:rPr>
          <w:sz w:val="20"/>
          <w:szCs w:val="20"/>
          <w:color w:val="auto"/>
        </w:rPr>
      </w:pPr>
    </w:p>
    <w:p>
      <w:pPr>
        <w:ind w:left="200" w:right="339"/>
        <w:spacing w:after="0" w:line="278" w:lineRule="auto"/>
        <w:rPr>
          <w:sz w:val="20"/>
          <w:szCs w:val="20"/>
          <w:color w:val="auto"/>
        </w:rPr>
      </w:pPr>
      <w:r>
        <w:rPr>
          <w:rFonts w:ascii="Arial" w:cs="Arial" w:eastAsia="Arial" w:hAnsi="Arial"/>
          <w:sz w:val="27"/>
          <w:szCs w:val="27"/>
          <w:b w:val="1"/>
          <w:bCs w:val="1"/>
          <w:color w:val="874796"/>
        </w:rPr>
        <w:t>STOCKHOLDERS’ PROPOSALS FOR THE 2027 ANNUAL MEETING OF STOCKHOLDERS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Company anticipates holding its 2027 Annual Meeting of Stockholders on May 7, 2027.</w:t>
      </w:r>
    </w:p>
    <w:p>
      <w:pPr>
        <w:spacing w:after="0" w:line="128" w:lineRule="exact"/>
        <w:rPr>
          <w:sz w:val="20"/>
          <w:szCs w:val="20"/>
          <w:color w:val="auto"/>
        </w:rPr>
      </w:pPr>
    </w:p>
    <w:p>
      <w:pPr>
        <w:jc w:val="both"/>
        <w:ind w:left="200" w:right="139"/>
        <w:spacing w:after="0" w:line="264" w:lineRule="auto"/>
        <w:rPr>
          <w:sz w:val="20"/>
          <w:szCs w:val="20"/>
          <w:color w:val="auto"/>
        </w:rPr>
      </w:pPr>
      <w:r>
        <w:rPr>
          <w:rFonts w:ascii="Arial" w:cs="Arial" w:eastAsia="Arial" w:hAnsi="Arial"/>
          <w:sz w:val="15"/>
          <w:szCs w:val="15"/>
          <w:color w:val="auto"/>
        </w:rPr>
        <w:t>Under the regulations of the SEC, any stockholder wishing to make a proposal to be acted upon at the 2027 Annual Meeting of Stockholders and have it included in our proxy materials must present such proposals to the Secretary of the Company no later than November 27, 2026.</w:t>
      </w:r>
    </w:p>
    <w:p>
      <w:pPr>
        <w:spacing w:after="0" w:line="88" w:lineRule="exact"/>
        <w:rPr>
          <w:sz w:val="20"/>
          <w:szCs w:val="20"/>
          <w:color w:val="auto"/>
        </w:rPr>
      </w:pPr>
    </w:p>
    <w:p>
      <w:pPr>
        <w:jc w:val="both"/>
        <w:ind w:left="200" w:right="139"/>
        <w:spacing w:after="0" w:line="253" w:lineRule="auto"/>
        <w:rPr>
          <w:sz w:val="20"/>
          <w:szCs w:val="20"/>
          <w:color w:val="auto"/>
        </w:rPr>
      </w:pPr>
      <w:r>
        <w:rPr>
          <w:rFonts w:ascii="Arial" w:cs="Arial" w:eastAsia="Arial" w:hAnsi="Arial"/>
          <w:sz w:val="15"/>
          <w:szCs w:val="15"/>
          <w:color w:val="auto"/>
        </w:rPr>
        <w:t>Stockholder proposals or Director nominations not included in a proxy statement for an annual meeting must comply with the advance notice procedures and information requirements set out in the Bylaws of the Company in order to be properly brought before that Annual Meeting of Stockholders. Under the Company’s Bylaws, any stockholder desiring to make a proposal to be acted upon at the 2027 Annual Meeting of Stockholders must present such proposals to the Corporate Secretary not before February 8, 2027 and not later than March 10, 2027. In addition, to comply with the universal proxy rules (once effective), stockholders who intend to solicit proxies in support of director nominees other than Innospec Inc. nominees must provide notice that sets forth the information required by Rule 14a-19 under the Exchange Act no later than March 10, 2027.</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90805</wp:posOffset>
            </wp:positionV>
            <wp:extent cx="1711325" cy="5867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11325"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David B. Jones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Vice President, General Counsel,</w:t>
      </w:r>
    </w:p>
    <w:p>
      <w:pPr>
        <w:ind w:left="200"/>
        <w:spacing w:after="0" w:line="237" w:lineRule="auto"/>
        <w:rPr>
          <w:sz w:val="20"/>
          <w:szCs w:val="20"/>
          <w:color w:val="auto"/>
        </w:rPr>
      </w:pPr>
      <w:r>
        <w:rPr>
          <w:rFonts w:ascii="Arial" w:cs="Arial" w:eastAsia="Arial" w:hAnsi="Arial"/>
          <w:sz w:val="18"/>
          <w:szCs w:val="18"/>
          <w:b w:val="1"/>
          <w:bCs w:val="1"/>
          <w:i w:val="1"/>
          <w:iCs w:val="1"/>
          <w:color w:val="auto"/>
        </w:rPr>
        <w:t>Chief Compliance Officer, and Corporate Secretary</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71755</wp:posOffset>
            </wp:positionV>
            <wp:extent cx="5535295" cy="6985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35295" cy="698500"/>
                    </a:xfrm>
                    <a:prstGeom prst="rect">
                      <a:avLst/>
                    </a:prstGeom>
                    <a:noFill/>
                  </pic:spPr>
                </pic:pic>
              </a:graphicData>
            </a:graphic>
          </wp:anchor>
        </w:drawing>
      </w:r>
    </w:p>
    <w:p>
      <w:pPr>
        <w:spacing w:after="0" w:line="217" w:lineRule="exact"/>
        <w:rPr>
          <w:sz w:val="20"/>
          <w:szCs w:val="20"/>
          <w:color w:val="auto"/>
        </w:rPr>
      </w:pPr>
    </w:p>
    <w:p>
      <w:pPr>
        <w:jc w:val="center"/>
        <w:ind w:left="1660" w:right="400"/>
        <w:spacing w:after="0" w:line="254" w:lineRule="auto"/>
        <w:rPr>
          <w:sz w:val="20"/>
          <w:szCs w:val="20"/>
          <w:color w:val="auto"/>
        </w:rPr>
      </w:pPr>
      <w:r>
        <w:rPr>
          <w:rFonts w:ascii="Arial" w:cs="Arial" w:eastAsia="Arial" w:hAnsi="Arial"/>
          <w:sz w:val="15"/>
          <w:szCs w:val="15"/>
          <w:b w:val="1"/>
          <w:bCs w:val="1"/>
          <w:color w:val="auto"/>
        </w:rPr>
        <w:t>PLEASE VOTE VIA THE INTERNET OR BY TELEPHONE IN ACCORDANCE WITH THE INSTRUCTIONS ON YOUR NOTICE OR PROXY CARD. ALTERNATIVELY, IF YOU HAVE REQUESTED WRITTEN MATERIALS SIGN, DATE AND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RETURN YOUR PROXY CARD IN THE RETURN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3539490</wp:posOffset>
            </wp:positionV>
            <wp:extent cx="297180" cy="290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97180" cy="2901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60"/>
        <w:spacing w:after="0"/>
        <w:rPr>
          <w:sz w:val="20"/>
          <w:szCs w:val="20"/>
          <w:color w:val="auto"/>
        </w:rPr>
      </w:pPr>
      <w:r>
        <w:rPr>
          <w:rFonts w:ascii="Arial" w:cs="Arial" w:eastAsia="Arial" w:hAnsi="Arial"/>
          <w:sz w:val="11"/>
          <w:szCs w:val="11"/>
          <w:b w:val="1"/>
          <w:bCs w:val="1"/>
          <w:color w:val="auto"/>
        </w:rPr>
        <w:t>|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822960</wp:posOffset>
            </wp:positionV>
            <wp:extent cx="7207885" cy="139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0788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95" w:name="page96"/>
    <w:bookmarkEnd w:id="9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1285240</wp:posOffset>
            </wp:positionH>
            <wp:positionV relativeFrom="page">
              <wp:posOffset>265430</wp:posOffset>
            </wp:positionV>
            <wp:extent cx="2390140" cy="537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90140" cy="537210"/>
                    </a:xfrm>
                    <a:prstGeom prst="rect">
                      <a:avLst/>
                    </a:prstGeom>
                    <a:noFill/>
                  </pic:spPr>
                </pic:pic>
              </a:graphicData>
            </a:graphic>
          </wp:anchor>
        </w:drawing>
      </w:r>
    </w:p>
    <w:p>
      <w:pPr>
        <w:ind w:left="7020"/>
        <w:spacing w:after="0"/>
        <w:rPr>
          <w:sz w:val="20"/>
          <w:szCs w:val="20"/>
          <w:color w:val="auto"/>
        </w:rPr>
      </w:pPr>
      <w:r>
        <w:rPr>
          <w:rFonts w:ascii="Arial" w:cs="Arial" w:eastAsia="Arial" w:hAnsi="Arial"/>
          <w:sz w:val="21"/>
          <w:szCs w:val="21"/>
          <w:b w:val="1"/>
          <w:bCs w:val="1"/>
          <w:color w:val="auto"/>
        </w:rPr>
        <w:t>Your vote matters – here’s how to vote!</w:t>
      </w:r>
    </w:p>
    <w:p>
      <w:pPr>
        <w:spacing w:after="0" w:line="22" w:lineRule="exact"/>
        <w:rPr>
          <w:sz w:val="20"/>
          <w:szCs w:val="20"/>
          <w:color w:val="auto"/>
        </w:rPr>
      </w:pPr>
    </w:p>
    <w:p>
      <w:pPr>
        <w:ind w:left="7020"/>
        <w:spacing w:after="0"/>
        <w:rPr>
          <w:sz w:val="20"/>
          <w:szCs w:val="20"/>
          <w:color w:val="auto"/>
        </w:rPr>
      </w:pPr>
      <w:r>
        <w:rPr>
          <w:rFonts w:ascii="Arial" w:cs="Arial" w:eastAsia="Arial" w:hAnsi="Arial"/>
          <w:sz w:val="15"/>
          <w:szCs w:val="15"/>
          <w:color w:val="auto"/>
        </w:rPr>
        <w:t>You may vote online or by phone instead of mailing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102870</wp:posOffset>
            </wp:positionV>
            <wp:extent cx="304165" cy="2476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04165" cy="247650"/>
                    </a:xfrm>
                    <a:prstGeom prst="rect">
                      <a:avLst/>
                    </a:prstGeom>
                    <a:noFill/>
                  </pic:spPr>
                </pic:pic>
              </a:graphicData>
            </a:graphic>
          </wp:anchor>
        </w:drawing>
      </w:r>
    </w:p>
    <w:p>
      <w:pPr>
        <w:spacing w:after="0" w:line="172" w:lineRule="exact"/>
        <w:rPr>
          <w:sz w:val="20"/>
          <w:szCs w:val="20"/>
          <w:color w:val="auto"/>
        </w:rPr>
      </w:pPr>
    </w:p>
    <w:p>
      <w:pPr>
        <w:ind w:left="7600" w:right="20"/>
        <w:spacing w:after="0" w:line="273" w:lineRule="auto"/>
        <w:rPr>
          <w:sz w:val="20"/>
          <w:szCs w:val="20"/>
          <w:color w:val="auto"/>
        </w:rPr>
      </w:pPr>
      <w:r>
        <w:rPr>
          <w:rFonts w:ascii="Arial" w:cs="Arial" w:eastAsia="Arial" w:hAnsi="Arial"/>
          <w:sz w:val="15"/>
          <w:szCs w:val="15"/>
          <w:b w:val="1"/>
          <w:bCs w:val="1"/>
          <w:color w:val="auto"/>
        </w:rPr>
        <w:t>Votes submitted electronically must be received by 11:59 p.m., ET, on May 7, 2026.</w:t>
      </w:r>
    </w:p>
    <w:p>
      <w:pPr>
        <w:spacing w:after="0" w:line="153" w:lineRule="exact"/>
        <w:rPr>
          <w:sz w:val="20"/>
          <w:szCs w:val="20"/>
          <w:color w:val="auto"/>
        </w:rPr>
      </w:pPr>
    </w:p>
    <w:p>
      <w:pPr>
        <w:ind w:left="7600"/>
        <w:spacing w:after="0"/>
        <w:rPr>
          <w:sz w:val="20"/>
          <w:szCs w:val="20"/>
          <w:color w:val="auto"/>
        </w:rPr>
      </w:pPr>
      <w:r>
        <w:rPr>
          <w:rFonts w:ascii="Arial" w:cs="Arial" w:eastAsia="Arial" w:hAnsi="Arial"/>
          <w:sz w:val="15"/>
          <w:szCs w:val="15"/>
          <w:b w:val="1"/>
          <w:bCs w:val="1"/>
          <w:color w:val="auto"/>
        </w:rPr>
        <w:t>Online</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www.envisionreports.com/iosp</w:t>
      </w:r>
      <w:r>
        <w:rPr>
          <w:rFonts w:ascii="Arial" w:cs="Arial" w:eastAsia="Arial" w:hAnsi="Arial"/>
          <w:sz w:val="14"/>
          <w:szCs w:val="14"/>
          <w:color w:val="auto"/>
        </w:rPr>
        <w:t xml:space="preserve"> or scan the QR</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5"/>
          <w:szCs w:val="15"/>
          <w:color w:val="auto"/>
        </w:rPr>
        <w:t>code — login details are located in the shaded bar</w:t>
      </w:r>
    </w:p>
    <w:p>
      <w:pPr>
        <w:ind w:left="7600"/>
        <w:spacing w:after="0"/>
        <w:rPr>
          <w:sz w:val="20"/>
          <w:szCs w:val="20"/>
          <w:color w:val="auto"/>
        </w:rPr>
      </w:pP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102870</wp:posOffset>
            </wp:positionV>
            <wp:extent cx="198120" cy="3467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98120" cy="346710"/>
                    </a:xfrm>
                    <a:prstGeom prst="rect">
                      <a:avLst/>
                    </a:prstGeom>
                    <a:noFill/>
                  </pic:spPr>
                </pic:pic>
              </a:graphicData>
            </a:graphic>
          </wp:anchor>
        </w:drawing>
      </w:r>
    </w:p>
    <w:p>
      <w:pPr>
        <w:spacing w:after="0" w:line="161" w:lineRule="exact"/>
        <w:rPr>
          <w:sz w:val="20"/>
          <w:szCs w:val="20"/>
          <w:color w:val="auto"/>
        </w:rPr>
      </w:pPr>
    </w:p>
    <w:p>
      <w:pPr>
        <w:ind w:left="7600"/>
        <w:spacing w:after="0"/>
        <w:rPr>
          <w:sz w:val="20"/>
          <w:szCs w:val="20"/>
          <w:color w:val="auto"/>
        </w:rPr>
      </w:pPr>
      <w:r>
        <w:rPr>
          <w:rFonts w:ascii="Arial" w:cs="Arial" w:eastAsia="Arial" w:hAnsi="Arial"/>
          <w:sz w:val="15"/>
          <w:szCs w:val="15"/>
          <w:b w:val="1"/>
          <w:bCs w:val="1"/>
          <w:color w:val="auto"/>
        </w:rPr>
        <w:t>Phone</w:t>
      </w:r>
    </w:p>
    <w:p>
      <w:pPr>
        <w:spacing w:after="0" w:line="3" w:lineRule="exact"/>
        <w:rPr>
          <w:sz w:val="20"/>
          <w:szCs w:val="20"/>
          <w:color w:val="auto"/>
        </w:rPr>
      </w:pPr>
    </w:p>
    <w:p>
      <w:pPr>
        <w:ind w:left="7600"/>
        <w:spacing w:after="0"/>
        <w:rPr>
          <w:sz w:val="20"/>
          <w:szCs w:val="20"/>
          <w:color w:val="auto"/>
        </w:rPr>
      </w:pPr>
      <w:r>
        <w:rPr>
          <w:rFonts w:ascii="Arial" w:cs="Arial" w:eastAsia="Arial" w:hAnsi="Arial"/>
          <w:sz w:val="15"/>
          <w:szCs w:val="15"/>
          <w:color w:val="auto"/>
        </w:rPr>
        <w:t>Call toll free 1-800-652-VOTE (8683) within the USA,</w:t>
      </w:r>
    </w:p>
    <w:p>
      <w:pPr>
        <w:ind w:left="7600"/>
        <w:spacing w:after="0"/>
        <w:rPr>
          <w:sz w:val="20"/>
          <w:szCs w:val="20"/>
          <w:color w:val="auto"/>
        </w:rPr>
      </w:pPr>
      <w:r>
        <w:rPr>
          <w:rFonts w:ascii="Arial" w:cs="Arial" w:eastAsia="Arial" w:hAnsi="Arial"/>
          <w:sz w:val="15"/>
          <w:szCs w:val="15"/>
          <w:color w:val="auto"/>
        </w:rPr>
        <w:t>US territories and Canada</w:t>
      </w:r>
    </w:p>
    <w:p>
      <w:pPr>
        <w:spacing w:after="0" w:line="184" w:lineRule="exact"/>
        <w:rPr>
          <w:sz w:val="20"/>
          <w:szCs w:val="20"/>
          <w:color w:val="auto"/>
        </w:rPr>
      </w:pPr>
    </w:p>
    <w:p>
      <w:pPr>
        <w:ind w:left="7600" w:right="860"/>
        <w:spacing w:after="0" w:line="276" w:lineRule="auto"/>
        <w:rPr>
          <w:sz w:val="20"/>
          <w:szCs w:val="20"/>
          <w:color w:val="auto"/>
        </w:rPr>
      </w:pPr>
      <w:r>
        <w:rPr>
          <w:rFonts w:ascii="Arial" w:cs="Arial" w:eastAsia="Arial" w:hAnsi="Arial"/>
          <w:sz w:val="17"/>
          <w:szCs w:val="17"/>
          <w:b w:val="1"/>
          <w:bCs w:val="1"/>
          <w:color w:val="auto"/>
        </w:rPr>
        <w:t>Save paper, time and money! Sign up for electronic delivery at www.envisionreports.com/iosp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-384175</wp:posOffset>
            </wp:positionV>
            <wp:extent cx="297180" cy="297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97180" cy="297180"/>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-81915</wp:posOffset>
            </wp:positionV>
            <wp:extent cx="261620" cy="2406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1620" cy="24066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2"/>
          <w:szCs w:val="12"/>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185420</wp:posOffset>
            </wp:positionV>
            <wp:extent cx="7156450" cy="339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6450" cy="339725"/>
                    </a:xfrm>
                    <a:prstGeom prst="rect">
                      <a:avLst/>
                    </a:prstGeom>
                    <a:noFill/>
                  </pic:spPr>
                </pic:pic>
              </a:graphicData>
            </a:graphic>
          </wp:anchor>
        </w:drawing>
      </w:r>
    </w:p>
    <w:p>
      <w:pPr>
        <w:spacing w:after="0" w:line="38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2026 Annual Meeting Proxy Card</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IF VOTING BY MAIL, SIGN,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6802755" cy="162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02755" cy="16256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-81915</wp:posOffset>
            </wp:positionV>
            <wp:extent cx="85090" cy="635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090" cy="63500"/>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-74930</wp:posOffset>
            </wp:positionV>
            <wp:extent cx="85090" cy="635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090" cy="63500"/>
                    </a:xfrm>
                    <a:prstGeom prst="rect">
                      <a:avLst/>
                    </a:prstGeom>
                    <a:noFill/>
                  </pic:spPr>
                </pic:pic>
              </a:graphicData>
            </a:graphic>
          </wp:anchor>
        </w:drawing>
      </w:r>
    </w:p>
    <w:p>
      <w:pPr>
        <w:spacing w:after="0" w:line="181" w:lineRule="exact"/>
        <w:rPr>
          <w:sz w:val="20"/>
          <w:szCs w:val="20"/>
          <w:color w:val="auto"/>
        </w:rPr>
      </w:pPr>
    </w:p>
    <w:p>
      <w:pPr>
        <w:ind w:left="400" w:hanging="272"/>
        <w:spacing w:after="0"/>
        <w:tabs>
          <w:tab w:leader="none" w:pos="400" w:val="left"/>
        </w:tabs>
        <w:numPr>
          <w:ilvl w:val="0"/>
          <w:numId w:val="48"/>
        </w:numPr>
        <w:rPr>
          <w:rFonts w:ascii="Arial" w:cs="Arial" w:eastAsia="Arial" w:hAnsi="Arial"/>
          <w:sz w:val="15"/>
          <w:szCs w:val="15"/>
          <w:b w:val="1"/>
          <w:bCs w:val="1"/>
          <w:color w:val="FFFFFF"/>
        </w:rPr>
      </w:pPr>
      <w:r>
        <w:rPr>
          <w:rFonts w:ascii="Arial" w:cs="Arial" w:eastAsia="Arial" w:hAnsi="Arial"/>
          <w:sz w:val="15"/>
          <w:szCs w:val="15"/>
          <w:b w:val="1"/>
          <w:bCs w:val="1"/>
          <w:color w:val="auto"/>
        </w:rPr>
        <w:t xml:space="preserve">Proposals — The Board of Directors recommends a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all nominees and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Proposals 2 and 3.</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1. Election of two 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6900545</wp:posOffset>
            </wp:positionH>
            <wp:positionV relativeFrom="paragraph">
              <wp:posOffset>-83185</wp:posOffset>
            </wp:positionV>
            <wp:extent cx="155575" cy="1555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5575" cy="155575"/>
                    </a:xfrm>
                    <a:prstGeom prst="rect">
                      <a:avLst/>
                    </a:prstGeom>
                    <a:noFill/>
                  </pic:spPr>
                </pic:pic>
              </a:graphicData>
            </a:graphic>
          </wp:anchor>
        </w:drawing>
      </w:r>
    </w:p>
    <w:p>
      <w:pPr>
        <w:sectPr>
          <w:pgSz w:w="11900" w:h="16838" w:orient="portrait"/>
          <w:cols w:equalWidth="0" w:num="1">
            <w:col w:w="11220"/>
          </w:cols>
          <w:pgMar w:left="300" w:top="1440" w:right="379" w:bottom="1440" w:gutter="0" w:footer="0" w:header="0"/>
        </w:sectPr>
      </w:pPr>
    </w:p>
    <w:p>
      <w:pPr>
        <w:spacing w:after="0" w:line="127"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11"/>
          <w:szCs w:val="11"/>
          <w:b w:val="1"/>
          <w:bCs w:val="1"/>
          <w:color w:val="221E1F"/>
        </w:rPr>
        <w:t>For</w:t>
      </w:r>
      <w:r>
        <w:rPr>
          <w:sz w:val="20"/>
          <w:szCs w:val="20"/>
          <w:color w:val="auto"/>
        </w:rPr>
        <w:tab/>
      </w:r>
      <w:r>
        <w:rPr>
          <w:rFonts w:ascii="Arial" w:cs="Arial" w:eastAsia="Arial" w:hAnsi="Arial"/>
          <w:sz w:val="11"/>
          <w:szCs w:val="11"/>
          <w:b w:val="1"/>
          <w:bCs w:val="1"/>
          <w:color w:val="auto"/>
        </w:rPr>
        <w:t>Withhold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221E1F"/>
        </w:rPr>
        <w:t>For</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Withhold</w:t>
      </w:r>
    </w:p>
    <w:p>
      <w:pPr>
        <w:spacing w:after="0" w:line="142" w:lineRule="exact"/>
        <w:rPr>
          <w:sz w:val="20"/>
          <w:szCs w:val="20"/>
          <w:color w:val="auto"/>
        </w:rPr>
      </w:pPr>
    </w:p>
    <w:p>
      <w:pPr>
        <w:sectPr>
          <w:pgSz w:w="11900" w:h="16838" w:orient="portrait"/>
          <w:cols w:equalWidth="0" w:num="3">
            <w:col w:w="5360" w:space="720"/>
            <w:col w:w="200" w:space="300"/>
            <w:col w:w="4640"/>
          </w:cols>
          <w:pgMar w:left="300" w:top="1440" w:right="379" w:bottom="1440" w:gutter="0" w:footer="0" w:header="0"/>
          <w:type w:val="continuous"/>
        </w:sectPr>
      </w:pPr>
    </w:p>
    <w:p>
      <w:pPr>
        <w:ind w:left="360"/>
        <w:spacing w:after="0"/>
        <w:rPr>
          <w:sz w:val="20"/>
          <w:szCs w:val="20"/>
          <w:color w:val="auto"/>
        </w:rPr>
      </w:pPr>
      <w:r>
        <w:rPr>
          <w:rFonts w:ascii="Arial" w:cs="Arial" w:eastAsia="Arial" w:hAnsi="Arial"/>
          <w:sz w:val="11"/>
          <w:szCs w:val="11"/>
          <w:color w:val="auto"/>
        </w:rPr>
        <w:t>01 - Elizabeth K. Arnold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02 - Claudia P. Poccia</w:t>
      </w:r>
    </w:p>
    <w:p>
      <w:pPr>
        <w:spacing w:after="0" w:line="200" w:lineRule="exact"/>
        <w:rPr>
          <w:sz w:val="20"/>
          <w:szCs w:val="20"/>
          <w:color w:val="auto"/>
        </w:rPr>
      </w:pPr>
    </w:p>
    <w:p>
      <w:pPr>
        <w:sectPr>
          <w:pgSz w:w="11900" w:h="16838" w:orient="portrait"/>
          <w:cols w:equalWidth="0" w:num="2">
            <w:col w:w="3480" w:space="720"/>
            <w:col w:w="7020"/>
          </w:cols>
          <w:pgMar w:left="300" w:top="1440" w:right="379" w:bottom="1440" w:gutter="0" w:footer="0" w:header="0"/>
          <w:type w:val="continuous"/>
        </w:sectPr>
      </w:pPr>
    </w:p>
    <w:p>
      <w:pPr>
        <w:spacing w:after="0" w:line="6" w:lineRule="exact"/>
        <w:rPr>
          <w:sz w:val="20"/>
          <w:szCs w:val="20"/>
          <w:color w:val="auto"/>
        </w:rPr>
      </w:pPr>
    </w:p>
    <w:p>
      <w:pPr>
        <w:ind w:left="4700"/>
        <w:spacing w:after="0"/>
        <w:tabs>
          <w:tab w:leader="none" w:pos="5100" w:val="left"/>
          <w:tab w:leader="none" w:pos="5700" w:val="left"/>
        </w:tabs>
        <w:rPr>
          <w:sz w:val="20"/>
          <w:szCs w:val="20"/>
          <w:color w:val="auto"/>
        </w:rPr>
      </w:pPr>
      <w:r>
        <w:rPr>
          <w:rFonts w:ascii="Arial" w:cs="Arial" w:eastAsia="Arial" w:hAnsi="Arial"/>
          <w:sz w:val="12"/>
          <w:szCs w:val="12"/>
          <w:b w:val="1"/>
          <w:bCs w:val="1"/>
          <w:color w:val="221E1F"/>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20" w:lineRule="exact"/>
        <w:rPr>
          <w:sz w:val="20"/>
          <w:szCs w:val="20"/>
          <w:color w:val="auto"/>
        </w:rPr>
      </w:pPr>
      <w:r>
        <w:rPr>
          <w:sz w:val="20"/>
          <w:szCs w:val="20"/>
          <w:color w:val="auto"/>
        </w:rPr>
        <w:br w:type="column"/>
      </w:r>
    </w:p>
    <w:p>
      <w:pPr>
        <w:spacing w:after="0"/>
        <w:tabs>
          <w:tab w:leader="none" w:pos="380" w:val="left"/>
          <w:tab w:leader="none" w:pos="960" w:val="left"/>
        </w:tabs>
        <w:rPr>
          <w:sz w:val="20"/>
          <w:szCs w:val="20"/>
          <w:color w:val="auto"/>
        </w:rPr>
      </w:pPr>
      <w:r>
        <w:rPr>
          <w:rFonts w:ascii="Arial" w:cs="Arial" w:eastAsia="Arial" w:hAnsi="Arial"/>
          <w:sz w:val="12"/>
          <w:szCs w:val="12"/>
          <w:b w:val="1"/>
          <w:bCs w:val="1"/>
          <w:color w:val="221E1F"/>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42" w:lineRule="exact"/>
        <w:rPr>
          <w:sz w:val="20"/>
          <w:szCs w:val="20"/>
          <w:color w:val="auto"/>
        </w:rPr>
      </w:pPr>
    </w:p>
    <w:p>
      <w:pPr>
        <w:sectPr>
          <w:pgSz w:w="11900" w:h="16838" w:orient="portrait"/>
          <w:cols w:equalWidth="0" w:num="2">
            <w:col w:w="9080" w:space="720"/>
            <w:col w:w="1420"/>
          </w:cols>
          <w:pgMar w:left="300" w:top="1440" w:right="379" w:bottom="1440" w:gutter="0" w:footer="0" w:header="0"/>
          <w:type w:val="continuous"/>
        </w:sectPr>
      </w:pPr>
    </w:p>
    <w:p>
      <w:pPr>
        <w:spacing w:after="0"/>
        <w:rPr>
          <w:sz w:val="20"/>
          <w:szCs w:val="20"/>
          <w:color w:val="auto"/>
        </w:rPr>
      </w:pPr>
      <w:r>
        <w:rPr>
          <w:rFonts w:ascii="Arial" w:cs="Arial" w:eastAsia="Arial" w:hAnsi="Arial"/>
          <w:sz w:val="11"/>
          <w:szCs w:val="11"/>
          <w:color w:val="auto"/>
        </w:rPr>
        <w:t>2. ADVISORY APPROVAL OF INNOSPEC’S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1577975</wp:posOffset>
            </wp:positionV>
            <wp:extent cx="219075" cy="162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9075" cy="16256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-75565</wp:posOffset>
            </wp:positionV>
            <wp:extent cx="162560" cy="162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20" w:hanging="133"/>
        <w:spacing w:after="0" w:line="247" w:lineRule="auto"/>
        <w:rPr>
          <w:sz w:val="20"/>
          <w:szCs w:val="20"/>
          <w:color w:val="auto"/>
        </w:rPr>
      </w:pPr>
      <w:r>
        <w:rPr>
          <w:rFonts w:ascii="Arial" w:cs="Arial" w:eastAsia="Arial" w:hAnsi="Arial"/>
          <w:sz w:val="12"/>
          <w:szCs w:val="12"/>
          <w:color w:val="auto"/>
        </w:rPr>
        <w:t>3. RATIFICATION OF THE APPOINTMENT OF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1388110</wp:posOffset>
            </wp:positionV>
            <wp:extent cx="6937375" cy="162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37375" cy="162560"/>
                    </a:xfrm>
                    <a:prstGeom prst="rect">
                      <a:avLst/>
                    </a:prstGeom>
                    <a:noFill/>
                  </pic:spPr>
                </pic:pic>
              </a:graphicData>
            </a:graphic>
          </wp:anchor>
        </w:drawing>
        <w:drawing>
          <wp:anchor simplePos="0" relativeHeight="251657728" behindDoc="1" locked="0" layoutInCell="0" allowOverlap="1">
            <wp:simplePos x="0" y="0"/>
            <wp:positionH relativeFrom="column">
              <wp:posOffset>-708660</wp:posOffset>
            </wp:positionH>
            <wp:positionV relativeFrom="paragraph">
              <wp:posOffset>-266065</wp:posOffset>
            </wp:positionV>
            <wp:extent cx="162560" cy="162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-266065</wp:posOffset>
            </wp:positionV>
            <wp:extent cx="162560"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2161540</wp:posOffset>
            </wp:positionH>
            <wp:positionV relativeFrom="paragraph">
              <wp:posOffset>-266065</wp:posOffset>
            </wp:positionV>
            <wp:extent cx="162560" cy="162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2515235</wp:posOffset>
            </wp:positionH>
            <wp:positionV relativeFrom="paragraph">
              <wp:posOffset>-266065</wp:posOffset>
            </wp:positionV>
            <wp:extent cx="162560" cy="162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2868930</wp:posOffset>
            </wp:positionH>
            <wp:positionV relativeFrom="paragraph">
              <wp:posOffset>-266065</wp:posOffset>
            </wp:positionV>
            <wp:extent cx="162560" cy="162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60"/>
          </w:cols>
          <w:pgMar w:left="30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 w:hanging="272"/>
        <w:spacing w:after="0"/>
        <w:tabs>
          <w:tab w:leader="none" w:pos="400" w:val="left"/>
        </w:tabs>
        <w:numPr>
          <w:ilvl w:val="0"/>
          <w:numId w:val="49"/>
        </w:numPr>
        <w:rPr>
          <w:rFonts w:ascii="Arial" w:cs="Arial" w:eastAsia="Arial" w:hAnsi="Arial"/>
          <w:sz w:val="15"/>
          <w:szCs w:val="15"/>
          <w:b w:val="1"/>
          <w:bCs w:val="1"/>
          <w:color w:val="FFFFFF"/>
        </w:rPr>
      </w:pPr>
      <w:r>
        <w:rPr>
          <w:rFonts w:ascii="Arial" w:cs="Arial" w:eastAsia="Arial" w:hAnsi="Arial"/>
          <w:sz w:val="15"/>
          <w:szCs w:val="15"/>
          <w:b w:val="1"/>
          <w:bCs w:val="1"/>
          <w:color w:val="auto"/>
        </w:rPr>
        <w:t>Authorized Signatures — This section must be completed for your vote to be count. — Please date and sign below.</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1"/>
          <w:szCs w:val="11"/>
          <w:color w:val="auto"/>
        </w:rPr>
        <w:t>Please sign exactly as name(s) appears hereon. Joint owners should each sign. When signing as attorney, executor, administrator, corporate officer, trustee, guardian, or custodian, please give full title.</w:t>
      </w:r>
    </w:p>
    <w:p>
      <w:pPr>
        <w:spacing w:after="0" w:line="17" w:lineRule="exact"/>
        <w:rPr>
          <w:sz w:val="20"/>
          <w:szCs w:val="20"/>
          <w:color w:val="auto"/>
        </w:rPr>
      </w:pPr>
    </w:p>
    <w:p>
      <w:pPr>
        <w:spacing w:after="0"/>
        <w:tabs>
          <w:tab w:leader="none" w:pos="3840" w:val="left"/>
          <w:tab w:leader="none" w:pos="7660" w:val="left"/>
        </w:tabs>
        <w:rPr>
          <w:sz w:val="20"/>
          <w:szCs w:val="20"/>
          <w:color w:val="auto"/>
        </w:rPr>
      </w:pPr>
      <w:r>
        <w:rPr>
          <w:rFonts w:ascii="Arial" w:cs="Arial" w:eastAsia="Arial" w:hAnsi="Arial"/>
          <w:sz w:val="12"/>
          <w:szCs w:val="12"/>
          <w:color w:val="auto"/>
        </w:rPr>
        <w:t>Date (mm/dd/yyyy) — Please print date below.</w:t>
      </w:r>
      <w:r>
        <w:rPr>
          <w:sz w:val="20"/>
          <w:szCs w:val="20"/>
          <w:color w:val="auto"/>
        </w:rPr>
        <w:tab/>
      </w:r>
      <w:r>
        <w:rPr>
          <w:rFonts w:ascii="Arial" w:cs="Arial" w:eastAsia="Arial" w:hAnsi="Arial"/>
          <w:sz w:val="12"/>
          <w:szCs w:val="12"/>
          <w:color w:val="auto"/>
        </w:rPr>
        <w:t>Signature 1 — Please keep signature within the box.</w:t>
      </w:r>
      <w:r>
        <w:rPr>
          <w:sz w:val="20"/>
          <w:szCs w:val="20"/>
          <w:color w:val="auto"/>
        </w:rPr>
        <w:tab/>
      </w:r>
      <w:r>
        <w:rPr>
          <w:rFonts w:ascii="Arial" w:cs="Arial" w:eastAsia="Arial" w:hAnsi="Arial"/>
          <w:sz w:val="11"/>
          <w:szCs w:val="11"/>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7163435" cy="275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3435" cy="275590"/>
                    </a:xfrm>
                    <a:prstGeom prst="rect">
                      <a:avLst/>
                    </a:prstGeom>
                    <a:noFill/>
                  </pic:spPr>
                </pic:pic>
              </a:graphicData>
            </a:graphic>
          </wp:anchor>
        </w:drawing>
      </w:r>
    </w:p>
    <w:p>
      <w:pPr>
        <w:ind w:left="720"/>
        <w:spacing w:after="0"/>
        <w:tabs>
          <w:tab w:leader="none" w:pos="1800" w:val="left"/>
        </w:tabs>
        <w:rPr>
          <w:sz w:val="20"/>
          <w:szCs w:val="20"/>
          <w:color w:val="auto"/>
        </w:rPr>
      </w:pPr>
      <w:r>
        <w:rPr>
          <w:rFonts w:ascii="Arial" w:cs="Arial" w:eastAsia="Arial" w:hAnsi="Arial"/>
          <w:sz w:val="36"/>
          <w:szCs w:val="36"/>
          <w:color w:val="auto"/>
        </w:rPr>
        <w:t>/</w:t>
      </w:r>
      <w:r>
        <w:rPr>
          <w:sz w:val="20"/>
          <w:szCs w:val="20"/>
          <w:color w:val="auto"/>
        </w:rPr>
        <w:tab/>
      </w:r>
      <w:r>
        <w:rPr>
          <w:rFonts w:ascii="Arial" w:cs="Arial" w:eastAsia="Arial" w:hAnsi="Arial"/>
          <w:sz w:val="36"/>
          <w:szCs w:val="3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217805</wp:posOffset>
            </wp:positionV>
            <wp:extent cx="155575" cy="162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5575" cy="162560"/>
                    </a:xfrm>
                    <a:prstGeom prst="rect">
                      <a:avLst/>
                    </a:prstGeom>
                    <a:noFill/>
                  </pic:spPr>
                </pic:pic>
              </a:graphicData>
            </a:graphic>
          </wp:anchor>
        </w:drawing>
        <w:drawing>
          <wp:anchor simplePos="0" relativeHeight="251657728" behindDoc="1" locked="0" layoutInCell="0" allowOverlap="1">
            <wp:simplePos x="0" y="0"/>
            <wp:positionH relativeFrom="column">
              <wp:posOffset>6978015</wp:posOffset>
            </wp:positionH>
            <wp:positionV relativeFrom="paragraph">
              <wp:posOffset>224790</wp:posOffset>
            </wp:positionV>
            <wp:extent cx="155575" cy="1555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5575" cy="15557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 U P X</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048AUB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7156450" cy="69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6450" cy="6985"/>
                    </a:xfrm>
                    <a:prstGeom prst="rect">
                      <a:avLst/>
                    </a:prstGeom>
                    <a:noFill/>
                  </pic:spPr>
                </pic:pic>
              </a:graphicData>
            </a:graphic>
          </wp:anchor>
        </w:drawing>
      </w:r>
    </w:p>
    <w:p>
      <w:pPr>
        <w:sectPr>
          <w:pgSz w:w="11900" w:h="16838" w:orient="portrait"/>
          <w:cols w:equalWidth="0" w:num="1">
            <w:col w:w="11220"/>
          </w:cols>
          <w:pgMar w:left="300" w:top="1440" w:right="379" w:bottom="1440" w:gutter="0" w:footer="0" w:header="0"/>
          <w:type w:val="continuous"/>
        </w:sectPr>
      </w:pPr>
    </w:p>
    <w:bookmarkStart w:id="96" w:name="page97"/>
    <w:bookmarkEnd w:id="96"/>
    <w:p>
      <w:pPr>
        <w:jc w:val="center"/>
        <w:ind w:right="40"/>
        <w:spacing w:after="0"/>
        <w:rPr>
          <w:sz w:val="20"/>
          <w:szCs w:val="20"/>
          <w:color w:val="auto"/>
        </w:rPr>
      </w:pPr>
      <w:r>
        <w:rPr>
          <w:rFonts w:ascii="Arial" w:cs="Arial" w:eastAsia="Arial" w:hAnsi="Arial"/>
          <w:sz w:val="21"/>
          <w:szCs w:val="21"/>
          <w:b w:val="1"/>
          <w:bCs w:val="1"/>
          <w:color w:val="auto"/>
        </w:rPr>
        <w:t>2026 Annual Meeting Admission Ticket</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2026 Annual Meeting of Innospec Inc. Stockholders</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5"/>
          <w:szCs w:val="15"/>
          <w:b w:val="1"/>
          <w:bCs w:val="1"/>
          <w:color w:val="auto"/>
        </w:rPr>
        <w:t>Friday, May 8 2026, 10:00 a.m. EST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at The St Regis Hotel</w:t>
      </w:r>
    </w:p>
    <w:p>
      <w:pPr>
        <w:jc w:val="center"/>
        <w:ind w:right="-19"/>
        <w:spacing w:after="0" w:line="232" w:lineRule="auto"/>
        <w:rPr>
          <w:sz w:val="20"/>
          <w:szCs w:val="20"/>
          <w:color w:val="auto"/>
        </w:rPr>
      </w:pPr>
      <w:r>
        <w:rPr>
          <w:rFonts w:ascii="Arial" w:cs="Arial" w:eastAsia="Arial" w:hAnsi="Arial"/>
          <w:sz w:val="15"/>
          <w:szCs w:val="15"/>
          <w:b w:val="1"/>
          <w:bCs w:val="1"/>
          <w:color w:val="auto"/>
        </w:rPr>
        <w:t>Two East 55th Street</w:t>
      </w:r>
    </w:p>
    <w:p>
      <w:pPr>
        <w:jc w:val="center"/>
        <w:ind w:right="-19"/>
        <w:spacing w:after="0"/>
        <w:rPr>
          <w:sz w:val="20"/>
          <w:szCs w:val="20"/>
          <w:color w:val="auto"/>
        </w:rPr>
      </w:pPr>
      <w:r>
        <w:rPr>
          <w:rFonts w:ascii="Arial" w:cs="Arial" w:eastAsia="Arial" w:hAnsi="Arial"/>
          <w:sz w:val="15"/>
          <w:szCs w:val="15"/>
          <w:b w:val="1"/>
          <w:bCs w:val="1"/>
          <w:color w:val="auto"/>
        </w:rPr>
        <w:t>At Fifth Avenue, New York City, NY, 10022, US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Upon arrival, please present this admission ticket 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Important notice regarding the Internet availability of proxy materials 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material is available at: www.envisionreports.com/iosp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102870</wp:posOffset>
            </wp:positionV>
            <wp:extent cx="4292600" cy="5092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92600" cy="509270"/>
                    </a:xfrm>
                    <a:prstGeom prst="rect">
                      <a:avLst/>
                    </a:prstGeom>
                    <a:noFill/>
                  </pic:spPr>
                </pic:pic>
              </a:graphicData>
            </a:graphic>
          </wp:anchor>
        </w:drawing>
      </w:r>
    </w:p>
    <w:p>
      <w:pPr>
        <w:spacing w:after="0" w:line="194"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Small steps make an impact.</w:t>
      </w:r>
    </w:p>
    <w:p>
      <w:pPr>
        <w:spacing w:after="0" w:line="162"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Help the environment by consenting to receive electronic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delivery, sign up at www.envisionreports.com/iosp</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IF VOTING BY MAIL, SIGN, DETACH 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6732270" cy="4241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32270" cy="424180"/>
                    </a:xfrm>
                    <a:prstGeom prst="rect">
                      <a:avLst/>
                    </a:prstGeom>
                    <a:noFill/>
                  </pic:spPr>
                </pic:pic>
              </a:graphicData>
            </a:graphic>
          </wp:anchor>
        </w:drawing>
        <w:drawing>
          <wp:anchor simplePos="0" relativeHeight="251657728" behindDoc="1" locked="0" layoutInCell="0" allowOverlap="1">
            <wp:simplePos x="0" y="0"/>
            <wp:positionH relativeFrom="column">
              <wp:posOffset>1335405</wp:posOffset>
            </wp:positionH>
            <wp:positionV relativeFrom="paragraph">
              <wp:posOffset>-74930</wp:posOffset>
            </wp:positionV>
            <wp:extent cx="85090" cy="635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090" cy="63500"/>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-74930</wp:posOffset>
            </wp:positionV>
            <wp:extent cx="85090" cy="635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090" cy="6350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Innospec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6886575</wp:posOffset>
            </wp:positionH>
            <wp:positionV relativeFrom="paragraph">
              <wp:posOffset>-48895</wp:posOffset>
            </wp:positionV>
            <wp:extent cx="155575" cy="1555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5575" cy="15557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of 2026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by Board of Directors for Annual Meeting — May 8, 2026</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Patrick S. Williams and Ian P. Cleminson, or any of them, each with the power of substitution, are hereby authorized to represent and vote the shares of the undersigned, with all the powers which the undersigned would possess if personally present, at the Annual Meeting of Stockholders of Innospec Inc. to be held on May 8, 2026 or at any postponement or adjournment thereof.</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5"/>
          <w:szCs w:val="15"/>
          <w:b w:val="1"/>
          <w:bCs w:val="1"/>
          <w:color w:val="auto"/>
        </w:rPr>
        <w:t>Shares represented by this proxy will be voted by the stockholder. If no such directions are indicated, the Proxies will have authority to vote FOR all nominees and FOR Proposals 2 and 3.</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their discretion, the Proxies are authorized to vote upon such other business as may properly come before the meeting.</w:t>
      </w:r>
    </w:p>
    <w:p>
      <w:pPr>
        <w:spacing w:after="0" w:line="162" w:lineRule="exact"/>
        <w:rPr>
          <w:sz w:val="20"/>
          <w:szCs w:val="20"/>
          <w:color w:val="auto"/>
        </w:rPr>
      </w:pPr>
    </w:p>
    <w:p>
      <w:pPr>
        <w:ind w:left="4240"/>
        <w:spacing w:after="0"/>
        <w:rPr>
          <w:sz w:val="20"/>
          <w:szCs w:val="20"/>
          <w:color w:val="auto"/>
        </w:rPr>
      </w:pPr>
      <w:r>
        <w:rPr>
          <w:rFonts w:ascii="Arial" w:cs="Arial" w:eastAsia="Arial" w:hAnsi="Arial"/>
          <w:sz w:val="15"/>
          <w:szCs w:val="15"/>
          <w:color w:val="auto"/>
        </w:rPr>
        <w:t>(Items to be voted appear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642620</wp:posOffset>
            </wp:positionV>
            <wp:extent cx="7156450" cy="162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645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hanging="272"/>
        <w:spacing w:after="0"/>
        <w:tabs>
          <w:tab w:leader="none" w:pos="400" w:val="left"/>
        </w:tabs>
        <w:numPr>
          <w:ilvl w:val="0"/>
          <w:numId w:val="50"/>
        </w:numPr>
        <w:rPr>
          <w:rFonts w:ascii="Arial" w:cs="Arial" w:eastAsia="Arial" w:hAnsi="Arial"/>
          <w:sz w:val="15"/>
          <w:szCs w:val="15"/>
          <w:b w:val="1"/>
          <w:bCs w:val="1"/>
          <w:color w:val="FFFFFF"/>
        </w:rPr>
      </w:pPr>
      <w:r>
        <w:rPr>
          <w:rFonts w:ascii="Arial" w:cs="Arial" w:eastAsia="Arial" w:hAnsi="Arial"/>
          <w:sz w:val="15"/>
          <w:szCs w:val="15"/>
          <w:b w:val="1"/>
          <w:bCs w:val="1"/>
          <w:color w:val="auto"/>
        </w:rPr>
        <w:t>Non-Voting Items</w:t>
      </w:r>
    </w:p>
    <w:p>
      <w:pPr>
        <w:spacing w:after="0" w:line="101" w:lineRule="exact"/>
        <w:rPr>
          <w:sz w:val="20"/>
          <w:szCs w:val="20"/>
          <w:color w:val="auto"/>
        </w:rPr>
      </w:pPr>
    </w:p>
    <w:p>
      <w:pPr>
        <w:spacing w:after="0"/>
        <w:tabs>
          <w:tab w:leader="none" w:pos="6080" w:val="left"/>
        </w:tabs>
        <w:rPr>
          <w:sz w:val="20"/>
          <w:szCs w:val="20"/>
          <w:color w:val="auto"/>
        </w:rPr>
      </w:pPr>
      <w:r>
        <w:rPr>
          <w:rFonts w:ascii="Arial" w:cs="Arial" w:eastAsia="Arial" w:hAnsi="Arial"/>
          <w:sz w:val="12"/>
          <w:szCs w:val="12"/>
          <w:b w:val="1"/>
          <w:bCs w:val="1"/>
          <w:color w:val="auto"/>
        </w:rPr>
        <w:t xml:space="preserve">Change of Address — </w:t>
      </w:r>
      <w:r>
        <w:rPr>
          <w:rFonts w:ascii="Arial" w:cs="Arial" w:eastAsia="Arial" w:hAnsi="Arial"/>
          <w:sz w:val="12"/>
          <w:szCs w:val="12"/>
          <w:color w:val="auto"/>
        </w:rPr>
        <w:t>Please print new address below.</w:t>
      </w:r>
      <w:r>
        <w:rPr>
          <w:sz w:val="20"/>
          <w:szCs w:val="20"/>
          <w:color w:val="auto"/>
        </w:rPr>
        <w:tab/>
      </w:r>
      <w:r>
        <w:rPr>
          <w:rFonts w:ascii="Arial" w:cs="Arial" w:eastAsia="Arial" w:hAnsi="Arial"/>
          <w:sz w:val="11"/>
          <w:szCs w:val="11"/>
          <w:b w:val="1"/>
          <w:bCs w:val="1"/>
          <w:color w:val="auto"/>
        </w:rPr>
        <w:t xml:space="preserve">Comments — </w:t>
      </w:r>
      <w:r>
        <w:rPr>
          <w:rFonts w:ascii="Arial" w:cs="Arial" w:eastAsia="Arial" w:hAnsi="Arial"/>
          <w:sz w:val="11"/>
          <w:szCs w:val="11"/>
          <w:color w:val="auto"/>
        </w:rPr>
        <w:t>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7163435" cy="2825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3435" cy="28257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921385</wp:posOffset>
            </wp:positionV>
            <wp:extent cx="7156450"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645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462280</wp:posOffset>
            </wp:positionV>
            <wp:extent cx="155575" cy="162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5575" cy="162560"/>
                    </a:xfrm>
                    <a:prstGeom prst="rect">
                      <a:avLst/>
                    </a:prstGeom>
                    <a:noFill/>
                  </pic:spPr>
                </pic:pic>
              </a:graphicData>
            </a:graphic>
          </wp:anchor>
        </w:drawing>
        <w:drawing>
          <wp:anchor simplePos="0" relativeHeight="251657728" behindDoc="1" locked="0" layoutInCell="0" allowOverlap="1">
            <wp:simplePos x="0" y="0"/>
            <wp:positionH relativeFrom="column">
              <wp:posOffset>6978015</wp:posOffset>
            </wp:positionH>
            <wp:positionV relativeFrom="paragraph">
              <wp:posOffset>469265</wp:posOffset>
            </wp:positionV>
            <wp:extent cx="155575" cy="1555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5575" cy="155575"/>
                    </a:xfrm>
                    <a:prstGeom prst="rect">
                      <a:avLst/>
                    </a:prstGeom>
                    <a:noFill/>
                  </pic:spPr>
                </pic:pic>
              </a:graphicData>
            </a:graphic>
          </wp:anchor>
        </w:drawing>
      </w:r>
    </w:p>
    <w:sectPr>
      <w:pgSz w:w="11900" w:h="16838" w:orient="portrait"/>
      <w:cols w:equalWidth="0" w:num="1">
        <w:col w:w="11280"/>
      </w:cols>
      <w:pgMar w:left="300" w:top="66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bullet"/>
      <w:start w:val="1"/>
    </w:lvl>
  </w:abstractNum>
  <w:abstractNum w:abstractNumId="4">
    <w:nsid w:val="71F32454"/>
    <w:multiLevelType w:val="hybridMultilevel"/>
    <w:lvl w:ilvl="0">
      <w:lvlJc w:val="left"/>
      <w:lvlText w:val="2"/>
      <w:numFmt w:val="bullet"/>
      <w:start w:val="1"/>
    </w:lvl>
  </w:abstractNum>
  <w:abstractNum w:abstractNumId="5">
    <w:nsid w:val="2CA88611"/>
    <w:multiLevelType w:val="hybridMultilevel"/>
    <w:lvl w:ilvl="0">
      <w:lvlJc w:val="left"/>
      <w:lvlText w:val="3"/>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3"/>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4"/>
    </w:lvl>
  </w:abstractNum>
  <w:abstractNum w:abstractNumId="36">
    <w:nsid w:val="1D4ED43B"/>
    <w:multiLevelType w:val="hybridMultilevel"/>
    <w:lvl w:ilvl="0">
      <w:lvlJc w:val="left"/>
      <w:lvlText w:val="(%1)"/>
      <w:numFmt w:val="decimal"/>
      <w:start w:val="1"/>
    </w:lvl>
    <w:lvl w:ilvl="1">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4"/>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3"/>
    </w:lvl>
    <w:lvl w:ilvl="1">
      <w:lvlJc w:val="left"/>
      <w:lvlText w:val="%2"/>
      <w:numFmt w:val="lowerLetter"/>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A"/>
      <w:numFmt w:val="bullet"/>
      <w:start w:val="1"/>
    </w:lvl>
  </w:abstractNum>
  <w:abstractNum w:abstractNumId="48">
    <w:nsid w:val="579478FE"/>
    <w:multiLevelType w:val="hybridMultilevel"/>
    <w:lvl w:ilvl="0">
      <w:lvlJc w:val="left"/>
      <w:lvlText w:val="B"/>
      <w:numFmt w:val="bullet"/>
      <w:start w:val="1"/>
    </w:lvl>
  </w:abstractNum>
  <w:abstractNum w:abstractNumId="49">
    <w:nsid w:val="749ABB43"/>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2026-03-26T08:04:49Z</dcterms:created>
  <dcterms:modified xsi:type="dcterms:W3CDTF">2026-03-26T08:04:49Z</dcterms:modified>
</cp:coreProperties>
</file>