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iosp-20260508.htm"/>
      <w:bookmarkStart w:id="1" w:name="ksiosp20260508"/>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266" w:type="dxa"/>
        <w:jc w:val="left"/>
        <w:tblInd w:w="0" w:type="dxa"/>
        <w:tblLayout w:type="fixed"/>
        <w:tblCellMar>
          <w:top w:w="28" w:type="dxa"/>
          <w:left w:w="28" w:type="dxa"/>
          <w:bottom w:w="28" w:type="dxa"/>
          <w:right w:w="28" w:type="dxa"/>
        </w:tblCellMar>
      </w:tblPr>
      <w:tblGrid>
        <w:gridCol w:w="5266"/>
      </w:tblGrid>
      <w:tr>
        <w:trPr/>
        <w:tc>
          <w:tcPr>
            <w:tcW w:w="5266" w:type="dxa"/>
            <w:tcBorders/>
            <w:vAlign w:val="center"/>
          </w:tcPr>
          <w:p>
            <w:pPr>
              <w:pStyle w:val="TableContents"/>
              <w:bidi w:val="0"/>
              <w:spacing w:before="0" w:after="283"/>
              <w:jc w:val="left"/>
              <w:rPr>
                <w:sz w:val="4"/>
                <w:szCs w:val="4"/>
              </w:rPr>
            </w:pPr>
            <w:r>
              <w:rPr>
                <w:sz w:val="4"/>
                <w:szCs w:val="4"/>
              </w:rPr>
            </w:r>
          </w:p>
        </w:tc>
      </w:tr>
      <w:tr>
        <w:trPr/>
        <w:tc>
          <w:tcPr>
            <w:tcW w:w="52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May 8,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Innospec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001-13879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98-0181725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8310 South Valley Highway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350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Englewood, Colorado</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80112</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896" w:type="dxa"/>
        <w:jc w:val="left"/>
        <w:tblInd w:w="0" w:type="dxa"/>
        <w:tblLayout w:type="fixed"/>
        <w:tblCellMar>
          <w:top w:w="28" w:type="dxa"/>
          <w:left w:w="28" w:type="dxa"/>
          <w:bottom w:w="28" w:type="dxa"/>
          <w:right w:w="28" w:type="dxa"/>
        </w:tblCellMar>
      </w:tblPr>
      <w:tblGrid>
        <w:gridCol w:w="5896"/>
      </w:tblGrid>
      <w:tr>
        <w:trPr/>
        <w:tc>
          <w:tcPr>
            <w:tcW w:w="5896" w:type="dxa"/>
            <w:tcBorders/>
            <w:vAlign w:val="center"/>
          </w:tcPr>
          <w:p>
            <w:pPr>
              <w:pStyle w:val="TableContents"/>
              <w:bidi w:val="0"/>
              <w:spacing w:before="0" w:after="283"/>
              <w:jc w:val="left"/>
              <w:rPr>
                <w:sz w:val="4"/>
                <w:szCs w:val="4"/>
              </w:rPr>
            </w:pPr>
            <w:r>
              <w:rPr>
                <w:sz w:val="4"/>
                <w:szCs w:val="4"/>
              </w:rPr>
            </w:r>
          </w:p>
        </w:tc>
      </w:tr>
      <w:tr>
        <w:trPr/>
        <w:tc>
          <w:tcPr>
            <w:tcW w:w="58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303</w:t>
            </w:r>
            <w:r>
              <w:rPr>
                <w:rFonts w:ascii="Times New Roman" w:hAnsi="Times New Roman"/>
                <w:color w:val="000000"/>
                <w:sz w:val="20"/>
              </w:rPr>
              <w:t xml:space="preserve"> </w:t>
            </w:r>
            <w:r>
              <w:rPr>
                <w:rFonts w:ascii="Times New Roman" w:hAnsi="Times New Roman"/>
                <w:b/>
                <w:color w:val="000000"/>
                <w:sz w:val="20"/>
              </w:rPr>
              <w:t>7925554</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658" w:type="dxa"/>
        <w:jc w:val="left"/>
        <w:tblInd w:w="0" w:type="dxa"/>
        <w:tblLayout w:type="fixed"/>
        <w:tblCellMar>
          <w:top w:w="28" w:type="dxa"/>
          <w:left w:w="28" w:type="dxa"/>
          <w:bottom w:w="28" w:type="dxa"/>
          <w:right w:w="28" w:type="dxa"/>
        </w:tblCellMar>
      </w:tblPr>
      <w:tblGrid>
        <w:gridCol w:w="161"/>
        <w:gridCol w:w="316"/>
        <w:gridCol w:w="9181"/>
      </w:tblGrid>
      <w:tr>
        <w:trPr/>
        <w:tc>
          <w:tcPr>
            <w:tcW w:w="1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161" w:type="dxa"/>
            <w:tcBorders/>
            <w:tcMar>
              <w:top w:w="0" w:type="dxa"/>
              <w:left w:w="0" w:type="dxa"/>
              <w:bottom w:w="0" w:type="dxa"/>
              <w:right w:w="0" w:type="dxa"/>
            </w:tcMar>
            <w:vAlign w:val="center"/>
          </w:tcPr>
          <w:p>
            <w:pPr>
              <w:pStyle w:val="TableContents"/>
              <w:bidi w:val="0"/>
              <w:spacing w:before="120" w:after="283"/>
              <w:jc w:val="left"/>
              <w:rPr/>
            </w:pPr>
            <w:r>
              <w:rPr/>
              <w:t> </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jc w:val="left"/>
        <w:rPr/>
      </w:pPr>
      <w:r>
        <w:rPr/>
        <w:t> </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485" w:type="dxa"/>
        <w:jc w:val="left"/>
        <w:tblInd w:w="0" w:type="dxa"/>
        <w:tblLayout w:type="fixed"/>
        <w:tblCellMar>
          <w:top w:w="28" w:type="dxa"/>
          <w:left w:w="28" w:type="dxa"/>
          <w:bottom w:w="28" w:type="dxa"/>
          <w:right w:w="28" w:type="dxa"/>
        </w:tblCellMar>
      </w:tblPr>
      <w:tblGrid>
        <w:gridCol w:w="3421"/>
        <w:gridCol w:w="146"/>
        <w:gridCol w:w="946"/>
        <w:gridCol w:w="146"/>
        <w:gridCol w:w="3826"/>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IOSP</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Nasdaq Global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5.07. Submission of Matters to a Vote of Security Holders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Innospec Inc. (the “Company”) held its 2026 Annual Meeting of Stockholders (“Annual Meeting”) on May 8, 2026. As of March 13, 2026, the record date for the Annual Meeting, there were 24,890,467 shares of Common Stock of the Company outstanding and entitled to vote at the Annual Meeting. A total of 22,661,185 shares of Common Stock were present or represented by proxy at the Annual Meeting, representing approximately 91% of all shares entitled to vote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stockholders voted on the matters presented at the Annual Meeting, and the shares present, in person or by proxy, were voted as follows based on the final certified results of the inspector of elections: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Proposal 1 – Election of two Class I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of the Class I directors were re-elected. </w:t>
      </w:r>
    </w:p>
    <w:p>
      <w:pPr>
        <w:pStyle w:val="TextBody"/>
        <w:bidi w:val="0"/>
        <w:jc w:val="center"/>
        <w:rPr/>
      </w:pPr>
      <w:r>
        <w:rPr/>
        <w:t> </w:t>
      </w:r>
    </w:p>
    <w:tbl>
      <w:tblPr>
        <w:tblW w:w="5854" w:type="dxa"/>
        <w:jc w:val="left"/>
        <w:tblInd w:w="0" w:type="dxa"/>
        <w:tblLayout w:type="fixed"/>
        <w:tblCellMar>
          <w:top w:w="28" w:type="dxa"/>
          <w:left w:w="28" w:type="dxa"/>
          <w:bottom w:w="28" w:type="dxa"/>
          <w:right w:w="28" w:type="dxa"/>
        </w:tblCellMar>
      </w:tblPr>
      <w:tblGrid>
        <w:gridCol w:w="1741"/>
        <w:gridCol w:w="1036"/>
        <w:gridCol w:w="1396"/>
        <w:gridCol w:w="1681"/>
      </w:tblGrid>
      <w:tr>
        <w:trPr/>
        <w:tc>
          <w:tcPr>
            <w:tcW w:w="174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w:t>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Votes For</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Votes Withheld</w:t>
            </w:r>
          </w:p>
        </w:tc>
        <w:tc>
          <w:tcPr>
            <w:tcW w:w="16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Broker Non-Votes</w:t>
            </w:r>
          </w:p>
        </w:tc>
      </w:tr>
      <w:tr>
        <w:trPr/>
        <w:tc>
          <w:tcPr>
            <w:tcW w:w="1741" w:type="dxa"/>
            <w:tcBorders/>
            <w:shd w:fill="DBE5F1" w:val="clear"/>
            <w:tcMar>
              <w:top w:w="0" w:type="dxa"/>
              <w:left w:w="0" w:type="dxa"/>
              <w:bottom w:w="0" w:type="dxa"/>
              <w:right w:w="0" w:type="dxa"/>
            </w:tcMar>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Elizabeth K. Arnold</w:t>
            </w:r>
          </w:p>
          <w:p>
            <w:pPr>
              <w:pStyle w:val="TableContents"/>
              <w:bidi w:val="0"/>
              <w:spacing w:before="0" w:after="283"/>
              <w:jc w:val="left"/>
              <w:rPr/>
            </w:pPr>
            <w:r>
              <w:rPr/>
              <w:t> </w:t>
            </w:r>
          </w:p>
        </w:tc>
        <w:tc>
          <w:tcPr>
            <w:tcW w:w="1036" w:type="dxa"/>
            <w:tcBorders/>
            <w:shd w:fill="DBE5F1"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19,260,800</w:t>
            </w:r>
          </w:p>
        </w:tc>
        <w:tc>
          <w:tcPr>
            <w:tcW w:w="1396"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1,801,706</w:t>
            </w:r>
          </w:p>
        </w:tc>
        <w:tc>
          <w:tcPr>
            <w:tcW w:w="1681" w:type="dxa"/>
            <w:tcBorders/>
            <w:shd w:fill="DBE5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1,598,678</w:t>
            </w:r>
          </w:p>
        </w:tc>
      </w:tr>
      <w:tr>
        <w:trPr/>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Claudia P. Poccia</w:t>
            </w:r>
          </w:p>
        </w:tc>
        <w:tc>
          <w:tcPr>
            <w:tcW w:w="103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19,670,078</w:t>
            </w:r>
          </w:p>
          <w:p>
            <w:pPr>
              <w:pStyle w:val="TableContents"/>
              <w:bidi w:val="0"/>
              <w:spacing w:before="0" w:after="283"/>
              <w:jc w:val="center"/>
              <w:rPr/>
            </w:pPr>
            <w:r>
              <w:rPr/>
              <w:t> </w:t>
            </w:r>
          </w:p>
        </w:tc>
        <w:tc>
          <w:tcPr>
            <w:tcW w:w="139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1,392,428</w:t>
            </w:r>
          </w:p>
        </w:tc>
        <w:tc>
          <w:tcPr>
            <w:tcW w:w="1681" w:type="dxa"/>
            <w:tcBorders/>
            <w:tcMar>
              <w:top w:w="0" w:type="dxa"/>
              <w:left w:w="0" w:type="dxa"/>
              <w:bottom w:w="0" w:type="dxa"/>
              <w:right w:w="0" w:type="dxa"/>
            </w:tcMar>
            <w:vAlign w:val="center"/>
          </w:tcPr>
          <w:p>
            <w:pPr>
              <w:pStyle w:val="TableContents"/>
              <w:bidi w:val="0"/>
              <w:jc w:val="right"/>
              <w:rPr/>
            </w:pPr>
            <w:r>
              <w:rPr/>
              <w:t> </w:t>
            </w:r>
          </w:p>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1,598,678</w:t>
            </w:r>
          </w:p>
        </w:tc>
      </w:tr>
    </w:tbl>
    <w:p>
      <w:pPr>
        <w:pStyle w:val="TextBody"/>
        <w:bidi w:val="0"/>
        <w:jc w:val="left"/>
        <w:rPr>
          <w:rFonts w:ascii="Times New Roman" w:hAnsi="Times New Roman"/>
          <w:sz w:val="20"/>
        </w:rPr>
      </w:pPr>
      <w:r>
        <w:rPr>
          <w:rFonts w:ascii="Times New Roman" w:hAnsi="Times New Roman"/>
          <w:color w:val="000000"/>
          <w:sz w:val="20"/>
          <w:u w:val="single"/>
        </w:rPr>
        <w:t>Proposal 2 – Advisory approval of the Company’s 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proposal on the Company’s executive compensation was approved. </w:t>
      </w:r>
    </w:p>
    <w:tbl>
      <w:tblPr>
        <w:tblW w:w="2732" w:type="dxa"/>
        <w:jc w:val="left"/>
        <w:tblInd w:w="0" w:type="dxa"/>
        <w:tblLayout w:type="fixed"/>
        <w:tblCellMar>
          <w:top w:w="28" w:type="dxa"/>
          <w:left w:w="28" w:type="dxa"/>
          <w:bottom w:w="28" w:type="dxa"/>
          <w:right w:w="28" w:type="dxa"/>
        </w:tblCellMar>
      </w:tblPr>
      <w:tblGrid>
        <w:gridCol w:w="1651"/>
        <w:gridCol w:w="1081"/>
      </w:tblGrid>
      <w:tr>
        <w:trPr/>
        <w:tc>
          <w:tcPr>
            <w:tcW w:w="165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C6D9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081" w:type="dxa"/>
            <w:tcBorders/>
            <w:shd w:fill="C6D9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20,171,691</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Withheld:</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860,992</w:t>
            </w:r>
          </w:p>
        </w:tc>
      </w:tr>
      <w:tr>
        <w:trPr/>
        <w:tc>
          <w:tcPr>
            <w:tcW w:w="1651" w:type="dxa"/>
            <w:tcBorders/>
            <w:shd w:fill="C6D9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Abstain:</w:t>
            </w:r>
          </w:p>
        </w:tc>
        <w:tc>
          <w:tcPr>
            <w:tcW w:w="1081" w:type="dxa"/>
            <w:tcBorders/>
            <w:shd w:fill="C6D9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29,823</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Broker Non-Votes:</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1,598,678</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Proposal 3—Ratification of the appointment of the Company’s independent registered public accounting firm for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proposal on the ratification of the appointment of the Company’s independent registered public accounting firm for 2026 was approved.</w:t>
      </w:r>
    </w:p>
    <w:p>
      <w:pPr>
        <w:pStyle w:val="TextBody"/>
        <w:bidi w:val="0"/>
        <w:jc w:val="left"/>
        <w:rPr/>
      </w:pPr>
      <w:r>
        <w:rPr/>
        <w:t> </w:t>
      </w:r>
    </w:p>
    <w:tbl>
      <w:tblPr>
        <w:tblW w:w="2027" w:type="dxa"/>
        <w:jc w:val="left"/>
        <w:tblInd w:w="0" w:type="dxa"/>
        <w:tblLayout w:type="fixed"/>
        <w:tblCellMar>
          <w:top w:w="28" w:type="dxa"/>
          <w:left w:w="28" w:type="dxa"/>
          <w:bottom w:w="28" w:type="dxa"/>
          <w:right w:w="28" w:type="dxa"/>
        </w:tblCellMar>
      </w:tblPr>
      <w:tblGrid>
        <w:gridCol w:w="946"/>
        <w:gridCol w:w="1081"/>
      </w:tblGrid>
      <w:tr>
        <w:trPr/>
        <w:tc>
          <w:tcPr>
            <w:tcW w:w="9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r>
      <w:tr>
        <w:trPr/>
        <w:tc>
          <w:tcPr>
            <w:tcW w:w="946" w:type="dxa"/>
            <w:tcBorders/>
            <w:shd w:fill="C6D9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w:t>
            </w:r>
          </w:p>
        </w:tc>
        <w:tc>
          <w:tcPr>
            <w:tcW w:w="1081" w:type="dxa"/>
            <w:tcBorders/>
            <w:shd w:fill="C6D9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22,642,171</w:t>
            </w:r>
          </w:p>
        </w:tc>
      </w:tr>
      <w:tr>
        <w:trPr/>
        <w:tc>
          <w:tcPr>
            <w:tcW w:w="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Withheld:</w:t>
            </w:r>
          </w:p>
        </w:tc>
        <w:tc>
          <w:tcPr>
            <w:tcW w:w="10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14,676</w:t>
            </w:r>
          </w:p>
        </w:tc>
      </w:tr>
      <w:tr>
        <w:trPr/>
        <w:tc>
          <w:tcPr>
            <w:tcW w:w="946" w:type="dxa"/>
            <w:tcBorders/>
            <w:shd w:fill="C6D9F1"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Abstain:</w:t>
            </w:r>
          </w:p>
        </w:tc>
        <w:tc>
          <w:tcPr>
            <w:tcW w:w="1081" w:type="dxa"/>
            <w:tcBorders/>
            <w:shd w:fill="C6D9F1"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10054" w:type="dxa"/>
        <w:jc w:val="left"/>
        <w:tblInd w:w="0" w:type="dxa"/>
        <w:tblLayout w:type="fixed"/>
        <w:tblCellMar>
          <w:top w:w="28" w:type="dxa"/>
          <w:left w:w="28" w:type="dxa"/>
          <w:bottom w:w="28" w:type="dxa"/>
          <w:right w:w="28" w:type="dxa"/>
        </w:tblCellMar>
      </w:tblPr>
      <w:tblGrid>
        <w:gridCol w:w="556"/>
        <w:gridCol w:w="1246"/>
        <w:gridCol w:w="451"/>
        <w:gridCol w:w="780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780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86" w:after="86"/>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May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780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sz w:val="20"/>
              </w:rPr>
            </w:pPr>
            <w:r>
              <w:rPr>
                <w:rFonts w:ascii="Times New Roman" w:hAnsi="Times New Roman"/>
                <w:b/>
                <w:color w:val="000000"/>
                <w:sz w:val="20"/>
              </w:rPr>
              <w:t>/s/ David B. Jones</w:t>
              <w:br/>
            </w:r>
            <w:r>
              <w:rPr>
                <w:rFonts w:ascii="Times New Roman" w:hAnsi="Times New Roman"/>
                <w:color w:val="000000"/>
                <w:sz w:val="20"/>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780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David B. Jones</w:t>
              <w:br/>
              <w:t>Senior Vice President, General Counsel and Chief Compliance Officer and Corporate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3226</Characters>
  <CharactersWithSpaces>3813</CharactersWithSpaces>
  <Paragraphs>151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