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9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89"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2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410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1-13879</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INNOSPEC INC.</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2240" w:type="dxa"/>
        <w:tblCellMar>
          <w:top w:w="0" w:type="dxa"/>
          <w:left w:w="0" w:type="dxa"/>
          <w:bottom w:w="0" w:type="dxa"/>
          <w:right w:w="0" w:type="dxa"/>
        </w:tblCellMar>
      </w:tblPr>
      <w:tr>
        <w:trPr>
          <w:trHeight w:val="212"/>
        </w:trPr>
        <w:tc>
          <w:tcPr>
            <w:tcW w:w="3800" w:type="dxa"/>
            <w:vAlign w:val="bottom"/>
          </w:tcPr>
          <w:p>
            <w:pPr>
              <w:jc w:val="center"/>
              <w:ind w:right="1345"/>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244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98-0181725</w:t>
            </w:r>
          </w:p>
        </w:tc>
      </w:tr>
      <w:tr>
        <w:trPr>
          <w:trHeight w:val="135"/>
        </w:trPr>
        <w:tc>
          <w:tcPr>
            <w:tcW w:w="3800" w:type="dxa"/>
            <w:vAlign w:val="bottom"/>
          </w:tcPr>
          <w:p>
            <w:pPr>
              <w:jc w:val="center"/>
              <w:ind w:right="1385"/>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w:t>
            </w:r>
          </w:p>
        </w:tc>
        <w:tc>
          <w:tcPr>
            <w:tcW w:w="2440" w:type="dxa"/>
            <w:vAlign w:val="bottom"/>
          </w:tcPr>
          <w:p>
            <w:pPr>
              <w:jc w:val="center"/>
              <w:ind w:left="13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800" w:type="dxa"/>
            <w:vAlign w:val="bottom"/>
          </w:tcPr>
          <w:p>
            <w:pPr>
              <w:jc w:val="center"/>
              <w:ind w:right="1345"/>
              <w:spacing w:after="0"/>
              <w:rPr>
                <w:sz w:val="20"/>
                <w:szCs w:val="20"/>
                <w:color w:val="auto"/>
              </w:rPr>
            </w:pPr>
            <w:r>
              <w:rPr>
                <w:rFonts w:ascii="Times New Roman" w:cs="Times New Roman" w:eastAsia="Times New Roman" w:hAnsi="Times New Roman"/>
                <w:sz w:val="13"/>
                <w:szCs w:val="13"/>
                <w:b w:val="1"/>
                <w:bCs w:val="1"/>
                <w:color w:val="auto"/>
                <w:w w:val="95"/>
              </w:rPr>
              <w:t>or organization)</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324"/>
        </w:trPr>
        <w:tc>
          <w:tcPr>
            <w:tcW w:w="3800" w:type="dxa"/>
            <w:vAlign w:val="bottom"/>
          </w:tcPr>
          <w:p>
            <w:pPr>
              <w:jc w:val="center"/>
              <w:ind w:right="1385"/>
              <w:spacing w:after="0"/>
              <w:rPr>
                <w:sz w:val="20"/>
                <w:szCs w:val="20"/>
                <w:color w:val="auto"/>
              </w:rPr>
            </w:pPr>
            <w:r>
              <w:rPr>
                <w:rFonts w:ascii="Times New Roman" w:cs="Times New Roman" w:eastAsia="Times New Roman" w:hAnsi="Times New Roman"/>
                <w:sz w:val="16"/>
                <w:szCs w:val="16"/>
                <w:b w:val="1"/>
                <w:bCs w:val="1"/>
                <w:color w:val="auto"/>
              </w:rPr>
              <w:t>8310 South Valley Highway Suite</w:t>
            </w:r>
          </w:p>
        </w:tc>
        <w:tc>
          <w:tcPr>
            <w:tcW w:w="2440" w:type="dxa"/>
            <w:vAlign w:val="bottom"/>
          </w:tcPr>
          <w:p>
            <w:pPr>
              <w:spacing w:after="0"/>
              <w:rPr>
                <w:sz w:val="24"/>
                <w:szCs w:val="24"/>
                <w:color w:val="auto"/>
              </w:rPr>
            </w:pPr>
          </w:p>
        </w:tc>
      </w:tr>
      <w:tr>
        <w:trPr>
          <w:trHeight w:val="203"/>
        </w:trPr>
        <w:tc>
          <w:tcPr>
            <w:tcW w:w="3800" w:type="dxa"/>
            <w:vAlign w:val="bottom"/>
          </w:tcPr>
          <w:p>
            <w:pPr>
              <w:jc w:val="center"/>
              <w:ind w:right="1385"/>
              <w:spacing w:after="0"/>
              <w:rPr>
                <w:sz w:val="20"/>
                <w:szCs w:val="20"/>
                <w:color w:val="auto"/>
              </w:rPr>
            </w:pPr>
            <w:r>
              <w:rPr>
                <w:rFonts w:ascii="Times New Roman" w:cs="Times New Roman" w:eastAsia="Times New Roman" w:hAnsi="Times New Roman"/>
                <w:sz w:val="16"/>
                <w:szCs w:val="16"/>
                <w:b w:val="1"/>
                <w:bCs w:val="1"/>
                <w:color w:val="auto"/>
              </w:rPr>
              <w:t>350</w:t>
            </w:r>
          </w:p>
        </w:tc>
        <w:tc>
          <w:tcPr>
            <w:tcW w:w="2440" w:type="dxa"/>
            <w:vAlign w:val="bottom"/>
          </w:tcPr>
          <w:p>
            <w:pPr>
              <w:spacing w:after="0"/>
              <w:rPr>
                <w:sz w:val="17"/>
                <w:szCs w:val="17"/>
                <w:color w:val="auto"/>
              </w:rPr>
            </w:pPr>
          </w:p>
        </w:tc>
      </w:tr>
      <w:tr>
        <w:trPr>
          <w:trHeight w:val="212"/>
        </w:trPr>
        <w:tc>
          <w:tcPr>
            <w:tcW w:w="3800" w:type="dxa"/>
            <w:vAlign w:val="bottom"/>
          </w:tcPr>
          <w:p>
            <w:pPr>
              <w:jc w:val="center"/>
              <w:ind w:right="1345"/>
              <w:spacing w:after="0"/>
              <w:rPr>
                <w:sz w:val="20"/>
                <w:szCs w:val="20"/>
                <w:color w:val="auto"/>
              </w:rPr>
            </w:pPr>
            <w:r>
              <w:rPr>
                <w:rFonts w:ascii="Times New Roman" w:cs="Times New Roman" w:eastAsia="Times New Roman" w:hAnsi="Times New Roman"/>
                <w:sz w:val="16"/>
                <w:szCs w:val="16"/>
                <w:b w:val="1"/>
                <w:bCs w:val="1"/>
                <w:color w:val="auto"/>
              </w:rPr>
              <w:t>Englewood</w:t>
            </w:r>
          </w:p>
        </w:tc>
        <w:tc>
          <w:tcPr>
            <w:tcW w:w="2440" w:type="dxa"/>
            <w:vAlign w:val="bottom"/>
          </w:tcPr>
          <w:p>
            <w:pPr>
              <w:spacing w:after="0"/>
              <w:rPr>
                <w:sz w:val="18"/>
                <w:szCs w:val="18"/>
                <w:color w:val="auto"/>
              </w:rPr>
            </w:pPr>
          </w:p>
        </w:tc>
      </w:tr>
    </w:tbl>
    <w:p>
      <w:pPr>
        <w:spacing w:after="0" w:line="132" w:lineRule="exact"/>
        <w:rPr>
          <w:sz w:val="24"/>
          <w:szCs w:val="24"/>
          <w:color w:val="auto"/>
        </w:rPr>
      </w:pPr>
    </w:p>
    <w:p>
      <w:pPr>
        <w:ind w:left="308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Colorado</w:t>
      </w:r>
      <w:r>
        <w:rPr>
          <w:sz w:val="20"/>
          <w:szCs w:val="20"/>
          <w:color w:val="auto"/>
        </w:rPr>
        <w:tab/>
      </w:r>
      <w:r>
        <w:rPr>
          <w:rFonts w:ascii="Times New Roman" w:cs="Times New Roman" w:eastAsia="Times New Roman" w:hAnsi="Times New Roman"/>
          <w:sz w:val="16"/>
          <w:szCs w:val="16"/>
          <w:b w:val="1"/>
          <w:bCs w:val="1"/>
          <w:color w:val="auto"/>
        </w:rPr>
        <w:t>80112</w:t>
      </w:r>
    </w:p>
    <w:p>
      <w:pPr>
        <w:spacing w:after="0" w:line="27" w:lineRule="exact"/>
        <w:rPr>
          <w:sz w:val="24"/>
          <w:szCs w:val="24"/>
          <w:color w:val="auto"/>
        </w:rPr>
      </w:pPr>
    </w:p>
    <w:p>
      <w:pPr>
        <w:ind w:left="2380"/>
        <w:spacing w:after="0"/>
        <w:tabs>
          <w:tab w:leader="none" w:pos="766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(303) 792 5554</w:t>
      </w: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7"/>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IOSP</w:t>
            </w:r>
          </w:p>
        </w:tc>
        <w:tc>
          <w:tcPr>
            <w:tcW w:w="100" w:type="dxa"/>
            <w:vAlign w:val="bottom"/>
          </w:tcPr>
          <w:p>
            <w:pPr>
              <w:spacing w:after="0"/>
              <w:rPr>
                <w:sz w:val="18"/>
                <w:szCs w:val="18"/>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6"/>
                <w:szCs w:val="16"/>
                <w:b w:val="1"/>
                <w:bCs w:val="1"/>
                <w:color w:val="auto"/>
              </w:rPr>
              <w:t>NASDAQ</w:t>
            </w:r>
          </w:p>
        </w:tc>
      </w:tr>
    </w:tbl>
    <w:p>
      <w:pPr>
        <w:spacing w:after="0" w:line="195" w:lineRule="exact"/>
        <w:rPr>
          <w:sz w:val="24"/>
          <w:szCs w:val="24"/>
          <w:color w:val="auto"/>
        </w:rPr>
      </w:pPr>
    </w:p>
    <w:p>
      <w:pPr>
        <w:ind w:left="180" w:right="48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w:t>
      </w:r>
      <w:r>
        <w:rPr>
          <w:rFonts w:ascii="Times New Roman" w:cs="Times New Roman" w:eastAsia="Times New Roman" w:hAnsi="Times New Roman"/>
          <w:sz w:val="14"/>
          <w:szCs w:val="14"/>
          <w:color w:val="auto"/>
        </w:rPr>
        <w:t>all reports required to be filed by Section 13 or 15(d) of the Securities Exchange Act of 1934 during the preceding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1077" w:right="339" w:bottom="1440" w:gutter="0" w:footer="0" w:header="0"/>
        </w:sectPr>
      </w:pPr>
    </w:p>
    <w:p>
      <w:pPr>
        <w:spacing w:after="0" w:line="6" w:lineRule="exact"/>
        <w:rPr>
          <w:sz w:val="24"/>
          <w:szCs w:val="24"/>
          <w:color w:val="auto"/>
        </w:rPr>
      </w:pPr>
    </w:p>
    <w:p>
      <w:pPr>
        <w:ind w:lef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w:t>
      </w:r>
      <w:r>
        <w:rPr>
          <w:rFonts w:ascii="Times New Roman" w:cs="Times New Roman" w:eastAsia="Times New Roman" w:hAnsi="Times New Roman"/>
          <w:sz w:val="16"/>
          <w:szCs w:val="16"/>
          <w:color w:val="auto"/>
        </w:rPr>
        <w:t>lerated</w:t>
      </w:r>
      <w:r>
        <w:rPr>
          <w:rFonts w:ascii="Times New Roman" w:cs="Times New Roman" w:eastAsia="Times New Roman" w:hAnsi="Times New Roman"/>
          <w:sz w:val="14"/>
          <w:szCs w:val="14"/>
          <w:color w:val="auto"/>
        </w:rPr>
        <w:t xml:space="preserve"> filer, an accelerated filer, a non-accelerated filer, or a smaller reporting company, or an emerging growth company.</w:t>
      </w:r>
    </w:p>
    <w:p>
      <w:pPr>
        <w:spacing w:after="0" w:line="2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See the definitions of “large accelerate</w:t>
      </w:r>
      <w:r>
        <w:rPr>
          <w:rFonts w:ascii="Times New Roman" w:cs="Times New Roman" w:eastAsia="Times New Roman" w:hAnsi="Times New Roman"/>
          <w:sz w:val="16"/>
          <w:szCs w:val="16"/>
          <w:color w:val="auto"/>
        </w:rPr>
        <w:t>d filer,” “accelerated filer,” “smaller reporting company” and “emerging growth company” in Rule 12b-2 of the Exchange Act.</w:t>
      </w:r>
    </w:p>
    <w:p>
      <w:pPr>
        <w:spacing w:after="0" w:line="13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311"/>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32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380" w:type="dxa"/>
            <w:vAlign w:val="bottom"/>
          </w:tcPr>
          <w:p>
            <w:pPr>
              <w:spacing w:after="0"/>
              <w:rPr>
                <w:sz w:val="24"/>
                <w:szCs w:val="24"/>
                <w:color w:val="auto"/>
              </w:rPr>
            </w:pPr>
          </w:p>
        </w:tc>
      </w:tr>
    </w:tbl>
    <w:p>
      <w:pPr>
        <w:spacing w:after="0" w:line="127" w:lineRule="exact"/>
        <w:rPr>
          <w:sz w:val="24"/>
          <w:szCs w:val="24"/>
          <w:color w:val="auto"/>
        </w:rPr>
      </w:pPr>
    </w:p>
    <w:p>
      <w:pPr>
        <w:ind w:left="180" w:right="2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w:t>
      </w:r>
      <w:r>
        <w:rPr>
          <w:rFonts w:ascii="Times New Roman" w:cs="Times New Roman" w:eastAsia="Times New Roman" w:hAnsi="Times New Roman"/>
          <w:sz w:val="14"/>
          <w:szCs w:val="14"/>
          <w:color w:val="auto"/>
        </w:rPr>
        <w:t>mark if the registrant has elected not to use the extended transition period for complying with any new or revised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standards provided pursuant to Section 13(a) of the Exchange Act. </w:t>
      </w:r>
      <w:r>
        <w:rPr>
          <w:rFonts w:ascii="MS PGothic" w:cs="MS PGothic" w:eastAsia="MS PGothic" w:hAnsi="MS PGothic"/>
          <w:sz w:val="14"/>
          <w:szCs w:val="14"/>
          <w:color w:val="auto"/>
        </w:rPr>
        <w:t>☐</w:t>
      </w:r>
    </w:p>
    <w:p>
      <w:pPr>
        <w:ind w:left="180" w:right="310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w:t>
      </w:r>
      <w:r>
        <w:rPr>
          <w:rFonts w:ascii="Times New Roman" w:cs="Times New Roman" w:eastAsia="Times New Roman" w:hAnsi="Times New Roman"/>
          <w:sz w:val="16"/>
          <w:szCs w:val="16"/>
          <w:color w:val="auto"/>
        </w:rPr>
        <w:t>the issuer’s classes of common stock, as of the latest practicable date.</w:t>
      </w:r>
    </w:p>
    <w:p>
      <w:pPr>
        <w:spacing w:after="0" w:line="127" w:lineRule="exact"/>
        <w:rPr>
          <w:sz w:val="24"/>
          <w:szCs w:val="24"/>
          <w:color w:val="auto"/>
        </w:rPr>
      </w:pPr>
    </w:p>
    <w:tbl>
      <w:tblPr>
        <w:tblLayout w:type="fixed"/>
        <w:tblInd w:w="210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Class</w:t>
            </w:r>
          </w:p>
        </w:tc>
        <w:tc>
          <w:tcPr>
            <w:tcW w:w="3540" w:type="dxa"/>
            <w:vAlign w:val="bottom"/>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Outstanding as of April 30, 2026</w:t>
            </w:r>
          </w:p>
        </w:tc>
      </w:tr>
      <w:tr>
        <w:trPr>
          <w:trHeight w:val="271"/>
        </w:trPr>
        <w:tc>
          <w:tcPr>
            <w:tcW w:w="4740" w:type="dxa"/>
            <w:vAlign w:val="bottom"/>
            <w:gridSpan w:val="3"/>
          </w:tcPr>
          <w:p>
            <w:pPr>
              <w:jc w:val="center"/>
              <w:ind w:right="2640"/>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1740" w:type="dxa"/>
            <w:vAlign w:val="bottom"/>
          </w:tcPr>
          <w:p>
            <w:pPr>
              <w:jc w:val="right"/>
              <w:ind w:right="428"/>
              <w:spacing w:after="0"/>
              <w:rPr>
                <w:sz w:val="20"/>
                <w:szCs w:val="20"/>
                <w:color w:val="auto"/>
              </w:rPr>
            </w:pPr>
            <w:r>
              <w:rPr>
                <w:rFonts w:ascii="Times New Roman" w:cs="Times New Roman" w:eastAsia="Times New Roman" w:hAnsi="Times New Roman"/>
                <w:sz w:val="16"/>
                <w:szCs w:val="16"/>
                <w:color w:val="auto"/>
              </w:rPr>
              <w:t>24,631,047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840" w:space="140"/>
            <w:col w:w="260"/>
          </w:cols>
          <w:pgMar w:left="320" w:top="10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4"/>
          </w:tcPr>
          <w:p>
            <w:pPr>
              <w:ind w:left="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9"/>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PART I</w:t>
            </w:r>
          </w:p>
        </w:tc>
        <w:tc>
          <w:tcPr>
            <w:tcW w:w="20" w:type="dxa"/>
            <w:vAlign w:val="bottom"/>
          </w:tcPr>
          <w:p>
            <w:pPr>
              <w:spacing w:after="0"/>
              <w:rPr>
                <w:sz w:val="24"/>
                <w:szCs w:val="24"/>
                <w:color w:val="auto"/>
              </w:rPr>
            </w:pPr>
          </w:p>
        </w:tc>
        <w:tc>
          <w:tcPr>
            <w:tcW w:w="2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7"/>
              </w:rPr>
              <w:t>FINANCIAL INFORMATION</w:t>
            </w:r>
          </w:p>
        </w:tc>
        <w:tc>
          <w:tcPr>
            <w:tcW w:w="5700" w:type="dxa"/>
            <w:vAlign w:val="bottom"/>
            <w:gridSpan w:val="17"/>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77"/>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Item 1</w:t>
            </w:r>
          </w:p>
        </w:tc>
        <w:tc>
          <w:tcPr>
            <w:tcW w:w="20" w:type="dxa"/>
            <w:vAlign w:val="bottom"/>
          </w:tcPr>
          <w:p>
            <w:pPr>
              <w:spacing w:after="0"/>
              <w:rPr>
                <w:sz w:val="24"/>
                <w:szCs w:val="24"/>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22"/>
                <w:szCs w:val="22"/>
                <w:color w:val="0000FF"/>
              </w:rPr>
              <w:t>Condensed Consolidated Financial Statements</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Borders>
              <w:top w:val="single" w:sz="8" w:color="0000FF"/>
              <w:bottom w:val="single" w:sz="8" w:color="0000FF"/>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FF"/>
                <w:w w:val="95"/>
              </w:rPr>
              <w:t>Condensed Consolidated Statements of Income</w:t>
            </w:r>
          </w:p>
        </w:tc>
        <w:tc>
          <w:tcPr>
            <w:tcW w:w="20" w:type="dxa"/>
            <w:vAlign w:val="bottom"/>
            <w:tcBorders>
              <w:top w:val="single" w:sz="8" w:color="0000EE"/>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0000FF"/>
              </w:rPr>
              <w:t>Condensed Consolidated Statements of Comprehensive Income</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40" w:type="dxa"/>
            <w:vAlign w:val="bottom"/>
            <w:tcBorders>
              <w:top w:val="single" w:sz="8" w:color="0000FF"/>
              <w:bottom w:val="single" w:sz="8" w:color="0000FF"/>
            </w:tcBorders>
            <w:gridSpan w:val="14"/>
          </w:tcPr>
          <w:p>
            <w:pPr>
              <w:spacing w:after="0" w:line="237" w:lineRule="exact"/>
              <w:rPr>
                <w:sz w:val="20"/>
                <w:szCs w:val="20"/>
                <w:color w:val="auto"/>
              </w:rPr>
            </w:pPr>
            <w:r>
              <w:rPr>
                <w:rFonts w:ascii="Times New Roman" w:cs="Times New Roman" w:eastAsia="Times New Roman" w:hAnsi="Times New Roman"/>
                <w:sz w:val="22"/>
                <w:szCs w:val="22"/>
                <w:color w:val="0000FF"/>
                <w:w w:val="98"/>
              </w:rPr>
              <w:t>Condensed Consolidated Balance Sheets</w:t>
            </w:r>
          </w:p>
        </w:tc>
        <w:tc>
          <w:tcPr>
            <w:tcW w:w="20" w:type="dxa"/>
            <w:vAlign w:val="bottom"/>
            <w:tcBorders>
              <w:top w:val="single" w:sz="8" w:color="0000FF"/>
              <w:bottom w:val="single" w:sz="8" w:color="0000EE"/>
            </w:tcBorders>
          </w:tcPr>
          <w:p>
            <w:pPr>
              <w:spacing w:after="0"/>
              <w:rPr>
                <w:sz w:val="20"/>
                <w:szCs w:val="20"/>
                <w:color w:val="auto"/>
              </w:rPr>
            </w:pPr>
          </w:p>
        </w:tc>
        <w:tc>
          <w:tcPr>
            <w:tcW w:w="1940" w:type="dxa"/>
            <w:vAlign w:val="bottom"/>
            <w:tcBorders>
              <w:top w:val="single" w:sz="8" w:color="0000FF"/>
            </w:tcBorders>
            <w:gridSpan w:val="10"/>
          </w:tcPr>
          <w:p>
            <w:pPr>
              <w:spacing w:after="0"/>
              <w:rPr>
                <w:sz w:val="20"/>
                <w:szCs w:val="20"/>
                <w:color w:val="auto"/>
              </w:rPr>
            </w:pPr>
          </w:p>
        </w:tc>
        <w:tc>
          <w:tcPr>
            <w:tcW w:w="2940" w:type="dxa"/>
            <w:vAlign w:val="bottom"/>
            <w:gridSpan w:val="2"/>
          </w:tcPr>
          <w:p>
            <w:pPr>
              <w:spacing w:after="0"/>
              <w:rPr>
                <w:sz w:val="20"/>
                <w:szCs w:val="20"/>
                <w:color w:val="auto"/>
              </w:rPr>
            </w:pP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0000FF"/>
              </w:rPr>
              <w:t>Condensed Consolidated Statements of Cash Flows</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Borders>
              <w:top w:val="single" w:sz="8" w:color="0000FF"/>
              <w:bottom w:val="single" w:sz="8" w:color="0000FF"/>
            </w:tcBorders>
            <w:gridSpan w:val="18"/>
          </w:tcPr>
          <w:p>
            <w:pPr>
              <w:spacing w:after="0" w:line="237" w:lineRule="exact"/>
              <w:rPr>
                <w:sz w:val="20"/>
                <w:szCs w:val="20"/>
                <w:color w:val="auto"/>
              </w:rPr>
            </w:pPr>
            <w:r>
              <w:rPr>
                <w:rFonts w:ascii="Times New Roman" w:cs="Times New Roman" w:eastAsia="Times New Roman" w:hAnsi="Times New Roman"/>
                <w:sz w:val="22"/>
                <w:szCs w:val="22"/>
                <w:color w:val="0000FF"/>
                <w:w w:val="98"/>
              </w:rPr>
              <w:t>Condensed Consolidated Statements of Equity</w:t>
            </w:r>
          </w:p>
        </w:tc>
        <w:tc>
          <w:tcPr>
            <w:tcW w:w="0" w:type="dxa"/>
            <w:vAlign w:val="bottom"/>
            <w:tcBorders>
              <w:top w:val="single" w:sz="8" w:color="0000FF"/>
              <w:bottom w:val="single" w:sz="8" w:color="0000EE"/>
            </w:tcBorders>
          </w:tcPr>
          <w:p>
            <w:pPr>
              <w:spacing w:after="0"/>
              <w:rPr>
                <w:sz w:val="20"/>
                <w:szCs w:val="20"/>
                <w:color w:val="auto"/>
              </w:rPr>
            </w:pPr>
          </w:p>
        </w:tc>
        <w:tc>
          <w:tcPr>
            <w:tcW w:w="400" w:type="dxa"/>
            <w:vAlign w:val="bottom"/>
            <w:tcBorders>
              <w:top w:val="single" w:sz="8" w:color="0000FF"/>
            </w:tcBorders>
            <w:gridSpan w:val="3"/>
          </w:tcPr>
          <w:p>
            <w:pPr>
              <w:spacing w:after="0"/>
              <w:rPr>
                <w:sz w:val="20"/>
                <w:szCs w:val="20"/>
                <w:color w:val="auto"/>
              </w:rPr>
            </w:pPr>
          </w:p>
        </w:tc>
        <w:tc>
          <w:tcPr>
            <w:tcW w:w="3980" w:type="dxa"/>
            <w:vAlign w:val="bottom"/>
            <w:gridSpan w:val="5"/>
          </w:tcPr>
          <w:p>
            <w:pPr>
              <w:spacing w:after="0"/>
              <w:rPr>
                <w:sz w:val="20"/>
                <w:szCs w:val="20"/>
                <w:color w:val="auto"/>
              </w:rPr>
            </w:pP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37"/>
        </w:trPr>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Item 2</w:t>
            </w:r>
          </w:p>
        </w:tc>
        <w:tc>
          <w:tcPr>
            <w:tcW w:w="20" w:type="dxa"/>
            <w:vAlign w:val="bottom"/>
          </w:tcPr>
          <w:p>
            <w:pPr>
              <w:spacing w:after="0"/>
              <w:rPr>
                <w:sz w:val="20"/>
                <w:szCs w:val="20"/>
                <w:color w:val="auto"/>
              </w:rPr>
            </w:pPr>
          </w:p>
        </w:tc>
        <w:tc>
          <w:tcPr>
            <w:tcW w:w="844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0000FF"/>
              </w:rPr>
              <w:t>Notes To The Unaudited Interim Condensed Consolidated Financial Statements</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14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tcBorders>
              <w:bottom w:val="single" w:sz="8" w:color="0000FF"/>
            </w:tcBorders>
            <w:gridSpan w:val="27"/>
          </w:tcPr>
          <w:p>
            <w:pPr>
              <w:spacing w:after="0" w:line="237" w:lineRule="exact"/>
              <w:rPr>
                <w:sz w:val="20"/>
                <w:szCs w:val="20"/>
                <w:color w:val="auto"/>
              </w:rPr>
            </w:pPr>
            <w:r>
              <w:rPr>
                <w:rFonts w:ascii="Times New Roman" w:cs="Times New Roman" w:eastAsia="Times New Roman" w:hAnsi="Times New Roman"/>
                <w:sz w:val="22"/>
                <w:szCs w:val="22"/>
                <w:color w:val="0000FF"/>
                <w:w w:val="98"/>
              </w:rPr>
              <w:t>Management’s Discussion and Analysis of Financial Condition and Results of Operations for the</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Borders>
              <w:bottom w:val="single" w:sz="8" w:color="0000FF"/>
            </w:tcBorders>
            <w:gridSpan w:val="19"/>
          </w:tcPr>
          <w:p>
            <w:pPr>
              <w:spacing w:after="0" w:line="223" w:lineRule="exact"/>
              <w:rPr>
                <w:sz w:val="20"/>
                <w:szCs w:val="20"/>
                <w:color w:val="auto"/>
              </w:rPr>
            </w:pPr>
            <w:r>
              <w:rPr>
                <w:rFonts w:ascii="Times New Roman" w:cs="Times New Roman" w:eastAsia="Times New Roman" w:hAnsi="Times New Roman"/>
                <w:sz w:val="22"/>
                <w:szCs w:val="22"/>
                <w:color w:val="0000FF"/>
                <w:w w:val="98"/>
              </w:rPr>
              <w:t>Three months ended March 31, 2026 and 2025</w:t>
            </w:r>
          </w:p>
        </w:tc>
        <w:tc>
          <w:tcPr>
            <w:tcW w:w="4380" w:type="dxa"/>
            <w:vAlign w:val="bottom"/>
            <w:gridSpan w:val="8"/>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0000FF"/>
            </w:tcBorders>
            <w:gridSpan w:val="9"/>
          </w:tcPr>
          <w:p>
            <w:pPr>
              <w:spacing w:after="0" w:line="237" w:lineRule="exact"/>
              <w:rPr>
                <w:sz w:val="20"/>
                <w:szCs w:val="20"/>
                <w:color w:val="auto"/>
              </w:rPr>
            </w:pPr>
            <w:r>
              <w:rPr>
                <w:rFonts w:ascii="Times New Roman" w:cs="Times New Roman" w:eastAsia="Times New Roman" w:hAnsi="Times New Roman"/>
                <w:sz w:val="22"/>
                <w:szCs w:val="22"/>
                <w:color w:val="0000FF"/>
                <w:w w:val="98"/>
              </w:rPr>
              <w:t>Critical Accounting Estimates</w:t>
            </w:r>
          </w:p>
        </w:tc>
        <w:tc>
          <w:tcPr>
            <w:tcW w:w="5820" w:type="dxa"/>
            <w:vAlign w:val="bottom"/>
            <w:gridSpan w:val="18"/>
          </w:tcPr>
          <w:p>
            <w:pPr>
              <w:spacing w:after="0"/>
              <w:rPr>
                <w:sz w:val="20"/>
                <w:szCs w:val="20"/>
                <w:color w:val="auto"/>
              </w:rPr>
            </w:pP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40" w:type="dxa"/>
            <w:vAlign w:val="bottom"/>
            <w:gridSpan w:val="27"/>
          </w:tcPr>
          <w:p>
            <w:pPr>
              <w:spacing w:after="0" w:line="237" w:lineRule="exact"/>
              <w:rPr>
                <w:sz w:val="20"/>
                <w:szCs w:val="20"/>
                <w:color w:val="auto"/>
              </w:rPr>
            </w:pPr>
            <w:r>
              <w:rPr>
                <w:rFonts w:ascii="Times New Roman" w:cs="Times New Roman" w:eastAsia="Times New Roman" w:hAnsi="Times New Roman"/>
                <w:sz w:val="22"/>
                <w:szCs w:val="22"/>
                <w:color w:val="0000FF"/>
              </w:rPr>
              <w:t>Results of Operations</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bottom w:val="single" w:sz="8" w:color="0000FF"/>
            </w:tcBorders>
            <w:gridSpan w:val="12"/>
          </w:tcPr>
          <w:p>
            <w:pPr>
              <w:spacing w:after="0" w:line="237" w:lineRule="exact"/>
              <w:rPr>
                <w:sz w:val="20"/>
                <w:szCs w:val="20"/>
                <w:color w:val="auto"/>
              </w:rPr>
            </w:pPr>
            <w:r>
              <w:rPr>
                <w:rFonts w:ascii="Times New Roman" w:cs="Times New Roman" w:eastAsia="Times New Roman" w:hAnsi="Times New Roman"/>
                <w:sz w:val="22"/>
                <w:szCs w:val="22"/>
                <w:color w:val="0000FF"/>
                <w:w w:val="97"/>
              </w:rPr>
              <w:t>Liquidity and Financial Condition</w:t>
            </w:r>
          </w:p>
        </w:tc>
        <w:tc>
          <w:tcPr>
            <w:tcW w:w="20" w:type="dxa"/>
            <w:vAlign w:val="bottom"/>
            <w:tcBorders>
              <w:bottom w:val="single" w:sz="8" w:color="0000EE"/>
            </w:tcBorders>
          </w:tcPr>
          <w:p>
            <w:pPr>
              <w:spacing w:after="0"/>
              <w:rPr>
                <w:sz w:val="20"/>
                <w:szCs w:val="20"/>
                <w:color w:val="auto"/>
              </w:rPr>
            </w:pPr>
          </w:p>
        </w:tc>
        <w:tc>
          <w:tcPr>
            <w:tcW w:w="5460" w:type="dxa"/>
            <w:vAlign w:val="bottom"/>
            <w:gridSpan w:val="14"/>
          </w:tcPr>
          <w:p>
            <w:pPr>
              <w:spacing w:after="0"/>
              <w:rPr>
                <w:sz w:val="20"/>
                <w:szCs w:val="20"/>
                <w:color w:val="auto"/>
              </w:rPr>
            </w:pP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237"/>
        </w:trPr>
        <w:tc>
          <w:tcPr>
            <w:tcW w:w="1420" w:type="dxa"/>
            <w:vAlign w:val="bottom"/>
            <w:gridSpan w:val="2"/>
          </w:tcPr>
          <w:p>
            <w:pPr>
              <w:ind w:left="140"/>
              <w:spacing w:after="0" w:line="237" w:lineRule="exact"/>
              <w:rPr>
                <w:sz w:val="20"/>
                <w:szCs w:val="20"/>
                <w:color w:val="auto"/>
              </w:rPr>
            </w:pPr>
            <w:r>
              <w:rPr>
                <w:rFonts w:ascii="Times New Roman" w:cs="Times New Roman" w:eastAsia="Times New Roman" w:hAnsi="Times New Roman"/>
                <w:sz w:val="22"/>
                <w:szCs w:val="22"/>
                <w:color w:val="auto"/>
              </w:rPr>
              <w:t>Item 3</w:t>
            </w:r>
          </w:p>
        </w:tc>
        <w:tc>
          <w:tcPr>
            <w:tcW w:w="8460" w:type="dxa"/>
            <w:vAlign w:val="bottom"/>
            <w:gridSpan w:val="28"/>
          </w:tcPr>
          <w:p>
            <w:pPr>
              <w:spacing w:after="0" w:line="237" w:lineRule="exact"/>
              <w:rPr>
                <w:sz w:val="20"/>
                <w:szCs w:val="20"/>
                <w:color w:val="auto"/>
              </w:rPr>
            </w:pPr>
            <w:r>
              <w:rPr>
                <w:rFonts w:ascii="Times New Roman" w:cs="Times New Roman" w:eastAsia="Times New Roman" w:hAnsi="Times New Roman"/>
                <w:sz w:val="22"/>
                <w:szCs w:val="22"/>
                <w:color w:val="0000FF"/>
              </w:rPr>
              <w:t>Quantitative and Qualitative Disclosures about Market Risk</w:t>
            </w:r>
          </w:p>
        </w:tc>
        <w:tc>
          <w:tcPr>
            <w:tcW w:w="136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4</w:t>
            </w: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380" w:type="dxa"/>
            <w:vAlign w:val="bottom"/>
            <w:gridSpan w:val="1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40" w:type="dxa"/>
            <w:vAlign w:val="bottom"/>
            <w:gridSpan w:val="3"/>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2"/>
            <w:vMerge w:val="continue"/>
          </w:tcPr>
          <w:p>
            <w:pPr>
              <w:spacing w:after="0"/>
              <w:rPr>
                <w:sz w:val="19"/>
                <w:szCs w:val="19"/>
                <w:color w:val="auto"/>
              </w:rPr>
            </w:pPr>
          </w:p>
        </w:tc>
        <w:tc>
          <w:tcPr>
            <w:tcW w:w="5180" w:type="dxa"/>
            <w:vAlign w:val="bottom"/>
            <w:gridSpan w:val="24"/>
          </w:tcPr>
          <w:p>
            <w:pPr>
              <w:spacing w:after="0" w:line="209" w:lineRule="exact"/>
              <w:rPr>
                <w:sz w:val="20"/>
                <w:szCs w:val="20"/>
                <w:color w:val="auto"/>
              </w:rPr>
            </w:pPr>
            <w:r>
              <w:rPr>
                <w:rFonts w:ascii="Times New Roman" w:cs="Times New Roman" w:eastAsia="Times New Roman" w:hAnsi="Times New Roman"/>
                <w:sz w:val="22"/>
                <w:szCs w:val="22"/>
                <w:color w:val="0000FF"/>
              </w:rPr>
              <w:t>Controls and Procedures</w:t>
            </w:r>
          </w:p>
        </w:tc>
        <w:tc>
          <w:tcPr>
            <w:tcW w:w="40" w:type="dxa"/>
            <w:vAlign w:val="bottom"/>
            <w:vMerge w:val="continue"/>
          </w:tcPr>
          <w:p>
            <w:pPr>
              <w:spacing w:after="0"/>
              <w:rPr>
                <w:sz w:val="19"/>
                <w:szCs w:val="19"/>
                <w:color w:val="auto"/>
              </w:rPr>
            </w:pPr>
          </w:p>
        </w:tc>
        <w:tc>
          <w:tcPr>
            <w:tcW w:w="3240" w:type="dxa"/>
            <w:vAlign w:val="bottom"/>
            <w:gridSpan w:val="3"/>
            <w:vMerge w:val="continue"/>
          </w:tcPr>
          <w:p>
            <w:pPr>
              <w:spacing w:after="0"/>
              <w:rPr>
                <w:sz w:val="19"/>
                <w:szCs w:val="19"/>
                <w:color w:val="auto"/>
              </w:rPr>
            </w:pPr>
          </w:p>
        </w:tc>
        <w:tc>
          <w:tcPr>
            <w:tcW w:w="1360" w:type="dxa"/>
            <w:vAlign w:val="bottom"/>
          </w:tcPr>
          <w:p>
            <w:pPr>
              <w:jc w:val="right"/>
              <w:ind w:right="12"/>
              <w:spacing w:after="0" w:line="209"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line="20" w:lineRule="exact"/>
              <w:rPr>
                <w:sz w:val="1"/>
                <w:szCs w:val="1"/>
                <w:color w:val="auto"/>
              </w:rPr>
            </w:pPr>
          </w:p>
        </w:tc>
      </w:tr>
      <w:tr>
        <w:trPr>
          <w:trHeight w:val="290"/>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PART II</w:t>
            </w:r>
          </w:p>
        </w:tc>
        <w:tc>
          <w:tcPr>
            <w:tcW w:w="846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OTHER INFORMATION</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line="20" w:lineRule="exact"/>
              <w:rPr>
                <w:sz w:val="1"/>
                <w:szCs w:val="1"/>
                <w:color w:val="auto"/>
              </w:rPr>
            </w:pPr>
          </w:p>
        </w:tc>
      </w:tr>
      <w:tr>
        <w:trPr>
          <w:trHeight w:val="277"/>
        </w:trPr>
        <w:tc>
          <w:tcPr>
            <w:tcW w:w="14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Item 1</w:t>
            </w:r>
          </w:p>
        </w:tc>
        <w:tc>
          <w:tcPr>
            <w:tcW w:w="8460" w:type="dxa"/>
            <w:vAlign w:val="bottom"/>
            <w:gridSpan w:val="28"/>
          </w:tcPr>
          <w:p>
            <w:pPr>
              <w:spacing w:after="0"/>
              <w:rPr>
                <w:sz w:val="20"/>
                <w:szCs w:val="20"/>
                <w:color w:val="auto"/>
              </w:rPr>
            </w:pPr>
            <w:r>
              <w:rPr>
                <w:rFonts w:ascii="Times New Roman" w:cs="Times New Roman" w:eastAsia="Times New Roman" w:hAnsi="Times New Roman"/>
                <w:sz w:val="22"/>
                <w:szCs w:val="22"/>
                <w:color w:val="0000FF"/>
              </w:rPr>
              <w:t>Legal Proceedings</w:t>
            </w: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gridSpan w:val="2"/>
            <w:vMerge w:val="restart"/>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1A</w:t>
            </w: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6"/>
            <w:vMerge w:val="restart"/>
          </w:tcPr>
          <w:p>
            <w:pPr>
              <w:spacing w:after="0" w:line="20" w:lineRule="exact"/>
              <w:rPr>
                <w:sz w:val="1"/>
                <w:szCs w:val="1"/>
                <w:color w:val="auto"/>
              </w:rPr>
            </w:pPr>
          </w:p>
        </w:tc>
        <w:tc>
          <w:tcPr>
            <w:tcW w:w="2420" w:type="dxa"/>
            <w:vAlign w:val="bottom"/>
            <w:gridSpan w:val="13"/>
            <w:vMerge w:val="restart"/>
          </w:tcPr>
          <w:p>
            <w:pPr>
              <w:spacing w:after="0" w:line="20" w:lineRule="exact"/>
              <w:rPr>
                <w:sz w:val="1"/>
                <w:szCs w:val="1"/>
                <w:color w:val="auto"/>
              </w:rPr>
            </w:pPr>
          </w:p>
        </w:tc>
        <w:tc>
          <w:tcPr>
            <w:tcW w:w="3240" w:type="dxa"/>
            <w:vAlign w:val="bottom"/>
            <w:gridSpan w:val="3"/>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20" w:type="dxa"/>
            <w:vAlign w:val="bottom"/>
            <w:gridSpan w:val="2"/>
            <w:vMerge w:val="continue"/>
          </w:tcPr>
          <w:p>
            <w:pPr>
              <w:spacing w:after="0"/>
              <w:rPr>
                <w:sz w:val="19"/>
                <w:szCs w:val="19"/>
                <w:color w:val="auto"/>
              </w:rPr>
            </w:pPr>
          </w:p>
        </w:tc>
        <w:tc>
          <w:tcPr>
            <w:tcW w:w="1600" w:type="dxa"/>
            <w:vAlign w:val="bottom"/>
            <w:gridSpan w:val="6"/>
          </w:tcPr>
          <w:p>
            <w:pPr>
              <w:spacing w:after="0" w:line="209" w:lineRule="exact"/>
              <w:rPr>
                <w:sz w:val="20"/>
                <w:szCs w:val="20"/>
                <w:color w:val="auto"/>
              </w:rPr>
            </w:pPr>
            <w:r>
              <w:rPr>
                <w:rFonts w:ascii="Times New Roman" w:cs="Times New Roman" w:eastAsia="Times New Roman" w:hAnsi="Times New Roman"/>
                <w:sz w:val="22"/>
                <w:szCs w:val="22"/>
                <w:color w:val="0000FF"/>
              </w:rPr>
              <w:t>Risk Factors</w:t>
            </w:r>
          </w:p>
        </w:tc>
        <w:tc>
          <w:tcPr>
            <w:tcW w:w="1200" w:type="dxa"/>
            <w:vAlign w:val="bottom"/>
            <w:gridSpan w:val="6"/>
            <w:vMerge w:val="continue"/>
          </w:tcPr>
          <w:p>
            <w:pPr>
              <w:spacing w:after="0"/>
              <w:rPr>
                <w:sz w:val="19"/>
                <w:szCs w:val="19"/>
                <w:color w:val="auto"/>
              </w:rPr>
            </w:pPr>
          </w:p>
        </w:tc>
        <w:tc>
          <w:tcPr>
            <w:tcW w:w="2420" w:type="dxa"/>
            <w:vAlign w:val="bottom"/>
            <w:gridSpan w:val="13"/>
            <w:vMerge w:val="continue"/>
          </w:tcPr>
          <w:p>
            <w:pPr>
              <w:spacing w:after="0"/>
              <w:rPr>
                <w:sz w:val="19"/>
                <w:szCs w:val="19"/>
                <w:color w:val="auto"/>
              </w:rPr>
            </w:pPr>
          </w:p>
        </w:tc>
        <w:tc>
          <w:tcPr>
            <w:tcW w:w="3240" w:type="dxa"/>
            <w:vAlign w:val="bottom"/>
            <w:gridSpan w:val="3"/>
            <w:vMerge w:val="continue"/>
          </w:tcPr>
          <w:p>
            <w:pPr>
              <w:spacing w:after="0"/>
              <w:rPr>
                <w:sz w:val="19"/>
                <w:szCs w:val="19"/>
                <w:color w:val="auto"/>
              </w:rPr>
            </w:pPr>
          </w:p>
        </w:tc>
        <w:tc>
          <w:tcPr>
            <w:tcW w:w="1360" w:type="dxa"/>
            <w:vAlign w:val="bottom"/>
          </w:tcPr>
          <w:p>
            <w:pPr>
              <w:jc w:val="right"/>
              <w:ind w:right="12"/>
              <w:spacing w:after="0" w:line="209"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420" w:type="dxa"/>
            <w:vAlign w:val="bottom"/>
            <w:gridSpan w:val="13"/>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2</w:t>
            </w:r>
          </w:p>
        </w:tc>
        <w:tc>
          <w:tcPr>
            <w:tcW w:w="846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FF"/>
              </w:rPr>
              <w:t>Unregistered Sales of Equity Securities and Use of Proceeds</w:t>
            </w: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420" w:type="dxa"/>
            <w:vAlign w:val="bottom"/>
            <w:gridSpan w:val="13"/>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3</w:t>
            </w:r>
          </w:p>
        </w:tc>
        <w:tc>
          <w:tcPr>
            <w:tcW w:w="846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FF"/>
              </w:rPr>
              <w:t>Defaults Upon Senior Securities</w:t>
            </w: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566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4</w:t>
            </w:r>
          </w:p>
        </w:tc>
        <w:tc>
          <w:tcPr>
            <w:tcW w:w="846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FF"/>
              </w:rPr>
              <w:t>Mine Safety Disclosures</w:t>
            </w: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340" w:type="dxa"/>
            <w:vAlign w:val="bottom"/>
            <w:gridSpan w:val="2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5</w:t>
            </w:r>
          </w:p>
        </w:tc>
        <w:tc>
          <w:tcPr>
            <w:tcW w:w="846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FF"/>
              </w:rPr>
              <w:t>Other Information</w:t>
            </w: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880" w:type="dxa"/>
            <w:vAlign w:val="bottom"/>
            <w:gridSpan w:val="2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22"/>
                <w:szCs w:val="22"/>
                <w:color w:val="auto"/>
              </w:rPr>
              <w:t>Item 6</w:t>
            </w:r>
          </w:p>
        </w:tc>
        <w:tc>
          <w:tcPr>
            <w:tcW w:w="8460" w:type="dxa"/>
            <w:vAlign w:val="bottom"/>
            <w:gridSpan w:val="28"/>
          </w:tcPr>
          <w:p>
            <w:pPr>
              <w:spacing w:after="0" w:line="223" w:lineRule="exact"/>
              <w:rPr>
                <w:sz w:val="20"/>
                <w:szCs w:val="20"/>
                <w:color w:val="auto"/>
              </w:rPr>
            </w:pPr>
            <w:r>
              <w:rPr>
                <w:rFonts w:ascii="Times New Roman" w:cs="Times New Roman" w:eastAsia="Times New Roman" w:hAnsi="Times New Roman"/>
                <w:sz w:val="22"/>
                <w:szCs w:val="22"/>
                <w:color w:val="0000FF"/>
              </w:rPr>
              <w:t>Exhibits</w:t>
            </w:r>
          </w:p>
        </w:tc>
        <w:tc>
          <w:tcPr>
            <w:tcW w:w="1360" w:type="dxa"/>
            <w:vAlign w:val="bottom"/>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740" w:type="dxa"/>
            <w:vAlign w:val="bottom"/>
            <w:gridSpan w:val="2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80" w:type="dxa"/>
            <w:vAlign w:val="bottom"/>
          </w:tcPr>
          <w:p>
            <w:pPr>
              <w:spacing w:after="0"/>
              <w:rPr>
                <w:sz w:val="24"/>
                <w:szCs w:val="24"/>
                <w:color w:val="auto"/>
              </w:rPr>
            </w:pPr>
          </w:p>
        </w:tc>
        <w:tc>
          <w:tcPr>
            <w:tcW w:w="9700" w:type="dxa"/>
            <w:vAlign w:val="bottom"/>
            <w:gridSpan w:val="29"/>
          </w:tcPr>
          <w:p>
            <w:pPr>
              <w:spacing w:after="0"/>
              <w:rPr>
                <w:sz w:val="20"/>
                <w:szCs w:val="20"/>
                <w:color w:val="auto"/>
              </w:rPr>
            </w:pPr>
            <w:r>
              <w:rPr>
                <w:rFonts w:ascii="Times New Roman" w:cs="Times New Roman" w:eastAsia="Times New Roman" w:hAnsi="Times New Roman"/>
                <w:sz w:val="22"/>
                <w:szCs w:val="22"/>
                <w:color w:val="0000FF"/>
              </w:rPr>
              <w:t>SIGNATURES</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1229"/>
        </w:trPr>
        <w:tc>
          <w:tcPr>
            <w:tcW w:w="180" w:type="dxa"/>
            <w:vAlign w:val="bottom"/>
            <w:tcBorders>
              <w:bottom w:val="single" w:sz="8" w:color="9A9A9A"/>
            </w:tcBorders>
          </w:tcPr>
          <w:p>
            <w:pPr>
              <w:spacing w:after="0"/>
              <w:rPr>
                <w:sz w:val="24"/>
                <w:szCs w:val="24"/>
                <w:color w:val="auto"/>
              </w:rPr>
            </w:pPr>
          </w:p>
        </w:tc>
        <w:tc>
          <w:tcPr>
            <w:tcW w:w="1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RELATIVE TO FORWARD-LOOKING STATEMENTS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Form 10-Q contains certain “forward-looking statements” within the meaning of the Private Securities Litigation Reform Act of 1995. All statements other than statements of historical facts included or incorporated herein may constitute forward-looking statements. Such forward-looking statements include statements (covered by words like “expects,” “estimates,” “anticipates,” “may,” “could,” “believes,” “feels,” “plans,” “intends,” “outlook” or similar words or expressions, for example) which relate to earnings, growth potential, operating performance, events or developments that we expect or anticipate will or may occur in the future. Although forward-looking statements are believed by management to be reasonable when made, they are subject to certain risks, uncertainties and assumptions, and our actual performance or results may differ materially from these forward-looking statements. Additional information regarding risks, uncertainties and assumptions relating to Innospec and affecting our business operations and prospects are described in Innospec’s Annual Report on Form 10-K for the year ended December 31, 2025, and other reports filed with the U.S. Securities and Exchange Commission ("SEC"). You are urged to review our discussion of risks and uncertainties that could cause actual results to differ from forward-looking statements under the heading “Risk Factors” in such reports. Innospec undertakes no obligation to publicly update or revise any forward-looking statements, whether as a result of new information, future events or otherwise.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 I FINANCIAL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Condensed Consolidated Financial Statements</w:t>
      </w:r>
    </w:p>
    <w:p>
      <w:pPr>
        <w:spacing w:after="0" w:line="206" w:lineRule="exact"/>
        <w:rPr>
          <w:sz w:val="20"/>
          <w:szCs w:val="20"/>
          <w:color w:val="auto"/>
        </w:rPr>
      </w:pPr>
    </w:p>
    <w:p>
      <w:pPr>
        <w:jc w:val="center"/>
        <w:ind w:left="340" w:right="2600"/>
        <w:spacing w:after="0" w:line="248" w:lineRule="auto"/>
        <w:rPr>
          <w:sz w:val="20"/>
          <w:szCs w:val="20"/>
          <w:color w:val="auto"/>
        </w:rPr>
      </w:pPr>
      <w:r>
        <w:rPr>
          <w:rFonts w:ascii="Times New Roman" w:cs="Times New Roman" w:eastAsia="Times New Roman" w:hAnsi="Times New Roman"/>
          <w:sz w:val="22"/>
          <w:szCs w:val="22"/>
          <w:b w:val="1"/>
          <w:bCs w:val="1"/>
          <w:color w:val="auto"/>
        </w:rPr>
        <w:t>INNOSPEC INC. AND SUBSIDIARIES CONDENSED CONSOLIDATED STATEMENTS OF INCOME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220" w:type="dxa"/>
            <w:vAlign w:val="bottom"/>
            <w:vMerge w:val="restart"/>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453.2</w:t>
            </w:r>
          </w:p>
        </w:tc>
        <w:tc>
          <w:tcPr>
            <w:tcW w:w="8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Profit on disposal of property, plant and equipment</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9"/>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Innospec</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8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97"/>
        </w:trPr>
        <w:tc>
          <w:tcPr>
            <w:tcW w:w="69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7"/>
        </w:trPr>
        <w:tc>
          <w:tcPr>
            <w:tcW w:w="69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880" w:type="dxa"/>
            <w:vAlign w:val="bottom"/>
            <w:gridSpan w:val="2"/>
          </w:tcPr>
          <w:p>
            <w:pPr>
              <w:jc w:val="right"/>
              <w:ind w:right="4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4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24,776</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24,970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CFF0FC"/>
            </w:tcBorders>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24,844</w:t>
            </w:r>
          </w:p>
        </w:tc>
        <w:tc>
          <w:tcPr>
            <w:tcW w:w="2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25,102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-2082165</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-950595</wp:posOffset>
            </wp:positionV>
            <wp:extent cx="137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13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-650875</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-633730</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37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accompanying notes are an integral part of these unaudited interim condensed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INNOSPEC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Innospec</w:t>
            </w:r>
          </w:p>
        </w:tc>
        <w:tc>
          <w:tcPr>
            <w:tcW w:w="6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30.4</w:t>
            </w:r>
          </w:p>
        </w:tc>
        <w:tc>
          <w:tcPr>
            <w:tcW w:w="8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before tax</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related to cumulative translation adjustment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income/(expense) related to other comprehensive income</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Innospec</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24.3</w:t>
            </w:r>
          </w:p>
        </w:tc>
        <w:tc>
          <w:tcPr>
            <w:tcW w:w="8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-890905</wp:posOffset>
            </wp:positionV>
            <wp:extent cx="1289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-607695</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-316230</wp:posOffset>
            </wp:positionV>
            <wp:extent cx="128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28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28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INNOSPEC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(Unaudited)</w:t>
      </w:r>
    </w:p>
    <w:tbl>
      <w:tblPr>
        <w:tblLayout w:type="fixed"/>
        <w:tblInd w:w="0" w:type="dxa"/>
        <w:tblCellMar>
          <w:top w:w="0" w:type="dxa"/>
          <w:left w:w="0" w:type="dxa"/>
          <w:bottom w:w="0" w:type="dxa"/>
          <w:right w:w="0" w:type="dxa"/>
        </w:tblCellMar>
      </w:tblPr>
      <w:tr>
        <w:trPr>
          <w:trHeight w:val="131"/>
        </w:trPr>
        <w:tc>
          <w:tcPr>
            <w:tcW w:w="7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right"/>
              <w:ind w:right="49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jc w:val="right"/>
              <w:ind w:right="39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60" w:type="dxa"/>
            <w:vAlign w:val="bottom"/>
            <w:tcBorders>
              <w:bottom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7"/>
              </w:rPr>
              <w:t>Assets</w:t>
            </w:r>
          </w:p>
        </w:tc>
        <w:tc>
          <w:tcPr>
            <w:tcW w:w="7080" w:type="dxa"/>
            <w:vAlign w:val="bottom"/>
            <w:tcBorders>
              <w:bottom w:val="single" w:sz="8" w:color="CFF0FC"/>
            </w:tcBorders>
            <w:gridSpan w:val="2"/>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Trade and other accounts receivable (less allowances of $14.2 million and $11.8 million respectively)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(less allowances of $39.4 million and $40.4 million respectively):</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09"/>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1,004.6</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9"/>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1,819.8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1,832.4</w:t>
            </w:r>
          </w:p>
        </w:tc>
        <w:tc>
          <w:tcPr>
            <w:tcW w:w="0" w:type="dxa"/>
            <w:vAlign w:val="bottom"/>
          </w:tcPr>
          <w:p>
            <w:pPr>
              <w:spacing w:after="0"/>
              <w:rPr>
                <w:sz w:val="1"/>
                <w:szCs w:val="1"/>
                <w:color w:val="auto"/>
              </w:rPr>
            </w:pPr>
          </w:p>
        </w:tc>
      </w:tr>
      <w:tr>
        <w:trPr>
          <w:trHeight w:val="197"/>
        </w:trPr>
        <w:tc>
          <w:tcPr>
            <w:tcW w:w="480" w:type="dxa"/>
            <w:vAlign w:val="bottom"/>
            <w:tcBorders>
              <w:top w:val="single" w:sz="8" w:color="CFF0FC"/>
            </w:tcBorders>
          </w:tcPr>
          <w:p>
            <w:pPr>
              <w:spacing w:after="0"/>
              <w:rPr>
                <w:sz w:val="17"/>
                <w:szCs w:val="17"/>
                <w:color w:val="auto"/>
              </w:rPr>
            </w:pPr>
          </w:p>
        </w:tc>
        <w:tc>
          <w:tcPr>
            <w:tcW w:w="1080" w:type="dxa"/>
            <w:vAlign w:val="bottom"/>
            <w:tcBorders>
              <w:top w:val="single" w:sz="8" w:color="CFF0FC"/>
            </w:tcBorders>
          </w:tcPr>
          <w:p>
            <w:pPr>
              <w:spacing w:after="0"/>
              <w:rPr>
                <w:sz w:val="17"/>
                <w:szCs w:val="17"/>
                <w:color w:val="auto"/>
              </w:rPr>
            </w:pPr>
          </w:p>
        </w:tc>
        <w:tc>
          <w:tcPr>
            <w:tcW w:w="60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6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plant closure provisions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acquisition-related contingent consideration</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Plant closure provisions, net of current portion</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liabilities and post-employment benefits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40,000,000 shares, issued 29,554,500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Treasury stock (4,836,364 and 4,776,918 shares at cost, respectively)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1,129.6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1,099.2</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9"/>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Innospec stockholders’ equity</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1,326.1</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1,352.2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1,332.9</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1,819.8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-5605780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-5048250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-3934460</wp:posOffset>
            </wp:positionV>
            <wp:extent cx="111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-3916680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-1704975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jc w:val="center"/>
        <w:ind w:left="340" w:right="2340"/>
        <w:spacing w:after="0" w:line="248" w:lineRule="auto"/>
        <w:rPr>
          <w:sz w:val="20"/>
          <w:szCs w:val="20"/>
          <w:color w:val="auto"/>
        </w:rPr>
      </w:pPr>
      <w:r>
        <w:rPr>
          <w:rFonts w:ascii="Times New Roman" w:cs="Times New Roman" w:eastAsia="Times New Roman" w:hAnsi="Times New Roman"/>
          <w:sz w:val="22"/>
          <w:szCs w:val="22"/>
          <w:b w:val="1"/>
          <w:bCs w:val="1"/>
          <w:color w:val="auto"/>
        </w:rPr>
        <w:t>INNOSPEC INC. AND SUBSIDIARIES CONDENSED CONSOLIDATED STATEMENTS OF CASH FLOWS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48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Innospec</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98"/>
        </w:trPr>
        <w:tc>
          <w:tcPr>
            <w:tcW w:w="756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attributable to Innospec to net cash provided by operating</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Profit on disposal of property, plant and equipment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Movements on defined benefit pension plans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option compensation</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acquired and divested companies: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Trade and other accounts receivable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7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Plant closure provisions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5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6"/>
        </w:trPr>
        <w:tc>
          <w:tcPr>
            <w:tcW w:w="756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86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on disposal of property, plant and equipment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5"/>
        </w:trPr>
        <w:tc>
          <w:tcPr>
            <w:tcW w:w="7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 of treasury stock</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292.5</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10"/>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289.1</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-2125345</wp:posOffset>
            </wp:positionV>
            <wp:extent cx="111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 w:name="page8"/>
    <w:bookmarkEnd w:id="7"/>
    <w:p>
      <w:pPr>
        <w:jc w:val="center"/>
        <w:spacing w:after="0" w:line="248" w:lineRule="auto"/>
        <w:rPr>
          <w:sz w:val="20"/>
          <w:szCs w:val="20"/>
          <w:color w:val="auto"/>
        </w:rPr>
      </w:pPr>
      <w:r>
        <w:rPr>
          <w:rFonts w:ascii="Times New Roman" w:cs="Times New Roman" w:eastAsia="Times New Roman" w:hAnsi="Times New Roman"/>
          <w:sz w:val="22"/>
          <w:szCs w:val="22"/>
          <w:b w:val="1"/>
          <w:bCs w:val="1"/>
          <w:color w:val="auto"/>
        </w:rPr>
        <w:t>INNOSPEC INC. AND SUBSIDIARIES CONDENSED CONSOLIDATED STATEMENTS OF EQUITY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2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72"/>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52"/>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000" w:type="dxa"/>
            <w:vAlign w:val="bottom"/>
            <w:gridSpan w:val="2"/>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21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2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376.5</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(115.2)</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1,099.2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(34.7)</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1,332.9</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Innospec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Changes in cumulative translation adjustment,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net 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reissued</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repurchased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2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377.3</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(121.4)</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1,129.6</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(40.8)</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1,352.2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33"/>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2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72"/>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52"/>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000" w:type="dxa"/>
            <w:vAlign w:val="bottom"/>
            <w:gridSpan w:val="2"/>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21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2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369.9</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(93.0)</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1,025.0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(91.0)</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1,216.1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Innospec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Changes in cumulative translation adjustment, net of tax</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of net 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Treasury stock reissued</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51"/>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repurchased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tcPr>
          <w:p>
            <w:pPr>
              <w:spacing w:after="0"/>
              <w:rPr>
                <w:sz w:val="14"/>
                <w:szCs w:val="14"/>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370.7</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(96.5)</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1,057.8</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(72.3)</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1,265.7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-1405255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-1405255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-1405255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-1405255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-1405255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-1405255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-128270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-128270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-128270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-128270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-128270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-128270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 w:name="page9"/>
    <w:bookmarkEnd w:id="8"/>
    <w:p>
      <w:pPr>
        <w:ind w:left="3780"/>
        <w:spacing w:after="0"/>
        <w:rPr>
          <w:sz w:val="20"/>
          <w:szCs w:val="20"/>
          <w:color w:val="auto"/>
        </w:rPr>
      </w:pPr>
      <w:r>
        <w:rPr>
          <w:rFonts w:ascii="Times New Roman" w:cs="Times New Roman" w:eastAsia="Times New Roman" w:hAnsi="Times New Roman"/>
          <w:sz w:val="22"/>
          <w:szCs w:val="22"/>
          <w:b w:val="1"/>
          <w:bCs w:val="1"/>
          <w:color w:val="auto"/>
        </w:rPr>
        <w:t>INNOSPEC INC. AND SUBSIDIARIES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NOTES TO THE UNAUDITED INTERIM CONDENSED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1 – BASIS OF PRESENTATION</w:t>
      </w:r>
    </w:p>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accompanying unaudited interim condensed consolidated financial statements have been prepared in accordance with generally accepted accounting principles in the United States of America for interim financial information and with the instructions to Form 10-Q and Article 10 of Regulation S-X under the Securities Exchange Act of 1934. Accordingly, they do not include all the information and notes necessary for a comprehensive presentation of financial position, results of operations and cash flows.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 is our opinion, however, that all adjustments (consisting of normal, recurring adjustments, unless otherwise disclosed) have been made which are necessary for a fair statement of the condensed consolidated financial statements. These condensed consolidated financial statements should be read in conjunction with the consolidated financial statements and notes thereto included in the Company’s Annual Report on Form 10-K for the year ended December 31, 2025, filed on February 18, 2026 (the “2025 Form 10-K”).</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results for the interim period covered by this report are not necessarily indicative of the results to be expected for the full year.</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When we use the terms “Innospec,” “the Corporation,” “the Company,” “Registrant,” “the Group,” “we,” “us” and “our,” we are referring to Innospec Inc. and its consolidated subsidiaries unless otherwise indicated or the context otherwise requires.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2 – SEGMENT REPORTING</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reports its financial performance based on three reportable segments, which are Performance Chemicals, Fuel Specialties and Oilfield Services.</w:t>
      </w:r>
    </w:p>
    <w:p>
      <w:pPr>
        <w:spacing w:after="0" w:line="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Chief Operating Decision Maker (“CODM”) is the President and Chief Executive Officer (the Principal Executive Officer). The CODM evaluates the performance of the Company’s segments and makes strategic decisions relating to the Company's allocation of resources, based on the segments' gross profit and operating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The following table analyzes sales and other financial information by the Company’s reportable segments: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vMerge w:val="restart"/>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97.1</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Home Care</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10"/>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Refinery and Performance</w:t>
            </w: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453.2</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0"/>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123.5</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196"/>
        </w:trPr>
        <w:tc>
          <w:tcPr>
            <w:tcW w:w="694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income/(loss):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on disposal of property, plant and equipment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36.5</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-2596515</wp:posOffset>
            </wp:positionV>
            <wp:extent cx="102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-2313940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-2022475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-1156335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-1139190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difference between net sales and gross profit is defined as cost of goods sold. The difference between segmental gross profit and operating income/(expense) is split between selling, general and administrative expenses and research and development expenses.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cost of goods sold by the Company’s reportable segments: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 Chemicals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141.0</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Fuel Specialties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117.3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Oilfield Services</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71.4</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goods sold</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329.7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-161925</wp:posOffset>
            </wp:positionV>
            <wp:extent cx="939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selling, general and administrative expenses and research and development expenses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reportable segments: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 Chemicals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17.7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Fuel Specialties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Oilfield Services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25.2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selling, general and administrative expenses and research and development expenses</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91.7</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93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93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i w:val="1"/>
          <w:iCs w:val="1"/>
          <w:color w:val="auto"/>
        </w:rPr>
        <w:t>NOTE 3 – EARNINGS PER SHARE</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Basic earnings per share is based on the weighted average number of common shares outstanding during the period. Diluted earnings per share includes the effect of options that are dilutive and outstanding during the period under the treasury stock method. Per share amounts are computed as follows:</w:t>
      </w:r>
    </w:p>
    <w:p>
      <w:pPr>
        <w:spacing w:after="0" w:line="17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 (in millions):</w:t>
            </w:r>
          </w:p>
        </w:tc>
        <w:tc>
          <w:tcPr>
            <w:tcW w:w="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Innospec</w:t>
            </w:r>
          </w:p>
        </w:tc>
        <w:tc>
          <w:tcPr>
            <w:tcW w:w="86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 (in thousands):</w:t>
            </w: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24,776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24,970</w:t>
            </w: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stock options and awards</w:t>
            </w:r>
          </w:p>
        </w:tc>
        <w:tc>
          <w:tcPr>
            <w:tcW w:w="8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24,844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25,102</w:t>
            </w:r>
          </w:p>
        </w:tc>
      </w:tr>
      <w:tr>
        <w:trPr>
          <w:trHeight w:val="20"/>
        </w:trPr>
        <w:tc>
          <w:tcPr>
            <w:tcW w:w="6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6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 basic:</w:t>
            </w:r>
          </w:p>
        </w:tc>
        <w:tc>
          <w:tcPr>
            <w:tcW w:w="8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48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69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 diluted:</w:t>
            </w:r>
          </w:p>
        </w:tc>
        <w:tc>
          <w:tcPr>
            <w:tcW w:w="86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4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-496570</wp:posOffset>
            </wp:positionV>
            <wp:extent cx="102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In the three months ended March 31, 2026, the average number of anti-dilutive options excluded from the calculation of diluted earnings per share were 23,519 (three months ended March 31, 2025– 10,342).</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4 – GOODWILL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goodwill movements in the year:</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Opening balance at January 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Performance Chemicals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Fuel Specialties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balance at March 31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5 – OTHER INTANGIBLE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analyzes other intangible assets movements in the year:</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cost at January 1</w:t>
            </w: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373.3</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Gross cost at March 31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376.3</w:t>
            </w:r>
          </w:p>
        </w:tc>
      </w:tr>
      <w:tr>
        <w:trPr>
          <w:trHeight w:val="210"/>
        </w:trPr>
        <w:tc>
          <w:tcPr>
            <w:tcW w:w="20" w:type="dxa"/>
            <w:vAlign w:val="bottom"/>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at January 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 at March 31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book amount at March 31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68.9</w:t>
            </w:r>
          </w:p>
        </w:tc>
      </w:tr>
    </w:tbl>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amortization expense for the three months ended March 31, 2026 was $2.6 million (three months ended March 31, 2025 – $2.7 million).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1" w:name="page12"/>
    <w:bookmarkEnd w:id="11"/>
    <w:p>
      <w:pPr>
        <w:jc w:val="both"/>
        <w:spacing w:after="0" w:line="239" w:lineRule="auto"/>
        <w:rPr>
          <w:sz w:val="20"/>
          <w:szCs w:val="20"/>
          <w:color w:val="auto"/>
        </w:rPr>
      </w:pPr>
      <w:r>
        <w:rPr>
          <w:rFonts w:ascii="Times New Roman" w:cs="Times New Roman" w:eastAsia="Times New Roman" w:hAnsi="Times New Roman"/>
          <w:sz w:val="22"/>
          <w:szCs w:val="22"/>
          <w:color w:val="auto"/>
        </w:rPr>
        <w:t>In 2026, we have capitalized $5.1 million in relation to the development of our internal-use software for a new Enterprise Resource Planning (“ERP”) system across all our regions. The project is now substantially complete. The expenses capitalized include the acquisition costs for the software as well as the external consultancy costs and the internal employee costs relating to software development.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6 – PENSION AND POST EMPLOYMENT BENEFITS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maintains an unfunded defined benefit pension plan covering certain current and former employees in Germany (the “German plan”). The German plan is closed to new entrants and has no assets. As at March 31, 2026, we have recorded a liability of $9.1 million (December 31, 2025 $9.4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net periodic benefit/(cost) is shown in the following table: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8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credit/(cost)</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benefit/(cost)</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146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46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prior year includes a service cost related to the now closed United Kingdom defined benefit pension scheme. The service cost has been recognized in selling, general and administrative expenses. All other items have been recognized within other income and expense.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we have obligations for post-employment benefits in some of our other European businesses. As at March 31, 2026, we have recorded a liability of $3.7 million (December 31, 2025 $3.8 million).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i w:val="1"/>
          <w:iCs w:val="1"/>
          <w:color w:val="auto"/>
        </w:rPr>
        <w:t>NOTE 7 – INCOME TAXES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January 1, 2026, the Company had no unrecognized tax benefits, and there has been no change in unrecognized tax benefits during the three months ended March 31, 2026. Accordingly, there was no accrual for uncertain tax positions as of March 31, 2026, and the Company recorded no associated interest or penalties. The Company does not expect any significant changes to this position over the next twelve months.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March 31, 2026, the Company and its U.S. subsidiaries remain open to examination by the IRS for years 2022 onwards under the statute of limitations. The Company’s subsidiaries in foreign tax jurisdictions are open to examination including Brazil (2021 onwards), Germany (2021 onwards), and the U.K. (2024 onwards).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8 – LONG-TERM DEBT</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March 31, 2026, and December 31, 2025, the Company had not drawn down on its revolving credit facility. During the three months ended March 31, 2026 and 2025, the Company did not draw down or repay any borrowing on its revolving credit facility.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continues to have available a $250.0 million multicurrency revolving credit facility until May 30, 2028.</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i w:val="1"/>
          <w:iCs w:val="1"/>
          <w:color w:val="auto"/>
        </w:rPr>
        <w:t>NOTE 9 – PLANT CLOSURE PROVISIONS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Company has continuing plans to remediate manufacturing facilities at sites around the world as and when those operations are expected to cease, or we are required to decommission the sites according to local laws and regulations. The liability for the estimated plant closure costs includes costs for asset retirement obligations and environmental remediation liabilities.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principal site giving rise to asset retirement obligations is the manufacturing site at Ellesmere Port in the U.K.. There are also asset retirement obligations and environmental remediation liabilities in respect of our other manufacturing sites, which are relatively insignificant.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Movements in the provisions are summarized as follows:</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January 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Charge for the period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Utilized in the period</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March 31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one year</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right="260"/>
        <w:spacing w:after="0" w:line="239" w:lineRule="auto"/>
        <w:rPr>
          <w:sz w:val="20"/>
          <w:szCs w:val="20"/>
          <w:color w:val="auto"/>
        </w:rPr>
      </w:pPr>
      <w:r>
        <w:rPr>
          <w:rFonts w:ascii="Times New Roman" w:cs="Times New Roman" w:eastAsia="Times New Roman" w:hAnsi="Times New Roman"/>
          <w:sz w:val="22"/>
          <w:szCs w:val="22"/>
          <w:color w:val="auto"/>
        </w:rPr>
        <w:t>The charge for the three months ended March 31, 2026, was $2.3 million (three months ended March 31, 2025 $0.8 million). The current year charge represents the accounting accretion and a $1.4 million increase to the provisions for legacy operations in the United Kingdom. Amounts due within one year refer to provisions where expenditure is expected to arise within one year of the balance sheet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i w:val="1"/>
          <w:iCs w:val="1"/>
          <w:color w:val="auto"/>
        </w:rPr>
        <w:t>NOTE 10 – FAIR VALUE MEASUREMENTS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presents the carrying amount and fair values of the Company’s financial assets and liabilities measured on a recurring basis: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9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bottom w:val="single" w:sz="8" w:color="auto"/>
            </w:tcBorders>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17"/>
        </w:trPr>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940" w:type="dxa"/>
            <w:vAlign w:val="bottom"/>
            <w:gridSpan w:val="3"/>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980" w:type="dxa"/>
            <w:vAlign w:val="bottom"/>
          </w:tcPr>
          <w:p>
            <w:pPr>
              <w:jc w:val="right"/>
              <w:ind w:right="53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420" w:type="dxa"/>
            <w:vAlign w:val="bottom"/>
          </w:tcPr>
          <w:p>
            <w:pPr>
              <w:jc w:val="right"/>
              <w:ind w:right="41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0"/>
                <w:szCs w:val="10"/>
                <w:color w:val="auto"/>
              </w:rPr>
            </w:pPr>
          </w:p>
        </w:tc>
        <w:tc>
          <w:tcPr>
            <w:tcW w:w="1460" w:type="dxa"/>
            <w:vAlign w:val="bottom"/>
          </w:tcPr>
          <w:p>
            <w:pPr>
              <w:jc w:val="right"/>
              <w:ind w:right="591"/>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3640" w:type="dxa"/>
            <w:vAlign w:val="bottom"/>
            <w:tcBorders>
              <w:bottom w:val="single" w:sz="8" w:color="CFF0FC"/>
            </w:tcBorders>
            <w:gridSpan w:val="2"/>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top w:val="single" w:sz="8" w:color="auto"/>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Derivatives (Level 1 measurement):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Emissions Trading Scheme credits</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15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12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14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4.2</w:t>
            </w:r>
          </w:p>
        </w:tc>
        <w:tc>
          <w:tcPr>
            <w:tcW w:w="1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540" w:type="dxa"/>
            <w:vAlign w:val="bottom"/>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r>
      <w:tr>
        <w:trPr>
          <w:trHeight w:val="176"/>
        </w:trPr>
        <w:tc>
          <w:tcPr>
            <w:tcW w:w="41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4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Non-financial liabilities (Level 3 measurement):</w:t>
            </w: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34"/>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w:t>
            </w:r>
          </w:p>
        </w:tc>
        <w:tc>
          <w:tcPr>
            <w:tcW w:w="1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5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8.3</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methods and assumptions were used to estimate the fair values: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Emissions Trading Scheme credits: </w:t>
      </w:r>
      <w:r>
        <w:rPr>
          <w:rFonts w:ascii="Times New Roman" w:cs="Times New Roman" w:eastAsia="Times New Roman" w:hAnsi="Times New Roman"/>
          <w:sz w:val="22"/>
          <w:szCs w:val="22"/>
          <w:color w:val="auto"/>
        </w:rPr>
        <w:t>The fair value is determined by the open market pricing at the end of the reporting period.</w:t>
      </w:r>
    </w:p>
    <w:p>
      <w:pPr>
        <w:spacing w:after="0" w:line="206" w:lineRule="exact"/>
        <w:rPr>
          <w:sz w:val="20"/>
          <w:szCs w:val="20"/>
          <w:color w:val="auto"/>
        </w:rPr>
      </w:pPr>
    </w:p>
    <w:p>
      <w:pPr>
        <w:jc w:val="both"/>
        <w:ind w:right="2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Foreign currency forward exchange contracts: </w:t>
      </w:r>
      <w:r>
        <w:rPr>
          <w:rFonts w:ascii="Times New Roman" w:cs="Times New Roman" w:eastAsia="Times New Roman" w:hAnsi="Times New Roman"/>
          <w:sz w:val="22"/>
          <w:szCs w:val="22"/>
          <w:color w:val="auto"/>
        </w:rPr>
        <w:t>The fair value of derivatives relating to foreign currency forward exchange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are derived from current settlement prices and comparable contracts using current assumptions. Foreign currency forward exchange contracts primarily relate to contracts entered into to hedge future known transactions or hedge balance sheet net cash positions. The movements in the carrying amounts and fair values of these contracts are largely due to changes in exchange rates against the U.S. dollar.</w:t>
      </w:r>
    </w:p>
    <w:p>
      <w:pPr>
        <w:spacing w:after="0" w:line="177" w:lineRule="exact"/>
        <w:rPr>
          <w:sz w:val="20"/>
          <w:szCs w:val="20"/>
          <w:color w:val="auto"/>
        </w:rPr>
      </w:pPr>
    </w:p>
    <w:p>
      <w:pPr>
        <w:jc w:val="both"/>
        <w:ind w:right="260"/>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Acquisition-related contingent consideration: </w:t>
      </w:r>
      <w:r>
        <w:rPr>
          <w:rFonts w:ascii="Times New Roman" w:cs="Times New Roman" w:eastAsia="Times New Roman" w:hAnsi="Times New Roman"/>
          <w:sz w:val="22"/>
          <w:szCs w:val="22"/>
          <w:color w:val="auto"/>
        </w:rPr>
        <w:t>Contingent consideration payable in cash is discounted to its fair value at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balance sheet date. Where contingent consideration is dependent upon pre-determined financial targets, an estimate of the fair value of the likely consideration payable is made at each balance sheet date. The contingent consideration payable has been calculated based on the latest forecast. The movement in the current year relates to a $4.9 million reduction in the fair value of the expected payable relating to the acquisition of QGP Química Geral (“QGP”), partially offset by an accretion charge of $0.2 million and the impact of foreign exchange of $0.4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11 – DERIVATIVE INSTRUMENTS AND RISK MANAGEMENT</w:t>
      </w:r>
    </w:p>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enters into various foreign currency forward exchange contracts to minimize currency exchange rate exposure from expected future cash flows. As at March 31, 2026, the contracts have maturity dates of up to two years at the date of inception. These foreign currency forward exchange contracts have not been designated as hedging instruments, and their impact on the income statement for the three months ended March 31, 2026 was a gain of $1.9 million (three months ended March 31, 2025 a loss of $2.3 million). The gain or loss has been recorded in other income or expense.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i w:val="1"/>
          <w:iCs w:val="1"/>
          <w:color w:val="auto"/>
        </w:rPr>
        <w:t>NOTE 12 –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al matters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are involved from time to time in claims and legal proceedings that result from, and are incidental to, the conduct of our business including business and commercial litigation, and employee and product liability claims.</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reported in our Annual Report on Form 10-K for the year ended December 31, 2023 (the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spacing w:after="0" w:line="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Guarantees</w:t>
      </w:r>
    </w:p>
    <w:p>
      <w:pPr>
        <w:spacing w:after="0" w:line="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and certain of the Company’s consolidated subsidiaries are contingently liable for certain obligations of affiliated companies primarily in the form of guarantees of debt and performance under contracts entered into as a normal business practice. This includes guarantees of non-U.S. excise taxes and customs duties. As at March 31, 2026, such guarantees, which are not recognized as liabilities in the condensed consolidated financial statements, amounted to $6.1 million (December 31, 2025 $6.0 million). The remaining terms of the fixed maturity guarantees are up to 7 years, with some further guarantees having no fixed expiry date.</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the terms of the guarantee arrangements, generally the Company would be required to perform the obligations should the affiliated company fail to fulfill its obligations under the arrangements. In some cases, the guarantee arrangements have recourse provisions that would enable the Company to recover any payments made under the terms of the guarantees from securities held of the guaranteed parties’ assets.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and its affiliates have numerous long-term sales and purchase commitments in their various business activities, which are expected to be fulfilled with no adverse consequences material to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i w:val="1"/>
          <w:iCs w:val="1"/>
          <w:color w:val="auto"/>
        </w:rPr>
        <w:t>NOTE 13 – STOCK-BASED COMPENSATION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transactions of the Company’s share-based compensation for 2026 and 2025:</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9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0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Stock equivalent units</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163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transactions of the Company’s share-based compensation plans for the three months ended March 31, 2026.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431,297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207,459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503,156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awards granted with market conditions, a Monte Carlo model has been used to calculate the grant-date fair value. For all other awards granted, a fair market value methodology has been used to calculate the grant-date fair value.</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awards granted with market and non-market conditions include performance measures that can result in a maximum 200% vesting for the number of stock options granted. The predicted vesting has been reflected in the grant-date fair value calculation, but has not been reflected for the number of awards granted, as shown in the table above.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March 31, 2026, there was $28.3 million of total unrecognized compensation cost related to nonvested share-based compensation arrangements. That cost is expected to be recognized over a weighted-average period of 2.3 years.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NOTE 14 – RECLASSIFICATIONS OUT OF ACCUMULATED OTHER COMPREHENSIVE LOSS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were no reclassifications out of accumulated other comprehensive loss (“AOCL”) for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Changes in AOCL for the three months ended March 31, 2026, net of tax, were: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98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0.9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12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7"/>
              </w:rPr>
              <w:t>0.9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-599440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-599440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-316865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-316865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reclassifications out of AOCL for the three months ended March 31,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Changes in AOCL for the three months ended March 31, 2025, net of tax, were:</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Cumulative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880" w:type="dxa"/>
            <w:vAlign w:val="bottom"/>
          </w:tcPr>
          <w:p>
            <w:pPr>
              <w:jc w:val="center"/>
              <w:ind w:left="12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income/(loss)</w:t>
            </w: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-599440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-599440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-316865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-316865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15 – RECENTLY ISSUED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have been no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 16 – RELATED PARTY TRANSACTIONS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Mr. David F. Landless has been a non-executive director of the Company since January 1, 2016 and is a non-executive director of Ausurus Group Limited which owns European Metal Recycling Limited (“EMR”) which from time to time purchases scrap metal from the Company. The Company has sold less than $0.1 million of scrap metal to EMR in the three months ended March 31, 2026 (three months ended March 31, 2025 nil). A tendering process is operated periodically to select the best buyer for the sale of scrap metal by the Company. As at March 31, 2026, EMR owed nil for scrap metal purchased from the Company (December 31, 2025 nil).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8" w:name="page19"/>
    <w:bookmarkEnd w:id="18"/>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 for the Three Months Ended March 31, 2026</w:t>
      </w:r>
    </w:p>
    <w:p>
      <w:pPr>
        <w:spacing w:after="0" w:line="4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discussion should be read in conjunction with our unaudited interim condensed consolidated financial statements and the notes thereto.</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CRITICAL ACCOUNTING ESTIMATES</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policies and estimates that the Company considers the most critical in terms of complexity and subjectivity of assessment are those related to plant closure provisions, goodwill, other intangible assets and property, plant and equipment. These policies have been discussed in the Company’s 2025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RESULTS OF OPERATIONS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reports its financial performance based on three reportable segments, which are Performance Chemicals, Fuel Specialties and Oilfield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sales, gross profit and operating income by reporting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36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169.4</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1"/>
                <w:szCs w:val="21"/>
                <w:color w:val="auto"/>
              </w:rPr>
            </w:pPr>
          </w:p>
        </w:tc>
        <w:tc>
          <w:tcPr>
            <w:tcW w:w="2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453.2</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4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9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123.5</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income/(loss):</w:t>
            </w:r>
          </w:p>
        </w:tc>
        <w:tc>
          <w:tcPr>
            <w:tcW w:w="2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2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on disposal of property, plant and equipment</w:t>
            </w:r>
          </w:p>
        </w:tc>
        <w:tc>
          <w:tcPr>
            <w:tcW w:w="2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2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36.5</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2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-2785110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-2767965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-2211070</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-1079500</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Three Months Ended March 31, 2026</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shows the changes in sales, gross profit and operating expenses by reporting segment for the three months ended March 31, 2026, and the three months ended March 31, 2025:</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1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7"/>
        </w:trPr>
        <w:tc>
          <w:tcPr>
            <w:tcW w:w="524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tcBorders>
              <w:bottom w:val="single" w:sz="8" w:color="CFF0FC"/>
            </w:tcBorders>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margin (%):</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16.8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-4.2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35.4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35.7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-0.3</w:t>
            </w: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i w:val="1"/>
                <w:iCs w:val="1"/>
                <w:color w:val="auto"/>
              </w:rPr>
              <w:t>30.1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i w:val="1"/>
                <w:iCs w:val="1"/>
                <w:color w:val="auto"/>
              </w:rPr>
              <w:t>28.4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i w:val="1"/>
                <w:iCs w:val="1"/>
                <w:color w:val="auto"/>
              </w:rPr>
              <w:t>+1.7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i w:val="1"/>
                <w:iCs w:val="1"/>
                <w:color w:val="auto"/>
              </w:rPr>
              <w:t>27.3</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i w:val="1"/>
                <w:iCs w:val="1"/>
                <w:color w:val="auto"/>
              </w:rPr>
              <w:t>28.4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i w:val="1"/>
                <w:iCs w:val="1"/>
                <w:color w:val="auto"/>
              </w:rPr>
              <w:t>-1.1</w:t>
            </w: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Chemicals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Fuel Specialties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costs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on disposal of property, plant and equipment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-2562225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-2545080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-2562225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-2545080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-2562225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-2545080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-1988185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-1988185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Chemicals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 spread across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markets in which we operate:</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16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Americas</w:t>
            </w:r>
          </w:p>
        </w:tc>
        <w:tc>
          <w:tcPr>
            <w:tcW w:w="100" w:type="dxa"/>
            <w:vAlign w:val="bottom"/>
          </w:tcPr>
          <w:p>
            <w:pPr>
              <w:spacing w:after="0"/>
              <w:rPr>
                <w:sz w:val="12"/>
                <w:szCs w:val="12"/>
                <w:color w:val="auto"/>
              </w:rPr>
            </w:pPr>
          </w:p>
        </w:tc>
        <w:tc>
          <w:tcPr>
            <w:tcW w:w="16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100" w:type="dxa"/>
            <w:vAlign w:val="bottom"/>
          </w:tcPr>
          <w:p>
            <w:pPr>
              <w:spacing w:after="0"/>
              <w:rPr>
                <w:sz w:val="12"/>
                <w:szCs w:val="12"/>
                <w:color w:val="auto"/>
              </w:rPr>
            </w:pPr>
          </w:p>
        </w:tc>
        <w:tc>
          <w:tcPr>
            <w:tcW w:w="162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ASPAC</w:t>
            </w:r>
          </w:p>
        </w:tc>
        <w:tc>
          <w:tcPr>
            <w:tcW w:w="100" w:type="dxa"/>
            <w:vAlign w:val="bottom"/>
          </w:tcPr>
          <w:p>
            <w:pPr>
              <w:spacing w:after="0"/>
              <w:rPr>
                <w:sz w:val="12"/>
                <w:szCs w:val="12"/>
                <w:color w:val="auto"/>
              </w:rPr>
            </w:pPr>
          </w:p>
        </w:tc>
        <w:tc>
          <w:tcPr>
            <w:tcW w:w="1640" w:type="dxa"/>
            <w:vAlign w:val="bottom"/>
            <w:tcBorders>
              <w:bottom w:val="single" w:sz="8" w:color="auto"/>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Price and product mix</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rates</w:t>
            </w: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Volumes for the Americas were lower due to reduced demand for our personal care products, partly offset by a favorable price and product mix due to pricing improvements. Volumes in EMEA were lower, combined with an adverse price and product mix driven by higher demand for lower priced products. ASPAC volumes were lower driven by decreased demand for our personal care products, slightly offset by a favorable price and product mix. EMEA and ASPAC benefited from favorable foreign currency exchange rate movements.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decrease of 4.2 percentage points was primarily due to an adverse sales mix, together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negative manufacturing variances in North America due to lower production volumes following severe weather conditions at the start of the quarter.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0" w:name="page21"/>
    <w:bookmarkEnd w:id="20"/>
    <w:p>
      <w:pPr>
        <w:jc w:val="both"/>
        <w:ind w:right="2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increase of $2.2 million year over year was primarily due to adverse movements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for doubtful debts driven by our aged debtor accounting policy, together with increased research and development expenses.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Fuel Specialties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the table below details the components which comprise the year over year change in net sales spread across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markets in which we operate:</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16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2"/>
                <w:szCs w:val="12"/>
                <w:color w:val="auto"/>
              </w:rPr>
            </w:pPr>
          </w:p>
        </w:tc>
        <w:tc>
          <w:tcPr>
            <w:tcW w:w="78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EMEA</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tcPr>
          <w:p>
            <w:pPr>
              <w:jc w:val="center"/>
              <w:ind w:left="168"/>
              <w:spacing w:after="0" w:line="142" w:lineRule="exact"/>
              <w:rPr>
                <w:sz w:val="20"/>
                <w:szCs w:val="20"/>
                <w:color w:val="auto"/>
              </w:rPr>
            </w:pPr>
            <w:r>
              <w:rPr>
                <w:rFonts w:ascii="Times New Roman" w:cs="Times New Roman" w:eastAsia="Times New Roman" w:hAnsi="Times New Roman"/>
                <w:sz w:val="14"/>
                <w:szCs w:val="14"/>
                <w:b w:val="1"/>
                <w:bCs w:val="1"/>
                <w:color w:val="auto"/>
              </w:rPr>
              <w:t>ASPAC</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AvGas</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Price and product mix</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+30</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+23</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volumes in all our regions increased year over year due to increased demand from customers. All our regions were impacted by an adverse price and product mix due to higher sales of lower priced products. AvGas volumes were lower than the prior year due to variations in the demand from customers, being offset by a favorable customer mix. EMEA and ASPAC benefited from favorable foreign currency exchange rate movements.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Gross margin</w:t>
      </w:r>
      <w:r>
        <w:rPr>
          <w:rFonts w:ascii="Times New Roman" w:cs="Times New Roman" w:eastAsia="Times New Roman" w:hAnsi="Times New Roman"/>
          <w:sz w:val="22"/>
          <w:szCs w:val="22"/>
          <w:color w:val="auto"/>
        </w:rPr>
        <w:t>: the year over year decrease of 0.3 percentage points was due to an adverse sales mix from increased sales of lower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products.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increase of $2.6 million was primarily due to adverse movements to the provisions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doubtful debts driven by our aged debtor accounting policy, together with increased administrative expenses.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Oilfield Services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Net sales: </w:t>
      </w:r>
      <w:r>
        <w:rPr>
          <w:rFonts w:ascii="Times New Roman" w:cs="Times New Roman" w:eastAsia="Times New Roman" w:hAnsi="Times New Roman"/>
          <w:sz w:val="22"/>
          <w:szCs w:val="22"/>
          <w:color w:val="auto"/>
        </w:rPr>
        <w:t>have increased year over year by $0.1 million. Sales in the Americas were higher year over year, being partly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outweighed by lower sales in EMEA. The majority of our customer activity is concentrated in the Americas region.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Gross margin: </w:t>
      </w:r>
      <w:r>
        <w:rPr>
          <w:rFonts w:ascii="Times New Roman" w:cs="Times New Roman" w:eastAsia="Times New Roman" w:hAnsi="Times New Roman"/>
          <w:sz w:val="22"/>
          <w:szCs w:val="22"/>
          <w:color w:val="auto"/>
        </w:rPr>
        <w:t>the year over year increase of 1.7 percentage points was due to a favorable sales mix.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Operating expenses: </w:t>
      </w:r>
      <w:r>
        <w:rPr>
          <w:rFonts w:ascii="Times New Roman" w:cs="Times New Roman" w:eastAsia="Times New Roman" w:hAnsi="Times New Roman"/>
          <w:sz w:val="22"/>
          <w:szCs w:val="22"/>
          <w:color w:val="auto"/>
        </w:rPr>
        <w:t>the year over year increase of $0.3 million was primarily due to higher selling expenses.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Statement Captions</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Corporate costs: </w:t>
      </w:r>
      <w:r>
        <w:rPr>
          <w:rFonts w:ascii="Times New Roman" w:cs="Times New Roman" w:eastAsia="Times New Roman" w:hAnsi="Times New Roman"/>
          <w:sz w:val="22"/>
          <w:szCs w:val="22"/>
          <w:color w:val="auto"/>
        </w:rPr>
        <w:t>the year over year increase of $4.6 million was primarily due to higher legacy costs of closed operations,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revaluation for the U.K. emissions trading scheme carbon credits, higher legal and compliance expenses and additional amortization for the new ERP system.</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Adjustment to fair value of contingent consideration: </w:t>
      </w:r>
      <w:r>
        <w:rPr>
          <w:rFonts w:ascii="Times New Roman" w:cs="Times New Roman" w:eastAsia="Times New Roman" w:hAnsi="Times New Roman"/>
          <w:sz w:val="22"/>
          <w:szCs w:val="22"/>
          <w:color w:val="auto"/>
        </w:rPr>
        <w:t>is a credit in the current year of $4.7 million compared to an expense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year of $0.7 million. The adjustment relates to the acquisition of QGP within our Performance Chemicals segment. See Note 10 of the Notes to the Condensed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i w:val="1"/>
          <w:iCs w:val="1"/>
          <w:color w:val="auto"/>
        </w:rPr>
        <w:t xml:space="preserve">Other net income/(expense): </w:t>
      </w:r>
      <w:r>
        <w:rPr>
          <w:rFonts w:ascii="Times New Roman" w:cs="Times New Roman" w:eastAsia="Times New Roman" w:hAnsi="Times New Roman"/>
          <w:sz w:val="22"/>
          <w:szCs w:val="22"/>
          <w:color w:val="auto"/>
        </w:rPr>
        <w:t>for the three months ended March 31, 2026 and 2025, included the following:</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pension credit/(cost)</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gains/(losses) on translation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 gains/(losses)</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50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-170815</wp:posOffset>
            </wp:positionV>
            <wp:extent cx="102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Interest income/(expense), net: </w:t>
      </w:r>
      <w:r>
        <w:rPr>
          <w:rFonts w:ascii="Times New Roman" w:cs="Times New Roman" w:eastAsia="Times New Roman" w:hAnsi="Times New Roman"/>
          <w:sz w:val="21"/>
          <w:szCs w:val="21"/>
          <w:color w:val="auto"/>
        </w:rPr>
        <w:t>in the three months ended March 31, 2026 was $0.8 million of income compared to $2.4 million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income in the three months ended March 31, 2025, driven by lower interest rates and lower cash balances in the current year.</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Income taxes: </w:t>
      </w:r>
      <w:r>
        <w:rPr>
          <w:rFonts w:ascii="Times New Roman" w:cs="Times New Roman" w:eastAsia="Times New Roman" w:hAnsi="Times New Roman"/>
          <w:sz w:val="22"/>
          <w:szCs w:val="22"/>
          <w:color w:val="auto"/>
        </w:rPr>
        <w:t>the effective tax rate was 22.8% and 25.7% in the first quarter of 2026 and 2025, respectively. The adjusted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effective tax rate, once adjusted for the items set out in the following table, was 22.9% in 2026 compared with 24.0% in 2025. The 1.1% decrease in the adjusted effective rate was primarily due to the fact that a higher proportion of the Company’s profits are being generated in lower tax jurisdictions. The Company believes that this adjusted effective tax rate, a non-GAAP financial measure, provides useful information to investors and may assist them in evaluating the Company’s underlying performance and identifying operating trends. In addition, management uses this non-GAAP financial measure internally to evaluate the performance of the Company’s operations and for planning and forecasting in subsequent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shows a reconciliation of the GAAP effective tax charge to the adjusted effective tax charge: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39.9</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45.2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stock compensation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fair value of contingent consideration</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Legacy costs of closed operations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168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680" w:type="dxa"/>
            <w:vAlign w:val="bottom"/>
            <w:gridSpan w:val="2"/>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4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on stock compensation</w:t>
            </w: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Tax on adjustment to fair value of contingent consideration</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on legacy cost of closed operations</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1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GAAP effective tax rate</w:t>
            </w: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-2065020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-2047875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-1490980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LIQUIDITY AND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Working Capital</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In the three months ended March 31, 2026 our working capital increased by $19.8 million, while our adjusted working capital increased by $20.1 million. The difference is primarily due to the exclusion of the movements for cash and cash equivalents together with the changes for taxes, being partly offset by the change in the value of acquisition-related contingent consideration.</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believes that adjusted working capital, a non-GAAP financial measure (defined by the Company as trade and other accounts receivable, inventories, prepaid expenses, accounts payable and accrued liabilities rather than total current assets less total current liabilities) provides useful information to investors in evaluating the Company’s underlying performance and identifying operating trends. Management uses this non-GAAP financial measure internally to allocate resources and evaluate the performance of the Company’s operations. Items excluded from working capital in the adjusted working capital calculation are listed in the table below and represent factors which do not fluctuate in line with the day to day working capital needs of the business.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999.1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664.3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prepaid income taxes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other 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 accrued income taxes</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back current portion of plant closure provisions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back current portion of acquisition-related contingent consideration</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back current portion of operating lease liabilities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working capital</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384.8</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had a $11.9 million increase in trade and other accounts receivable, including a $2.4 million increase in allowances, which was primarily due to increased sales for our Fuel Specialties and Oilfield Services segments. Days’ sales outstanding decreased in our Performance Chemicals segment from 72 days to 66 days; increased from 57 days to 59 days in our Fuel Specialties segment; and increased from 64 days to 68 days in our Oilfield Services segment.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had a $7.8 million decrease in inventories, including a $1.0 million decrease in allowances, which was driven by lower levels of raw materials in our Performance Chemicals and Fuel Specialties segments. The Company continues to maintain inventory levels necessary to manage the risk of potential supply chain disruption for certain key raw materials, especially in our Fuel Specialties segment. Days’ sales in inventory in our Performance Chemicals segment decreased from 65 days to 58 days; decreased from 184 days to 132 days in our Fuel Specialties segment; and decreased from 83 days to 64 days in our Oilfield Services segment.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Prepaid expenses decreased $3.2 million, from $20.1 million to $16.9 million, primarily due to the cyclical expensing of prepaid invoices.</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had a $19.2 million decrease in accounts payable and accrued liabilities, which was dependent on the timing of payments for each of our reporting segments. Creditor days (including goods received not invoiced) have decreased in our Performance Chemicals segment from 50 days to 47 days; decreased from 58 days to 52 days in our Fuel Specialties segment; and increased from 46 days to 47 days in our Oilfield Services segment. The changes for creditor days are impacted by the timing of sales and cost of sales in the quarter, when using a countback methodology.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3" w:name="page24"/>
    <w:bookmarkEnd w:id="23"/>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Cash Flows</w:t>
      </w:r>
    </w:p>
    <w:p>
      <w:pPr>
        <w:spacing w:after="0" w:line="1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generated cash from operating activities of $17.6 million in the three months ended March 31, 2026 compared to $28.3 million in the three months ended March 31, 2025. The decrease in cash generated from operating activities was primarily related to decreased operating income after adjusting for the changes to the fair value of contingent consideration, together with the timing of income tax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At March 31, 2026 and December 31, 2025, we had cash and cash equivalents of $289.1 million and $292.5 million, respectively, of which $120.6 million and $145.4 million, respectively, were held by non-U.S. subsidiaries principally in the United Kingdom.</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decrease in cash and cash equivalents of $3.4 million for the three months ended March 31, 2026 was primarily driven by our continued investments in capital projects, payments for our new ERP system implementation and the repurchases of our common stock, being partly offset by the cash generated from operating activities.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continue to have available a $250.0 million multicurrency revolving credit facility.</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At March 31, 2026, and December 31, 2025, we had no debt outstanding under the revolving credit facility and no obligations were outstanding under finance leases. See Note 8 of the Notes to the Condensed Consolidated Financial Statements for additional information.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uses floating rate debt to finance its global operations. The Company is subject to business risks inherent in non-U.S. activities, including political and economic uncertainty, import and export limitations, and market risk related to changes in interest rates and foreign currency exchange rates. The political and economic risks are mitigated by the stability of the major countries in which the Company’s largest operations are located. Credit limits, ongoing credit evaluation and account monitoring procedures are used to minimize bad debt risk. Collateral is not generally required.</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From time to time, the Company uses derivatives, including interest rate swaps, commodity swaps and foreign currency forward exchange contracts, in the normal course of business to manage market risks. The derivatives used in hedging activities are considered risk management tools and are not used for trading purposes. In addition, the Company enters into derivative instruments with a diversified group of major financial institutions in order to manage the exposure to non-performance of such instruments. The Company’s objective in managing the exposure to changes in interest rates is to limit the impact of such changes on earnings and cash flows and to lower overall borrowing costs. The Company’s objective in managing the exposure to changes in foreign currency exchange rates is to reduce volatility on earnings and cash flows associated with such changes.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offers fixed prices for some long-term sales contracts. As manufacturing and raw material costs are subject to variability, the Company, from time to time, uses commodity swaps to hedge the cost of some raw materials thus reducing volatility on earnings and cash flows. The derivatives are considered risk management tools and are not used for trading purposes. The Company’s objective is to manage its exposure to fluctuating costs of raw materials.</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Company’s exposure to market risk has been discussed in the 2025 Form 10-K and there have been no significant changes since that time.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Evaluation of Disclosure Controls and Procedures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Based on an evaluation carried out as of the end of the period covered by this report, under the supervision and with the participation of our management, our Chief Executive Officer and our Chief Financial Officer concluded that the Company’s “disclosure controls and procedures” (as defined in Rules 13a-15(e) and 15d-15(e) of the Securities Exchange Act of 1934) were effective as of March 31, 2026,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is continuously seeking to improve the efficiency and effectiveness of its operations and of its internal control over financial reporting. This is intended to result in refinements to processes throughout the Company.</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previously disclosed, we have been developing a new information system platform which began in 2022. The new platform provider is well established in the market. The implementation has been a phased, risk-managed, site deployment following a multistage user acceptance program and the implementation is now substantially complete. In connection with this implementation, the Company has updated its internal controls over financial reporting, as necessary, to accommodate modifications to its business processes and accounting procedures.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5" w:name="page26"/>
    <w:bookmarkEnd w:id="25"/>
    <w:p>
      <w:pPr>
        <w:jc w:val="both"/>
        <w:spacing w:after="0" w:line="244" w:lineRule="auto"/>
        <w:rPr>
          <w:sz w:val="20"/>
          <w:szCs w:val="20"/>
          <w:color w:val="auto"/>
        </w:rPr>
      </w:pPr>
      <w:r>
        <w:rPr>
          <w:rFonts w:ascii="Times New Roman" w:cs="Times New Roman" w:eastAsia="Times New Roman" w:hAnsi="Times New Roman"/>
          <w:sz w:val="22"/>
          <w:szCs w:val="22"/>
          <w:color w:val="auto"/>
        </w:rPr>
        <w:t>There were no changes to our internal control over financial reporting which were identified in connection with the evaluation required by paragraph (d) of Rules 13a-15 and 15d-15 under the Securities Exchange Act of 1934, that have materially affected, or are reasonably likely to materially affect, the Company’s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u w:val="single" w:color="auto"/>
          <w:color w:val="auto"/>
        </w:rPr>
        <w:t>PART II OTHER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al matters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are involved from time to time in claims and legal proceedings that result from, and are incidental to, the conduct of our business including business and commercial litigation, employee and product liability claims.</w:t>
      </w:r>
    </w:p>
    <w:p>
      <w:pPr>
        <w:spacing w:after="0" w:line="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reported in our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Information regarding risk factors that could have a material impact on our results of operations or financial condition are described under “Risk Factors” in Item 1A of Part I of our 2025 Form 10-K. In management’s view, there have been no material changes in the risk factors facing the Company as disclosed in those SEC filings.</w:t>
      </w:r>
    </w:p>
    <w:p>
      <w:pPr>
        <w:spacing w:after="0" w:line="277" w:lineRule="exact"/>
        <w:rPr>
          <w:sz w:val="20"/>
          <w:szCs w:val="20"/>
          <w:color w:val="auto"/>
        </w:rPr>
      </w:pPr>
    </w:p>
    <w:p>
      <w:pPr>
        <w:ind w:right="5080"/>
        <w:spacing w:after="0" w:line="364" w:lineRule="auto"/>
        <w:rPr>
          <w:sz w:val="20"/>
          <w:szCs w:val="20"/>
          <w:color w:val="auto"/>
        </w:rPr>
      </w:pPr>
      <w:r>
        <w:rPr>
          <w:rFonts w:ascii="Times New Roman" w:cs="Times New Roman" w:eastAsia="Times New Roman" w:hAnsi="Times New Roman"/>
          <w:sz w:val="22"/>
          <w:szCs w:val="22"/>
          <w:b w:val="1"/>
          <w:bCs w:val="1"/>
          <w:color w:val="auto"/>
        </w:rPr>
        <w:t xml:space="preserve">Item 2 Unregistered Sales of Equity Securities and Use of Proceeds </w:t>
      </w:r>
      <w:r>
        <w:rPr>
          <w:rFonts w:ascii="Times New Roman" w:cs="Times New Roman" w:eastAsia="Times New Roman" w:hAnsi="Times New Roman"/>
          <w:sz w:val="22"/>
          <w:szCs w:val="22"/>
          <w:color w:val="auto"/>
        </w:rPr>
        <w:t>There have been no unregistered sales of equity securities.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March 10, 2025, the Company announced a repurchase program which allows for up to $50 million of the Company’s common stock to be repurchased in the open market over a three-year period commencing on March 10, 2025.</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May 7, 2026, the Company announced a new repurchase program which allows for up to $75 million of the Company’s common stock to be repurchased in the open market over a three-year period commencing on May 12, 2026. This replaces the $50 million repurchase authorization announced on March 10,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also repurchases its common stock in connection with the exercising of stock options by directors and employees.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information about our repurchases of equity securities in the three months ended March 31, 2026.</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2"/>
                <w:szCs w:val="12"/>
                <w:color w:val="auto"/>
              </w:rPr>
            </w:pPr>
          </w:p>
        </w:tc>
        <w:tc>
          <w:tcPr>
            <w:tcW w:w="15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3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5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9,408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421"/>
              <w:spacing w:after="0"/>
              <w:rPr>
                <w:sz w:val="20"/>
                <w:szCs w:val="20"/>
                <w:color w:val="auto"/>
              </w:rPr>
            </w:pPr>
            <w:r>
              <w:rPr>
                <w:rFonts w:ascii="Times New Roman" w:cs="Times New Roman" w:eastAsia="Times New Roman" w:hAnsi="Times New Roman"/>
                <w:sz w:val="18"/>
                <w:szCs w:val="18"/>
                <w:color w:val="auto"/>
              </w:rPr>
              <w:t>27.8</w:t>
            </w:r>
          </w:p>
        </w:tc>
        <w:tc>
          <w:tcPr>
            <w:tcW w:w="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2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69.3</w:t>
            </w:r>
          </w:p>
        </w:tc>
        <w:tc>
          <w:tcPr>
            <w:tcW w:w="162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21.6</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99,408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70.2</w:t>
            </w:r>
          </w:p>
        </w:tc>
        <w:tc>
          <w:tcPr>
            <w:tcW w:w="162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421"/>
              <w:spacing w:after="0"/>
              <w:rPr>
                <w:sz w:val="20"/>
                <w:szCs w:val="20"/>
                <w:color w:val="auto"/>
              </w:rPr>
            </w:pPr>
            <w:r>
              <w:rPr>
                <w:rFonts w:ascii="Times New Roman" w:cs="Times New Roman" w:eastAsia="Times New Roman" w:hAnsi="Times New Roman"/>
                <w:sz w:val="18"/>
                <w:szCs w:val="18"/>
                <w:color w:val="auto"/>
              </w:rPr>
              <w:t>21.6</w:t>
            </w:r>
          </w:p>
        </w:tc>
        <w:tc>
          <w:tcPr>
            <w:tcW w:w="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-24765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94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(b), and (c) – None.</w:t>
      </w:r>
    </w:p>
    <w:p>
      <w:pPr>
        <w:spacing w:after="0" w:line="21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00" w:lineRule="exact"/>
        <w:rPr>
          <w:sz w:val="20"/>
          <w:szCs w:val="20"/>
          <w:color w:val="auto"/>
        </w:rPr>
      </w:pPr>
    </w:p>
    <w:p>
      <w:pPr>
        <w:spacing w:after="0" w:line="2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0000FF"/>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-13970</wp:posOffset>
            </wp:positionV>
            <wp:extent cx="5518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1878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0000FF"/>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-22860</wp:posOffset>
            </wp:positionV>
            <wp:extent cx="5481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132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0000FF"/>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-22225</wp:posOffset>
            </wp:positionV>
            <wp:extent cx="55187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18785"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u w:val="single" w:color="auto"/>
          <w:color w:val="0000FF"/>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-22860</wp:posOffset>
            </wp:positionV>
            <wp:extent cx="5481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81320" cy="8890"/>
                    </a:xfrm>
                    <a:prstGeom prst="rect">
                      <a:avLst/>
                    </a:prstGeom>
                    <a:noFill/>
                  </pic:spPr>
                </pic:pic>
              </a:graphicData>
            </a:graphic>
          </wp:anchor>
        </w:drawing>
      </w:r>
    </w:p>
    <w:p>
      <w:pPr>
        <w:ind w:left="680" w:hanging="672"/>
        <w:spacing w:after="0" w:line="230" w:lineRule="auto"/>
        <w:tabs>
          <w:tab w:leader="none" w:pos="6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XBRL Instance Document and Related Item - The instance document does not appear in the interactive data file because its XBRL tags are embedded within the inline XBRL document.</w:t>
      </w:r>
    </w:p>
    <w:p>
      <w:pPr>
        <w:spacing w:after="0" w:line="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2"/>
          <w:szCs w:val="22"/>
          <w:color w:val="auto"/>
        </w:rPr>
        <w:t>Cover Page Interactive Data File – The cover page XBRL tags are embedded within the inline XBRL document.</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2"/>
          <w:szCs w:val="22"/>
          <w:color w:val="auto"/>
        </w:rPr>
        <w:t>INNOSPEC INC.</w:t>
      </w:r>
    </w:p>
    <w:p>
      <w:pPr>
        <w:spacing w:after="0" w:line="2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-158750</wp:posOffset>
            </wp:positionV>
            <wp:extent cx="32746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4" w:lineRule="exact"/>
        <w:rPr>
          <w:sz w:val="20"/>
          <w:szCs w:val="20"/>
          <w:color w:val="auto"/>
        </w:rPr>
      </w:pPr>
    </w:p>
    <w:p>
      <w:pPr>
        <w:spacing w:after="0"/>
        <w:tabs>
          <w:tab w:leader="none" w:pos="5620" w:val="left"/>
          <w:tab w:leader="none" w:pos="7340" w:val="left"/>
          <w:tab w:leader="none" w:pos="7720" w:val="left"/>
        </w:tabs>
        <w:rPr>
          <w:sz w:val="20"/>
          <w:szCs w:val="20"/>
          <w:color w:val="auto"/>
        </w:rPr>
      </w:pPr>
      <w:r>
        <w:rPr>
          <w:rFonts w:ascii="Times New Roman" w:cs="Times New Roman" w:eastAsia="Times New Roman" w:hAnsi="Times New Roman"/>
          <w:sz w:val="22"/>
          <w:szCs w:val="22"/>
          <w:color w:val="auto"/>
        </w:rPr>
        <w:t>Date: May 8,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w:t>
      </w:r>
      <w:r>
        <w:rPr>
          <w:sz w:val="20"/>
          <w:szCs w:val="20"/>
          <w:color w:val="auto"/>
        </w:rPr>
        <w:tab/>
      </w:r>
      <w:r>
        <w:rPr>
          <w:rFonts w:ascii="Times New Roman" w:cs="Times New Roman" w:eastAsia="Times New Roman" w:hAnsi="Times New Roman"/>
          <w:sz w:val="21"/>
          <w:szCs w:val="21"/>
          <w:color w:val="auto"/>
        </w:rPr>
        <w:t>PATRICK S. WILLIAMS</w:t>
      </w:r>
    </w:p>
    <w:p>
      <w:pPr>
        <w:spacing w:after="0" w:line="2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2"/>
          <w:szCs w:val="22"/>
          <w:b w:val="1"/>
          <w:bCs w:val="1"/>
          <w:color w:val="auto"/>
        </w:rPr>
        <w:t>Patrick S.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-158750</wp:posOffset>
            </wp:positionV>
            <wp:extent cx="32746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jc w:val="center"/>
        <w:ind w:left="6060"/>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pacing w:after="0" w:line="178" w:lineRule="exact"/>
        <w:rPr>
          <w:sz w:val="20"/>
          <w:szCs w:val="20"/>
          <w:color w:val="auto"/>
        </w:rPr>
      </w:pPr>
    </w:p>
    <w:p>
      <w:pPr>
        <w:spacing w:after="0"/>
        <w:tabs>
          <w:tab w:leader="none" w:pos="5620" w:val="left"/>
          <w:tab w:leader="none" w:pos="7520" w:val="left"/>
        </w:tabs>
        <w:rPr>
          <w:sz w:val="20"/>
          <w:szCs w:val="20"/>
          <w:color w:val="auto"/>
        </w:rPr>
      </w:pPr>
      <w:r>
        <w:rPr>
          <w:rFonts w:ascii="Times New Roman" w:cs="Times New Roman" w:eastAsia="Times New Roman" w:hAnsi="Times New Roman"/>
          <w:sz w:val="22"/>
          <w:szCs w:val="22"/>
          <w:color w:val="auto"/>
        </w:rPr>
        <w:t>Date: May 8,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IAN P. CLEMINSON</w:t>
      </w:r>
    </w:p>
    <w:p>
      <w:pPr>
        <w:spacing w:after="0" w:line="3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22"/>
          <w:szCs w:val="22"/>
          <w:b w:val="1"/>
          <w:bCs w:val="1"/>
          <w:color w:val="auto"/>
        </w:rPr>
        <w:t>Ian P. Cleminson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-158750</wp:posOffset>
            </wp:positionV>
            <wp:extent cx="32746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jc w:val="center"/>
        <w:ind w:left="6060"/>
        <w:spacing w:after="0"/>
        <w:rPr>
          <w:sz w:val="20"/>
          <w:szCs w:val="20"/>
          <w:color w:val="auto"/>
        </w:rPr>
      </w:pPr>
      <w:r>
        <w:rPr>
          <w:rFonts w:ascii="Times New Roman" w:cs="Times New Roman" w:eastAsia="Times New Roman" w:hAnsi="Times New Roman"/>
          <w:sz w:val="22"/>
          <w:szCs w:val="22"/>
          <w:b w:val="1"/>
          <w:bCs w:val="1"/>
          <w:color w:val="auto"/>
        </w:rPr>
        <w:t>Executive Vice President and Chief Financial Officer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CERTIFICATION BY PATRICK S. WILLIAMS PURSUANT TO</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SECURITIES EXCHANGE ACT 1934 RULE 13a-14 and 15d-14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Patrick S. Williams, certify that:</w:t>
      </w:r>
    </w:p>
    <w:p>
      <w:pPr>
        <w:spacing w:after="0" w:line="127" w:lineRule="exact"/>
        <w:rPr>
          <w:sz w:val="20"/>
          <w:szCs w:val="20"/>
          <w:color w:val="auto"/>
        </w:rPr>
      </w:pPr>
    </w:p>
    <w:p>
      <w:pPr>
        <w:ind w:left="460" w:hanging="453"/>
        <w:spacing w:after="0"/>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Innospec Inc.;</w:t>
      </w:r>
    </w:p>
    <w:p>
      <w:pPr>
        <w:spacing w:after="0" w:line="126" w:lineRule="exact"/>
        <w:rPr>
          <w:rFonts w:ascii="Times New Roman" w:cs="Times New Roman" w:eastAsia="Times New Roman" w:hAnsi="Times New Roman"/>
          <w:sz w:val="16"/>
          <w:szCs w:val="16"/>
          <w:color w:val="auto"/>
        </w:rPr>
      </w:pPr>
    </w:p>
    <w:p>
      <w:pPr>
        <w:ind w:left="460" w:right="260" w:hanging="453"/>
        <w:spacing w:after="0" w:line="298"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16"/>
          <w:szCs w:val="16"/>
          <w:color w:val="auto"/>
        </w:rPr>
      </w:pPr>
    </w:p>
    <w:p>
      <w:pPr>
        <w:ind w:left="460" w:right="220" w:hanging="453"/>
        <w:spacing w:after="0" w:line="298"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ind w:left="460" w:right="260" w:hanging="453"/>
        <w:spacing w:after="0" w:line="298"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5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registrant and have:</w:t>
      </w:r>
    </w:p>
    <w:p>
      <w:pPr>
        <w:spacing w:after="0" w:line="126" w:lineRule="exact"/>
        <w:rPr>
          <w:rFonts w:ascii="Times New Roman" w:cs="Times New Roman" w:eastAsia="Times New Roman" w:hAnsi="Times New Roman"/>
          <w:sz w:val="16"/>
          <w:szCs w:val="16"/>
          <w:color w:val="auto"/>
        </w:rPr>
      </w:pPr>
    </w:p>
    <w:p>
      <w:pPr>
        <w:ind w:left="1020" w:right="420" w:hanging="558"/>
        <w:spacing w:after="0" w:line="281" w:lineRule="auto"/>
        <w:tabs>
          <w:tab w:leader="none" w:pos="10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420" w:hanging="558"/>
        <w:spacing w:after="0" w:line="281" w:lineRule="auto"/>
        <w:tabs>
          <w:tab w:leader="none" w:pos="10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jc w:val="both"/>
        <w:ind w:left="1000" w:right="1300" w:hanging="538"/>
        <w:spacing w:after="0" w:line="298" w:lineRule="auto"/>
        <w:tabs>
          <w:tab w:leader="none" w:pos="10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280" w:hanging="558"/>
        <w:spacing w:after="0" w:line="281" w:lineRule="auto"/>
        <w:tabs>
          <w:tab w:leader="none" w:pos="10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460" w:right="200" w:hanging="453"/>
        <w:spacing w:after="0" w:line="298" w:lineRule="auto"/>
        <w:tabs>
          <w:tab w:leader="none" w:pos="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6"/>
          <w:szCs w:val="16"/>
          <w:color w:val="auto"/>
        </w:rPr>
      </w:pPr>
    </w:p>
    <w:p>
      <w:pPr>
        <w:ind w:left="1000" w:right="840" w:hanging="538"/>
        <w:spacing w:after="0" w:line="298" w:lineRule="auto"/>
        <w:tabs>
          <w:tab w:leader="none" w:pos="10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000" w:right="440" w:hanging="538"/>
        <w:spacing w:after="0" w:line="298" w:lineRule="auto"/>
        <w:tabs>
          <w:tab w:leader="none" w:pos="100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PATRICK S. WILLIAMS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Patrick S. Williams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230505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8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CERTIFICATION BY IAN P. CLEMINSON PURSUANT TO</w:t>
      </w:r>
    </w:p>
    <w:p>
      <w:pPr>
        <w:spacing w:after="0" w:line="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SECURITIES EXCHANGE ACT 1934 RULE 13a-14 and 15d-14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P. Cleminson, certify that:</w:t>
      </w:r>
    </w:p>
    <w:p>
      <w:pPr>
        <w:spacing w:after="0" w:line="127" w:lineRule="exact"/>
        <w:rPr>
          <w:sz w:val="20"/>
          <w:szCs w:val="20"/>
          <w:color w:val="auto"/>
        </w:rPr>
      </w:pPr>
    </w:p>
    <w:p>
      <w:pPr>
        <w:ind w:left="460" w:hanging="453"/>
        <w:spacing w:after="0"/>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Innospec Inc.;</w:t>
      </w:r>
    </w:p>
    <w:p>
      <w:pPr>
        <w:spacing w:after="0" w:line="126" w:lineRule="exact"/>
        <w:rPr>
          <w:rFonts w:ascii="Times New Roman" w:cs="Times New Roman" w:eastAsia="Times New Roman" w:hAnsi="Times New Roman"/>
          <w:sz w:val="16"/>
          <w:szCs w:val="16"/>
          <w:color w:val="auto"/>
        </w:rPr>
      </w:pPr>
    </w:p>
    <w:p>
      <w:pPr>
        <w:ind w:left="460" w:right="260" w:hanging="453"/>
        <w:spacing w:after="0" w:line="298"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Times New Roman" w:cs="Times New Roman" w:eastAsia="Times New Roman" w:hAnsi="Times New Roman"/>
          <w:sz w:val="16"/>
          <w:szCs w:val="16"/>
          <w:color w:val="auto"/>
        </w:rPr>
      </w:pPr>
    </w:p>
    <w:p>
      <w:pPr>
        <w:ind w:left="460" w:right="220" w:hanging="453"/>
        <w:spacing w:after="0" w:line="298"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6"/>
          <w:szCs w:val="16"/>
          <w:color w:val="auto"/>
        </w:rPr>
      </w:pPr>
    </w:p>
    <w:p>
      <w:pPr>
        <w:ind w:left="460" w:right="260" w:hanging="453"/>
        <w:spacing w:after="0" w:line="298"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56"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registrant and have:</w:t>
      </w:r>
    </w:p>
    <w:p>
      <w:pPr>
        <w:spacing w:after="0" w:line="126" w:lineRule="exact"/>
        <w:rPr>
          <w:rFonts w:ascii="Times New Roman" w:cs="Times New Roman" w:eastAsia="Times New Roman" w:hAnsi="Times New Roman"/>
          <w:sz w:val="16"/>
          <w:szCs w:val="16"/>
          <w:color w:val="auto"/>
        </w:rPr>
      </w:pPr>
    </w:p>
    <w:p>
      <w:pPr>
        <w:ind w:left="1020" w:right="420" w:hanging="558"/>
        <w:spacing w:after="0" w:line="281" w:lineRule="auto"/>
        <w:tabs>
          <w:tab w:leader="none" w:pos="10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420" w:hanging="558"/>
        <w:spacing w:after="0" w:line="281" w:lineRule="auto"/>
        <w:tabs>
          <w:tab w:leader="none" w:pos="10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jc w:val="both"/>
        <w:ind w:left="1000" w:right="1300" w:hanging="538"/>
        <w:spacing w:after="0" w:line="298" w:lineRule="auto"/>
        <w:tabs>
          <w:tab w:leader="none" w:pos="10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280" w:hanging="558"/>
        <w:spacing w:after="0" w:line="281" w:lineRule="auto"/>
        <w:tabs>
          <w:tab w:leader="none" w:pos="10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6"/>
          <w:szCs w:val="16"/>
          <w:color w:val="auto"/>
        </w:rPr>
      </w:pPr>
    </w:p>
    <w:p>
      <w:pPr>
        <w:ind w:left="460" w:right="200" w:hanging="453"/>
        <w:spacing w:after="0" w:line="298"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6"/>
          <w:szCs w:val="16"/>
          <w:color w:val="auto"/>
        </w:rPr>
      </w:pPr>
    </w:p>
    <w:p>
      <w:pPr>
        <w:ind w:left="1000" w:right="840" w:hanging="538"/>
        <w:spacing w:after="0" w:line="298" w:lineRule="auto"/>
        <w:tabs>
          <w:tab w:leader="none" w:pos="10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6"/>
          <w:szCs w:val="16"/>
          <w:color w:val="auto"/>
        </w:rPr>
      </w:pPr>
    </w:p>
    <w:p>
      <w:pPr>
        <w:ind w:left="1000" w:right="440" w:hanging="538"/>
        <w:spacing w:after="0" w:line="298" w:lineRule="auto"/>
        <w:tabs>
          <w:tab w:leader="none" w:pos="10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IAN P. CLEMINSON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Ian P. Cleminson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228600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8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1350 Certification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 Patrick S. Williams</w:t>
      </w:r>
    </w:p>
    <w:p>
      <w:pPr>
        <w:spacing w:after="0" w:line="23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on Form 10-Q of Innospec Inc. (the “Company”) for the period ended March 31, 2026 as filed with the Securities and Exchange Commission on the date hereof (the “Report”), I, Patrick S. Williams, President and Chief Executive Officer of the Company, certify, pursuant to 18 U.S.C. § 1350, as adopted pursuant to § 906 of the Sarbanes-Oxley Act of 2002, that:</w:t>
      </w:r>
    </w:p>
    <w:p>
      <w:pPr>
        <w:spacing w:after="0" w:line="69" w:lineRule="exact"/>
        <w:rPr>
          <w:sz w:val="20"/>
          <w:szCs w:val="20"/>
          <w:color w:val="auto"/>
        </w:rPr>
      </w:pPr>
    </w:p>
    <w:p>
      <w:pPr>
        <w:ind w:left="1440" w:hanging="683"/>
        <w:spacing w:after="0"/>
        <w:tabs>
          <w:tab w:leader="none" w:pos="1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6"/>
          <w:szCs w:val="16"/>
          <w:color w:val="auto"/>
        </w:rPr>
      </w:pPr>
    </w:p>
    <w:p>
      <w:pPr>
        <w:ind w:left="1440" w:hanging="683"/>
        <w:spacing w:after="0"/>
        <w:tabs>
          <w:tab w:leader="none" w:pos="1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PATRICK S. WILLIAMS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Patrick S. Williams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this Report or as a separate disclosure document.</w:t>
      </w:r>
    </w:p>
    <w:p>
      <w:pPr>
        <w:spacing w:after="0" w:line="235"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18 U.S.C. § 1350 has been provided to the Company and will be retained by the Company and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1350 Certification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 Ian P. Cleminson</w:t>
      </w:r>
    </w:p>
    <w:p>
      <w:pPr>
        <w:spacing w:after="0" w:line="23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on Form 10-Q of Innospec Inc. (the “Company”) for the period ended March 31, 2026 as filed with the Securities and Exchange Commission on the date hereof (the “Report”), I, Ian P. Cleminson, Executive Vice President and Chief Financial Officer of the Company, certify, pursuant to 18 U.S.C. § 1350, as adopted pursuant to § 906 of the Sarbanes-Oxley Act of 2002, that:</w:t>
      </w:r>
    </w:p>
    <w:p>
      <w:pPr>
        <w:spacing w:after="0" w:line="69" w:lineRule="exact"/>
        <w:rPr>
          <w:sz w:val="20"/>
          <w:szCs w:val="20"/>
          <w:color w:val="auto"/>
        </w:rPr>
      </w:pPr>
    </w:p>
    <w:p>
      <w:pPr>
        <w:ind w:left="1440" w:hanging="683"/>
        <w:spacing w:after="0"/>
        <w:tabs>
          <w:tab w:leader="none" w:pos="1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6"/>
          <w:szCs w:val="16"/>
          <w:color w:val="auto"/>
        </w:rPr>
      </w:pPr>
    </w:p>
    <w:p>
      <w:pPr>
        <w:ind w:left="1440" w:hanging="683"/>
        <w:spacing w:after="0"/>
        <w:tabs>
          <w:tab w:leader="none" w:pos="1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 of operations of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IAN P. CLEMINSON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Ian P. Cleminson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this Report or as a separate disclosure document.</w:t>
      </w:r>
    </w:p>
    <w:p>
      <w:pPr>
        <w:spacing w:after="0" w:line="235"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18 U.S.C. § 1350 has been provided to the Company and will be retained by the Company and furnished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2026-05-08T08:38:03Z</dcterms:created>
  <dcterms:modified xsi:type="dcterms:W3CDTF">2026-05-08T08:38:03Z</dcterms:modified>
</cp:coreProperties>
</file>