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8"/>
        <w:spacing w:after="0"/>
        <w:rPr>
          <w:sz w:val="20"/>
          <w:szCs w:val="20"/>
          <w:color w:val="auto"/>
        </w:rPr>
      </w:pPr>
      <w:r>
        <w:rPr>
          <w:rFonts w:ascii="Arial" w:cs="Arial" w:eastAsia="Arial" w:hAnsi="Arial"/>
          <w:sz w:val="15"/>
          <w:szCs w:val="15"/>
          <w:color w:val="auto"/>
        </w:rPr>
        <w:t>UNITED STATES</w:t>
      </w:r>
    </w:p>
    <w:p>
      <w:pPr>
        <w:jc w:val="center"/>
        <w:ind w:right="-768"/>
        <w:spacing w:after="0" w:line="230" w:lineRule="auto"/>
        <w:rPr>
          <w:sz w:val="20"/>
          <w:szCs w:val="20"/>
          <w:color w:val="auto"/>
        </w:rPr>
      </w:pPr>
      <w:r>
        <w:rPr>
          <w:rFonts w:ascii="Arial" w:cs="Arial" w:eastAsia="Arial" w:hAnsi="Arial"/>
          <w:sz w:val="15"/>
          <w:szCs w:val="15"/>
          <w:color w:val="auto"/>
        </w:rPr>
        <w:t>SECURITIES AND EXCHANGE COMMISSION</w:t>
      </w:r>
    </w:p>
    <w:p>
      <w:pPr>
        <w:jc w:val="center"/>
        <w:ind w:right="-768"/>
        <w:spacing w:after="0"/>
        <w:rPr>
          <w:sz w:val="20"/>
          <w:szCs w:val="20"/>
          <w:color w:val="auto"/>
        </w:rPr>
      </w:pPr>
      <w:r>
        <w:rPr>
          <w:rFonts w:ascii="Arial" w:cs="Arial" w:eastAsia="Arial" w:hAnsi="Arial"/>
          <w:sz w:val="15"/>
          <w:szCs w:val="15"/>
          <w:color w:val="auto"/>
        </w:rPr>
        <w:t>Washington, D.C. 20549</w:t>
      </w:r>
    </w:p>
    <w:p>
      <w:pPr>
        <w:spacing w:after="0" w:line="192" w:lineRule="exact"/>
        <w:rPr>
          <w:sz w:val="24"/>
          <w:szCs w:val="24"/>
          <w:color w:val="auto"/>
        </w:rPr>
      </w:pPr>
    </w:p>
    <w:p>
      <w:pPr>
        <w:jc w:val="center"/>
        <w:ind w:right="-768"/>
        <w:spacing w:after="0"/>
        <w:rPr>
          <w:sz w:val="20"/>
          <w:szCs w:val="20"/>
          <w:color w:val="auto"/>
        </w:rPr>
      </w:pPr>
      <w:r>
        <w:rPr>
          <w:rFonts w:ascii="Arial" w:cs="Arial" w:eastAsia="Arial" w:hAnsi="Arial"/>
          <w:sz w:val="15"/>
          <w:szCs w:val="15"/>
          <w:color w:val="auto"/>
        </w:rPr>
        <w:t>SCHEDULE 14A</w:t>
      </w:r>
    </w:p>
    <w:p>
      <w:pPr>
        <w:jc w:val="center"/>
        <w:ind w:right="-768"/>
        <w:spacing w:after="0" w:line="230" w:lineRule="auto"/>
        <w:rPr>
          <w:sz w:val="20"/>
          <w:szCs w:val="20"/>
          <w:color w:val="auto"/>
        </w:rPr>
      </w:pPr>
      <w:r>
        <w:rPr>
          <w:rFonts w:ascii="Arial" w:cs="Arial" w:eastAsia="Arial" w:hAnsi="Arial"/>
          <w:sz w:val="15"/>
          <w:szCs w:val="15"/>
          <w:color w:val="auto"/>
        </w:rPr>
        <w:t>Proxy Statement Pursuant to Section 14(a) of the Securities</w:t>
      </w:r>
    </w:p>
    <w:p>
      <w:pPr>
        <w:jc w:val="center"/>
        <w:ind w:right="-768"/>
        <w:spacing w:after="0"/>
        <w:rPr>
          <w:sz w:val="20"/>
          <w:szCs w:val="20"/>
          <w:color w:val="auto"/>
        </w:rPr>
      </w:pPr>
      <w:r>
        <w:rPr>
          <w:rFonts w:ascii="Arial" w:cs="Arial" w:eastAsia="Arial" w:hAnsi="Arial"/>
          <w:sz w:val="15"/>
          <w:szCs w:val="15"/>
          <w:color w:val="auto"/>
        </w:rPr>
        <w:t>Exchange Act of 1934</w:t>
      </w:r>
    </w:p>
    <w:p>
      <w:pPr>
        <w:sectPr>
          <w:pgSz w:w="11900" w:h="16838" w:orient="portrait"/>
          <w:cols w:equalWidth="0" w:num="1">
            <w:col w:w="9807"/>
          </w:cols>
          <w:pgMar w:left="652" w:top="473" w:right="1440" w:bottom="1440" w:gutter="0" w:footer="0" w:header="0"/>
        </w:sectPr>
      </w:pPr>
    </w:p>
    <w:p>
      <w:pPr>
        <w:spacing w:after="0" w:line="205" w:lineRule="exact"/>
        <w:rPr>
          <w:sz w:val="24"/>
          <w:szCs w:val="24"/>
          <w:color w:val="auto"/>
        </w:rPr>
      </w:pPr>
    </w:p>
    <w:p>
      <w:pPr>
        <w:ind w:left="908"/>
        <w:spacing w:after="0"/>
        <w:rPr>
          <w:sz w:val="20"/>
          <w:szCs w:val="20"/>
          <w:color w:val="auto"/>
        </w:rPr>
      </w:pP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5" w:lineRule="exact"/>
        <w:rPr>
          <w:sz w:val="24"/>
          <w:szCs w:val="24"/>
          <w:color w:val="auto"/>
        </w:rPr>
      </w:pPr>
    </w:p>
    <w:p>
      <w:pPr>
        <w:sectPr>
          <w:pgSz w:w="11900" w:h="16838" w:orient="portrait"/>
          <w:cols w:equalWidth="0" w:num="2">
            <w:col w:w="2448" w:space="160"/>
            <w:col w:w="7199"/>
          </w:cols>
          <w:pgMar w:left="652" w:top="473" w:right="1440" w:bottom="1440" w:gutter="0" w:footer="0" w:header="0"/>
          <w:type w:val="continuous"/>
        </w:sectPr>
      </w:pPr>
    </w:p>
    <w:p>
      <w:pPr>
        <w:spacing w:after="0" w:line="36" w:lineRule="exact"/>
        <w:rPr>
          <w:sz w:val="24"/>
          <w:szCs w:val="24"/>
          <w:color w:val="auto"/>
        </w:rPr>
      </w:pPr>
    </w:p>
    <w:p>
      <w:pPr>
        <w:ind w:left="908"/>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8" w:lineRule="exact"/>
        <w:rPr>
          <w:sz w:val="24"/>
          <w:szCs w:val="24"/>
          <w:color w:val="auto"/>
        </w:rPr>
      </w:pPr>
    </w:p>
    <w:p>
      <w:pPr>
        <w:sectPr>
          <w:pgSz w:w="11900" w:h="16838" w:orient="portrait"/>
          <w:cols w:equalWidth="0" w:num="2">
            <w:col w:w="3708" w:space="160"/>
            <w:col w:w="5939"/>
          </w:cols>
          <w:pgMar w:left="652" w:top="473" w:right="1440" w:bottom="1440" w:gutter="0" w:footer="0" w:header="0"/>
          <w:type w:val="continuous"/>
        </w:sectPr>
      </w:pPr>
    </w:p>
    <w:p>
      <w:pPr>
        <w:spacing w:after="0" w:line="19" w:lineRule="exact"/>
        <w:rPr>
          <w:sz w:val="24"/>
          <w:szCs w:val="24"/>
          <w:color w:val="auto"/>
        </w:rPr>
      </w:pPr>
    </w:p>
    <w:p>
      <w:pPr>
        <w:ind w:left="908"/>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9807"/>
          </w:cols>
          <w:pgMar w:left="652" w:top="473" w:right="1440" w:bottom="1440" w:gutter="0" w:footer="0" w:header="0"/>
          <w:type w:val="continuous"/>
        </w:sectPr>
      </w:pPr>
    </w:p>
    <w:p>
      <w:pPr>
        <w:spacing w:after="0" w:line="182" w:lineRule="exact"/>
        <w:rPr>
          <w:sz w:val="24"/>
          <w:szCs w:val="24"/>
          <w:color w:val="auto"/>
        </w:rPr>
      </w:pPr>
    </w:p>
    <w:p>
      <w:pPr>
        <w:ind w:left="1088"/>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right="539" w:hanging="242"/>
        <w:spacing w:after="0" w:line="192"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Confidential, for Use of the Commission Only (as permitted by Rule 14a-6(e)(2))</w:t>
      </w:r>
    </w:p>
    <w:p>
      <w:pPr>
        <w:spacing w:after="0" w:line="1" w:lineRule="exact"/>
        <w:rPr>
          <w:sz w:val="24"/>
          <w:szCs w:val="24"/>
          <w:color w:val="auto"/>
        </w:rPr>
      </w:pPr>
    </w:p>
    <w:p>
      <w:pPr>
        <w:sectPr>
          <w:pgSz w:w="11900" w:h="16838" w:orient="portrait"/>
          <w:cols w:equalWidth="0" w:num="3">
            <w:col w:w="1208" w:space="180"/>
            <w:col w:w="2880" w:space="720"/>
            <w:col w:w="4819"/>
          </w:cols>
          <w:pgMar w:left="652" w:top="473" w:right="1440" w:bottom="1440" w:gutter="0" w:footer="0" w:header="0"/>
          <w:type w:val="continuous"/>
        </w:sectPr>
      </w:pPr>
    </w:p>
    <w:p>
      <w:pPr>
        <w:ind w:left="1088" w:right="6539" w:hanging="8"/>
        <w:spacing w:after="0" w:line="169" w:lineRule="exact"/>
        <w:tabs>
          <w:tab w:leader="none" w:pos="139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 xml:space="preserve">Definitive Proxy Statement </w:t>
      </w:r>
      <w:r>
        <w:rPr>
          <w:rFonts w:ascii="MS PGothic" w:cs="MS PGothic" w:eastAsia="MS PGothic" w:hAnsi="MS PGothic"/>
          <w:sz w:val="14"/>
          <w:szCs w:val="14"/>
          <w:color w:val="auto"/>
        </w:rPr>
        <w:t>☒</w:t>
      </w:r>
      <w:r>
        <w:rPr>
          <w:rFonts w:ascii="Arial" w:cs="Arial" w:eastAsia="Arial" w:hAnsi="Arial"/>
          <w:sz w:val="14"/>
          <w:szCs w:val="14"/>
          <w:color w:val="auto"/>
        </w:rPr>
        <w:t xml:space="preserve"> Definitive Additional Materials</w:t>
      </w:r>
    </w:p>
    <w:p>
      <w:pPr>
        <w:ind w:left="1388" w:hanging="308"/>
        <w:spacing w:after="0"/>
        <w:tabs>
          <w:tab w:leader="none" w:pos="138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99" w:lineRule="exact"/>
        <w:rPr>
          <w:sz w:val="24"/>
          <w:szCs w:val="24"/>
          <w:color w:val="auto"/>
        </w:rPr>
      </w:pPr>
    </w:p>
    <w:p>
      <w:pPr>
        <w:jc w:val="center"/>
        <w:ind w:right="-788"/>
        <w:spacing w:after="0"/>
        <w:rPr>
          <w:sz w:val="20"/>
          <w:szCs w:val="20"/>
          <w:color w:val="auto"/>
        </w:rPr>
      </w:pPr>
      <w:r>
        <w:rPr>
          <w:rFonts w:ascii="Arial" w:cs="Arial" w:eastAsia="Arial" w:hAnsi="Arial"/>
          <w:sz w:val="22"/>
          <w:szCs w:val="22"/>
          <w:color w:val="auto"/>
        </w:rPr>
        <w:t>INNOSPEC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2280285</wp:posOffset>
            </wp:positionH>
            <wp:positionV relativeFrom="paragraph">
              <wp:posOffset>10795</wp:posOffset>
            </wp:positionV>
            <wp:extent cx="2160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7" w:lineRule="exact"/>
        <w:rPr>
          <w:sz w:val="24"/>
          <w:szCs w:val="24"/>
          <w:color w:val="auto"/>
        </w:rPr>
      </w:pPr>
    </w:p>
    <w:p>
      <w:pPr>
        <w:ind w:left="3688"/>
        <w:spacing w:after="0"/>
        <w:rPr>
          <w:sz w:val="20"/>
          <w:szCs w:val="20"/>
          <w:color w:val="auto"/>
        </w:rPr>
      </w:pPr>
      <w:r>
        <w:rPr>
          <w:rFonts w:ascii="Arial" w:cs="Arial" w:eastAsia="Arial" w:hAnsi="Arial"/>
          <w:sz w:val="15"/>
          <w:szCs w:val="15"/>
          <w:color w:val="auto"/>
        </w:rPr>
        <w:t>(Name of Registrant as Specified In Its Charter)</w:t>
      </w:r>
    </w:p>
    <w:p>
      <w:pPr>
        <w:spacing w:after="0" w:line="200" w:lineRule="exact"/>
        <w:rPr>
          <w:sz w:val="24"/>
          <w:szCs w:val="24"/>
          <w:color w:val="auto"/>
        </w:rPr>
      </w:pPr>
    </w:p>
    <w:p>
      <w:pPr>
        <w:spacing w:after="0" w:line="289" w:lineRule="exact"/>
        <w:rPr>
          <w:sz w:val="24"/>
          <w:szCs w:val="24"/>
          <w:color w:val="auto"/>
        </w:rPr>
      </w:pPr>
    </w:p>
    <w:p>
      <w:pPr>
        <w:jc w:val="right"/>
        <w:ind w:right="207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-106680</wp:posOffset>
            </wp:positionV>
            <wp:extent cx="3223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left="28"/>
        <w:spacing w:after="0"/>
        <w:rPr>
          <w:sz w:val="20"/>
          <w:szCs w:val="20"/>
          <w:color w:val="auto"/>
        </w:rPr>
      </w:pPr>
      <w:r>
        <w:rPr>
          <w:rFonts w:ascii="Arial" w:cs="Arial" w:eastAsia="Arial" w:hAnsi="Arial"/>
          <w:sz w:val="15"/>
          <w:szCs w:val="15"/>
          <w:color w:val="auto"/>
        </w:rPr>
        <w:t>Payment of Filing Fee (Check all boxes that apply):</w:t>
      </w:r>
    </w:p>
    <w:p>
      <w:pPr>
        <w:spacing w:after="0" w:line="233" w:lineRule="exact"/>
        <w:rPr>
          <w:sz w:val="24"/>
          <w:szCs w:val="24"/>
          <w:color w:val="auto"/>
        </w:rPr>
      </w:pPr>
    </w:p>
    <w:p>
      <w:pPr>
        <w:ind w:left="328" w:hanging="328"/>
        <w:spacing w:after="0"/>
        <w:tabs>
          <w:tab w:leader="none" w:pos="328"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60" w:lineRule="exact"/>
        <w:rPr>
          <w:sz w:val="24"/>
          <w:szCs w:val="24"/>
          <w:color w:val="auto"/>
        </w:rPr>
      </w:pPr>
    </w:p>
    <w:p>
      <w:pPr>
        <w:ind w:left="328" w:hanging="328"/>
        <w:spacing w:after="0"/>
        <w:tabs>
          <w:tab w:leader="none" w:pos="328"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259" w:lineRule="exact"/>
        <w:rPr>
          <w:rFonts w:ascii="MS PGothic" w:cs="MS PGothic" w:eastAsia="MS PGothic" w:hAnsi="MS PGothic"/>
          <w:sz w:val="15"/>
          <w:szCs w:val="15"/>
          <w:color w:val="auto"/>
        </w:rPr>
      </w:pPr>
    </w:p>
    <w:p>
      <w:pPr>
        <w:ind w:left="328" w:hanging="328"/>
        <w:spacing w:after="0"/>
        <w:tabs>
          <w:tab w:leader="none" w:pos="328"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-205105</wp:posOffset>
            </wp:positionH>
            <wp:positionV relativeFrom="paragraph">
              <wp:posOffset>372745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7"/>
          </w:cols>
          <w:pgMar w:left="652" w:top="473"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7152005</wp:posOffset>
            </wp:positionH>
            <wp:positionV relativeFrom="page">
              <wp:posOffset>534670</wp:posOffset>
            </wp:positionV>
            <wp:extent cx="188595" cy="196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page">
              <wp:posOffset>859790</wp:posOffset>
            </wp:positionH>
            <wp:positionV relativeFrom="page">
              <wp:posOffset>920750</wp:posOffset>
            </wp:positionV>
            <wp:extent cx="2948940"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Online</w:t>
      </w:r>
    </w:p>
    <w:p>
      <w:pPr>
        <w:spacing w:after="0" w:line="9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www.envisionreports.com/iosp</w:t>
      </w:r>
      <w:r>
        <w:rPr>
          <w:rFonts w:ascii="Arial" w:cs="Arial" w:eastAsia="Arial" w:hAnsi="Arial"/>
          <w:sz w:val="18"/>
          <w:szCs w:val="18"/>
          <w:color w:val="auto"/>
        </w:rPr>
        <w:t xml:space="preserve"> or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scan the QR code – login details are located</w:t>
      </w:r>
    </w:p>
    <w:p>
      <w:pPr>
        <w:ind w:left="7620"/>
        <w:spacing w:after="0"/>
        <w:rPr>
          <w:sz w:val="20"/>
          <w:szCs w:val="20"/>
          <w:color w:val="auto"/>
        </w:rPr>
      </w:pPr>
      <w:r>
        <w:rPr>
          <w:rFonts w:ascii="Arial" w:cs="Arial" w:eastAsia="Arial" w:hAnsi="Arial"/>
          <w:sz w:val="18"/>
          <w:szCs w:val="18"/>
          <w:color w:val="auto"/>
        </w:rPr>
        <w:t>in the shaded bar below.</w:t>
      </w:r>
    </w:p>
    <w:p>
      <w:pPr>
        <w:spacing w:after="0" w:line="180" w:lineRule="exact"/>
        <w:rPr>
          <w:sz w:val="20"/>
          <w:szCs w:val="20"/>
          <w:color w:val="auto"/>
        </w:rPr>
      </w:pPr>
    </w:p>
    <w:p>
      <w:pPr>
        <w:ind w:left="7620" w:right="280"/>
        <w:spacing w:after="0" w:line="257" w:lineRule="auto"/>
        <w:rPr>
          <w:sz w:val="20"/>
          <w:szCs w:val="20"/>
          <w:color w:val="auto"/>
        </w:rPr>
      </w:pPr>
      <w:r>
        <w:rPr>
          <w:rFonts w:ascii="Arial" w:cs="Arial" w:eastAsia="Arial" w:hAnsi="Arial"/>
          <w:sz w:val="18"/>
          <w:szCs w:val="18"/>
          <w:b w:val="1"/>
          <w:bCs w:val="1"/>
          <w:color w:val="auto"/>
        </w:rPr>
        <w:t>Votes submitted electronically must be received by 11:59 p.m., ET, on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-409575</wp:posOffset>
            </wp:positionV>
            <wp:extent cx="36893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93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auto"/>
        </w:rPr>
        <w:t>Innospec Inc. Stockholder Meeting Notice</w:t>
      </w:r>
    </w:p>
    <w:p>
      <w:pPr>
        <w:spacing w:after="0" w:line="383" w:lineRule="exact"/>
        <w:rPr>
          <w:sz w:val="20"/>
          <w:szCs w:val="20"/>
          <w:color w:val="auto"/>
        </w:rPr>
      </w:pPr>
    </w:p>
    <w:p>
      <w:pPr>
        <w:jc w:val="center"/>
        <w:ind w:left="340" w:right="100"/>
        <w:spacing w:after="0" w:line="298" w:lineRule="auto"/>
        <w:rPr>
          <w:sz w:val="20"/>
          <w:szCs w:val="20"/>
          <w:color w:val="auto"/>
        </w:rPr>
      </w:pPr>
      <w:r>
        <w:rPr>
          <w:rFonts w:ascii="Arial" w:cs="Arial" w:eastAsia="Arial" w:hAnsi="Arial"/>
          <w:sz w:val="25"/>
          <w:szCs w:val="25"/>
          <w:b w:val="1"/>
          <w:bCs w:val="1"/>
          <w:color w:val="231F20"/>
        </w:rPr>
        <w:t>Important Notice Regarding the Availability of Proxy Materials for Innospec Inc. Stockholder Meeting to be Held on May 8, 2026</w:t>
      </w:r>
    </w:p>
    <w:p>
      <w:pPr>
        <w:spacing w:after="0" w:line="81" w:lineRule="exact"/>
        <w:rPr>
          <w:sz w:val="20"/>
          <w:szCs w:val="20"/>
          <w:color w:val="auto"/>
        </w:rPr>
      </w:pPr>
    </w:p>
    <w:p>
      <w:pPr>
        <w:ind w:right="620"/>
        <w:spacing w:after="0"/>
        <w:rPr>
          <w:sz w:val="20"/>
          <w:szCs w:val="20"/>
          <w:color w:val="auto"/>
        </w:rPr>
      </w:pPr>
      <w:r>
        <w:rPr>
          <w:rFonts w:ascii="Arial" w:cs="Arial" w:eastAsia="Arial" w:hAnsi="Arial"/>
          <w:sz w:val="22"/>
          <w:szCs w:val="22"/>
          <w:color w:val="231F20"/>
        </w:rPr>
        <w:t>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w:t>
      </w:r>
    </w:p>
    <w:p>
      <w:pPr>
        <w:spacing w:after="0" w:line="201" w:lineRule="exact"/>
        <w:rPr>
          <w:sz w:val="20"/>
          <w:szCs w:val="20"/>
          <w:color w:val="auto"/>
        </w:rPr>
      </w:pPr>
    </w:p>
    <w:p>
      <w:pPr>
        <w:ind w:right="420"/>
        <w:spacing w:after="0" w:line="244" w:lineRule="auto"/>
        <w:rPr>
          <w:sz w:val="20"/>
          <w:szCs w:val="20"/>
          <w:color w:val="auto"/>
        </w:rPr>
      </w:pPr>
      <w:r>
        <w:rPr>
          <w:rFonts w:ascii="Arial" w:cs="Arial" w:eastAsia="Arial" w:hAnsi="Arial"/>
          <w:sz w:val="22"/>
          <w:szCs w:val="22"/>
          <w:b w:val="1"/>
          <w:bCs w:val="1"/>
          <w:color w:val="231F20"/>
        </w:rPr>
        <w:t>This communication presents only an overview of the more complete proxy materials that are available to you on the Internet. We encourage you to access and review all of the important information contained in the proxy materials before voting. The 2026 Proxy Statement to Stockholders and Form 10K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119380</wp:posOffset>
            </wp:positionV>
            <wp:extent cx="4277360"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7360" cy="351155"/>
                    </a:xfrm>
                    <a:prstGeom prst="rect">
                      <a:avLst/>
                    </a:prstGeom>
                    <a:noFill/>
                  </pic:spPr>
                </pic:pic>
              </a:graphicData>
            </a:graphic>
          </wp:anchor>
        </w:drawing>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231F20"/>
        </w:rPr>
        <w:t>www.envisionreports.com/iosp</w:t>
      </w: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231F20"/>
        </w:rPr>
        <w:t>Easy Online Access — View your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676910" cy="591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910" cy="591185"/>
                    </a:xfrm>
                    <a:prstGeom prst="rect">
                      <a:avLst/>
                    </a:prstGeom>
                    <a:noFill/>
                  </pic:spPr>
                </pic:pic>
              </a:graphicData>
            </a:graphic>
          </wp:anchor>
        </w:drawing>
      </w:r>
    </w:p>
    <w:p>
      <w:pPr>
        <w:spacing w:after="0" w:line="204"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b w:val="1"/>
          <w:bCs w:val="1"/>
          <w:color w:val="231F20"/>
        </w:rPr>
        <w:t>Step 1:</w:t>
      </w:r>
      <w:r>
        <w:rPr>
          <w:sz w:val="20"/>
          <w:szCs w:val="20"/>
          <w:color w:val="auto"/>
        </w:rPr>
        <w:tab/>
      </w:r>
      <w:r>
        <w:rPr>
          <w:rFonts w:ascii="Arial" w:cs="Arial" w:eastAsia="Arial" w:hAnsi="Arial"/>
          <w:sz w:val="17"/>
          <w:szCs w:val="17"/>
          <w:color w:val="231F20"/>
        </w:rPr>
        <w:t xml:space="preserve">Go to </w:t>
      </w:r>
      <w:r>
        <w:rPr>
          <w:rFonts w:ascii="Arial" w:cs="Arial" w:eastAsia="Arial" w:hAnsi="Arial"/>
          <w:sz w:val="17"/>
          <w:szCs w:val="17"/>
          <w:b w:val="1"/>
          <w:bCs w:val="1"/>
          <w:color w:val="231F20"/>
        </w:rPr>
        <w:t>www.envisionreports.com/iosp.</w:t>
      </w:r>
    </w:p>
    <w:p>
      <w:pPr>
        <w:spacing w:after="0" w:line="9"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b w:val="1"/>
          <w:bCs w:val="1"/>
          <w:color w:val="231F20"/>
        </w:rPr>
        <w:t>Step 2:</w:t>
      </w:r>
      <w:r>
        <w:rPr>
          <w:sz w:val="20"/>
          <w:szCs w:val="20"/>
          <w:color w:val="auto"/>
        </w:rPr>
        <w:tab/>
      </w:r>
      <w:r>
        <w:rPr>
          <w:rFonts w:ascii="Arial" w:cs="Arial" w:eastAsia="Arial" w:hAnsi="Arial"/>
          <w:sz w:val="17"/>
          <w:szCs w:val="17"/>
          <w:color w:val="231F20"/>
        </w:rPr>
        <w:t xml:space="preserve">Click on </w:t>
      </w:r>
      <w:r>
        <w:rPr>
          <w:rFonts w:ascii="Arial" w:cs="Arial" w:eastAsia="Arial" w:hAnsi="Arial"/>
          <w:sz w:val="17"/>
          <w:szCs w:val="17"/>
          <w:b w:val="1"/>
          <w:bCs w:val="1"/>
          <w:color w:val="231F20"/>
        </w:rPr>
        <w:t>Cast Your Vote or Request Materials</w:t>
      </w:r>
      <w:r>
        <w:rPr>
          <w:rFonts w:ascii="Arial" w:cs="Arial" w:eastAsia="Arial" w:hAnsi="Arial"/>
          <w:sz w:val="17"/>
          <w:szCs w:val="17"/>
          <w:color w:val="231F20"/>
        </w:rPr>
        <w:t>.</w:t>
      </w:r>
    </w:p>
    <w:p>
      <w:pPr>
        <w:ind w:left="1140"/>
        <w:spacing w:after="0" w:line="234" w:lineRule="auto"/>
        <w:tabs>
          <w:tab w:leader="none" w:pos="2020" w:val="left"/>
        </w:tabs>
        <w:rPr>
          <w:sz w:val="20"/>
          <w:szCs w:val="20"/>
          <w:color w:val="auto"/>
        </w:rPr>
      </w:pPr>
      <w:r>
        <w:rPr>
          <w:rFonts w:ascii="Arial" w:cs="Arial" w:eastAsia="Arial" w:hAnsi="Arial"/>
          <w:sz w:val="18"/>
          <w:szCs w:val="18"/>
          <w:b w:val="1"/>
          <w:bCs w:val="1"/>
          <w:color w:val="231F20"/>
        </w:rPr>
        <w:t>Step 3:</w:t>
      </w:r>
      <w:r>
        <w:rPr>
          <w:sz w:val="20"/>
          <w:szCs w:val="20"/>
          <w:color w:val="auto"/>
        </w:rPr>
        <w:tab/>
      </w:r>
      <w:r>
        <w:rPr>
          <w:rFonts w:ascii="Arial" w:cs="Arial" w:eastAsia="Arial" w:hAnsi="Arial"/>
          <w:sz w:val="18"/>
          <w:szCs w:val="18"/>
          <w:color w:val="231F20"/>
        </w:rPr>
        <w:t>Follow the instructions on the screen to log in.</w:t>
      </w:r>
    </w:p>
    <w:p>
      <w:pPr>
        <w:ind w:left="1140"/>
        <w:spacing w:after="0"/>
        <w:tabs>
          <w:tab w:leader="none" w:pos="2020" w:val="left"/>
        </w:tabs>
        <w:rPr>
          <w:sz w:val="20"/>
          <w:szCs w:val="20"/>
          <w:color w:val="auto"/>
        </w:rPr>
      </w:pPr>
      <w:r>
        <w:rPr>
          <w:rFonts w:ascii="Arial" w:cs="Arial" w:eastAsia="Arial" w:hAnsi="Arial"/>
          <w:sz w:val="18"/>
          <w:szCs w:val="18"/>
          <w:b w:val="1"/>
          <w:bCs w:val="1"/>
          <w:color w:val="231F20"/>
        </w:rPr>
        <w:t>Step 4:</w:t>
      </w:r>
      <w:r>
        <w:rPr>
          <w:sz w:val="20"/>
          <w:szCs w:val="20"/>
          <w:color w:val="auto"/>
        </w:rPr>
        <w:tab/>
      </w:r>
      <w:r>
        <w:rPr>
          <w:rFonts w:ascii="Arial" w:cs="Arial" w:eastAsia="Arial" w:hAnsi="Arial"/>
          <w:sz w:val="17"/>
          <w:szCs w:val="17"/>
          <w:color w:val="231F20"/>
        </w:rPr>
        <w:t>Make your selections as instructed on each screen for your delivery preferences.</w:t>
      </w:r>
    </w:p>
    <w:p>
      <w:pPr>
        <w:spacing w:after="0" w:line="1"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b w:val="1"/>
          <w:bCs w:val="1"/>
          <w:color w:val="231F20"/>
        </w:rPr>
        <w:t>Step 5:</w:t>
      </w:r>
      <w:r>
        <w:rPr>
          <w:sz w:val="20"/>
          <w:szCs w:val="20"/>
          <w:color w:val="auto"/>
        </w:rPr>
        <w:tab/>
      </w:r>
      <w:r>
        <w:rPr>
          <w:rFonts w:ascii="Arial" w:cs="Arial" w:eastAsia="Arial" w:hAnsi="Arial"/>
          <w:sz w:val="17"/>
          <w:szCs w:val="17"/>
          <w:color w:val="231F20"/>
        </w:rPr>
        <w:t>Vote your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 xml:space="preserve">When </w:t>
      </w:r>
      <w:r>
        <w:rPr>
          <w:rFonts w:ascii="Arial" w:cs="Arial" w:eastAsia="Arial" w:hAnsi="Arial"/>
          <w:sz w:val="21"/>
          <w:szCs w:val="21"/>
          <w:b w:val="1"/>
          <w:bCs w:val="1"/>
          <w:color w:val="231F20"/>
        </w:rPr>
        <w:t>you go online, you can also help the environment by consenting to receive electronic delivery of future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231F20"/>
        </w:rPr>
        <w:t>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140"/>
        <w:spacing w:after="0" w:line="251" w:lineRule="auto"/>
        <w:rPr>
          <w:sz w:val="20"/>
          <w:szCs w:val="20"/>
          <w:color w:val="auto"/>
        </w:rPr>
      </w:pPr>
      <w:r>
        <w:rPr>
          <w:rFonts w:ascii="Arial" w:cs="Arial" w:eastAsia="Arial" w:hAnsi="Arial"/>
          <w:sz w:val="22"/>
          <w:szCs w:val="22"/>
          <w:b w:val="1"/>
          <w:bCs w:val="1"/>
          <w:color w:val="231F20"/>
        </w:rPr>
        <w:t>Obtaining a Copy of the Proxy Materials – If you want to receive a copy of the proxy materials, you must request one. There is no charge to you for requesting a copy. Please make your request as instructed on the reverse side on or before April 24, 2026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43688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688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188595"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491490</wp:posOffset>
            </wp:positionV>
            <wp:extent cx="188595"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2 N O 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048AWB</w:t>
      </w:r>
    </w:p>
    <w:p>
      <w:pPr>
        <w:sectPr>
          <w:pgSz w:w="11900" w:h="16838" w:orient="portrait"/>
          <w:cols w:equalWidth="0" w:num="1">
            <w:col w:w="11220"/>
          </w:cols>
          <w:pgMar w:left="320" w:top="1440" w:right="359" w:bottom="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t>Innospec Inc. Stockholder Meeting Notice</w:t>
      </w:r>
    </w:p>
    <w:p>
      <w:pPr>
        <w:spacing w:after="0" w:line="200" w:lineRule="exact"/>
        <w:rPr>
          <w:sz w:val="20"/>
          <w:szCs w:val="20"/>
          <w:color w:val="auto"/>
        </w:rPr>
      </w:pPr>
    </w:p>
    <w:p>
      <w:pPr>
        <w:spacing w:after="0" w:line="265"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b w:val="1"/>
          <w:bCs w:val="1"/>
          <w:color w:val="231F20"/>
        </w:rPr>
        <w:t>Innospec Inc.’s Annual Meeting of Stockholders will be held on Friday, May 8, 2026 at 10:00 a.m. EST at The St Regis Hotel, Two East 55th Street, At Fifth Avenue, New York City, NY, 10022, US</w:t>
      </w:r>
    </w:p>
    <w:p>
      <w:pPr>
        <w:spacing w:after="0" w:line="125" w:lineRule="exact"/>
        <w:rPr>
          <w:sz w:val="20"/>
          <w:szCs w:val="20"/>
          <w:color w:val="auto"/>
        </w:rPr>
      </w:pPr>
    </w:p>
    <w:p>
      <w:pPr>
        <w:ind w:right="2980"/>
        <w:spacing w:after="0" w:line="281" w:lineRule="auto"/>
        <w:rPr>
          <w:sz w:val="20"/>
          <w:szCs w:val="20"/>
          <w:color w:val="auto"/>
        </w:rPr>
      </w:pPr>
      <w:r>
        <w:rPr>
          <w:rFonts w:ascii="Arial" w:cs="Arial" w:eastAsia="Arial" w:hAnsi="Arial"/>
          <w:sz w:val="18"/>
          <w:szCs w:val="18"/>
          <w:b w:val="1"/>
          <w:bCs w:val="1"/>
          <w:color w:val="231F20"/>
        </w:rPr>
        <w:t>Proposals to be voted on at the meeting are listed below along with the Board of Directors’ recommendations.</w:t>
      </w:r>
    </w:p>
    <w:p>
      <w:pPr>
        <w:spacing w:after="0" w:line="123" w:lineRule="exact"/>
        <w:rPr>
          <w:sz w:val="20"/>
          <w:szCs w:val="20"/>
          <w:color w:val="auto"/>
        </w:rPr>
      </w:pPr>
    </w:p>
    <w:p>
      <w:pPr>
        <w:ind w:right="2500"/>
        <w:spacing w:after="0" w:line="245" w:lineRule="auto"/>
        <w:rPr>
          <w:sz w:val="20"/>
          <w:szCs w:val="20"/>
          <w:color w:val="auto"/>
        </w:rPr>
      </w:pPr>
      <w:r>
        <w:rPr>
          <w:rFonts w:ascii="Arial" w:cs="Arial" w:eastAsia="Arial" w:hAnsi="Arial"/>
          <w:sz w:val="18"/>
          <w:szCs w:val="18"/>
          <w:b w:val="1"/>
          <w:bCs w:val="1"/>
          <w:color w:val="231F20"/>
        </w:rPr>
        <w:t xml:space="preserve">The Board of Directors recommend a vote </w:t>
      </w:r>
      <w:r>
        <w:rPr>
          <w:rFonts w:ascii="Arial" w:cs="Arial" w:eastAsia="Arial" w:hAnsi="Arial"/>
          <w:sz w:val="18"/>
          <w:szCs w:val="18"/>
          <w:b w:val="1"/>
          <w:bCs w:val="1"/>
          <w:u w:val="single" w:color="auto"/>
          <w:color w:val="231F20"/>
        </w:rPr>
        <w:t>FOR</w:t>
      </w:r>
      <w:r>
        <w:rPr>
          <w:rFonts w:ascii="Arial" w:cs="Arial" w:eastAsia="Arial" w:hAnsi="Arial"/>
          <w:sz w:val="18"/>
          <w:szCs w:val="18"/>
          <w:b w:val="1"/>
          <w:bCs w:val="1"/>
          <w:color w:val="231F20"/>
        </w:rPr>
        <w:t xml:space="preserve"> all the nominees listed and </w:t>
      </w:r>
      <w:r>
        <w:rPr>
          <w:rFonts w:ascii="Arial" w:cs="Arial" w:eastAsia="Arial" w:hAnsi="Arial"/>
          <w:sz w:val="18"/>
          <w:szCs w:val="18"/>
          <w:b w:val="1"/>
          <w:bCs w:val="1"/>
          <w:u w:val="single" w:color="auto"/>
          <w:color w:val="231F20"/>
        </w:rPr>
        <w:t>FOR</w:t>
      </w:r>
      <w:r>
        <w:rPr>
          <w:rFonts w:ascii="Arial" w:cs="Arial" w:eastAsia="Arial" w:hAnsi="Arial"/>
          <w:sz w:val="18"/>
          <w:szCs w:val="18"/>
          <w:b w:val="1"/>
          <w:bCs w:val="1"/>
          <w:color w:val="231F20"/>
        </w:rPr>
        <w:t xml:space="preserve"> Proposals 2 and 3:</w:t>
      </w:r>
    </w:p>
    <w:p>
      <w:pPr>
        <w:ind w:left="640" w:hanging="308"/>
        <w:spacing w:after="0" w:line="235" w:lineRule="auto"/>
        <w:tabs>
          <w:tab w:leader="none" w:pos="64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Election of Directors:</w:t>
      </w:r>
    </w:p>
    <w:p>
      <w:pPr>
        <w:ind w:left="660"/>
        <w:spacing w:after="0" w:line="234" w:lineRule="auto"/>
        <w:rPr>
          <w:rFonts w:ascii="Arial" w:cs="Arial" w:eastAsia="Arial" w:hAnsi="Arial"/>
          <w:sz w:val="18"/>
          <w:szCs w:val="18"/>
          <w:color w:val="231F20"/>
        </w:rPr>
      </w:pPr>
      <w:r>
        <w:rPr>
          <w:rFonts w:ascii="Arial" w:cs="Arial" w:eastAsia="Arial" w:hAnsi="Arial"/>
          <w:sz w:val="18"/>
          <w:szCs w:val="18"/>
          <w:color w:val="231F20"/>
        </w:rPr>
        <w:t>01 - Elizabeth K. Arnold</w:t>
      </w:r>
    </w:p>
    <w:p>
      <w:pPr>
        <w:ind w:left="660"/>
        <w:spacing w:after="0" w:line="234" w:lineRule="auto"/>
        <w:rPr>
          <w:rFonts w:ascii="Arial" w:cs="Arial" w:eastAsia="Arial" w:hAnsi="Arial"/>
          <w:sz w:val="18"/>
          <w:szCs w:val="18"/>
          <w:color w:val="231F20"/>
        </w:rPr>
      </w:pPr>
      <w:r>
        <w:rPr>
          <w:rFonts w:ascii="Arial" w:cs="Arial" w:eastAsia="Arial" w:hAnsi="Arial"/>
          <w:sz w:val="18"/>
          <w:szCs w:val="18"/>
          <w:color w:val="231F20"/>
        </w:rPr>
        <w:t>02 - Claudia P. Poccia</w:t>
      </w:r>
    </w:p>
    <w:p>
      <w:pPr>
        <w:ind w:left="640" w:hanging="308"/>
        <w:spacing w:after="0" w:line="234" w:lineRule="auto"/>
        <w:tabs>
          <w:tab w:leader="none" w:pos="64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ADVISORY APPROVAL OF INNOSPEC’S EXECUTIVE COMPENSATION</w:t>
      </w:r>
    </w:p>
    <w:p>
      <w:pPr>
        <w:ind w:left="640" w:hanging="308"/>
        <w:spacing w:after="0"/>
        <w:tabs>
          <w:tab w:leader="none" w:pos="640" w:val="left"/>
        </w:tabs>
        <w:numPr>
          <w:ilvl w:val="0"/>
          <w:numId w:val="4"/>
        </w:numPr>
        <w:rPr>
          <w:rFonts w:ascii="Arial" w:cs="Arial" w:eastAsia="Arial" w:hAnsi="Arial"/>
          <w:sz w:val="17"/>
          <w:szCs w:val="17"/>
          <w:color w:val="231F20"/>
        </w:rPr>
      </w:pPr>
      <w:r>
        <w:rPr>
          <w:rFonts w:ascii="Arial" w:cs="Arial" w:eastAsia="Arial" w:hAnsi="Arial"/>
          <w:sz w:val="17"/>
          <w:szCs w:val="17"/>
          <w:color w:val="231F20"/>
        </w:rPr>
        <w:t>RATIFICATION OF THE APPOINTMENT OF THE COMPANY’S INDEPENDENT REGISTERED PUBLIC ACCOUNTING FIRM</w:t>
      </w:r>
    </w:p>
    <w:p>
      <w:pPr>
        <w:spacing w:after="0" w:line="192" w:lineRule="exact"/>
        <w:rPr>
          <w:sz w:val="20"/>
          <w:szCs w:val="20"/>
          <w:color w:val="auto"/>
        </w:rPr>
      </w:pPr>
    </w:p>
    <w:p>
      <w:pPr>
        <w:jc w:val="both"/>
        <w:ind w:right="320"/>
        <w:spacing w:after="0" w:line="257" w:lineRule="auto"/>
        <w:rPr>
          <w:sz w:val="20"/>
          <w:szCs w:val="20"/>
          <w:color w:val="auto"/>
        </w:rPr>
      </w:pPr>
      <w:r>
        <w:rPr>
          <w:rFonts w:ascii="Arial" w:cs="Arial" w:eastAsia="Arial" w:hAnsi="Arial"/>
          <w:sz w:val="18"/>
          <w:szCs w:val="18"/>
          <w:b w:val="1"/>
          <w:bCs w:val="1"/>
          <w:color w:val="231F20"/>
        </w:rPr>
        <w:t>PLEASE NOTE – YOU CANNOT VOTE BY RETURNING THIS NOTICE. To vote your shares you must go online or request a paper copy of the proxy materials to receive a proxy card. If you wish to attend and vote at the meeting, please bring this notice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231F20"/>
        </w:rPr>
        <w:t>Here’s how to order a copy of the proxy materials and select delivery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436880" cy="539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6880" cy="539750"/>
                    </a:xfrm>
                    <a:prstGeom prst="rect">
                      <a:avLst/>
                    </a:prstGeom>
                    <a:noFill/>
                  </pic:spPr>
                </pic:pic>
              </a:graphicData>
            </a:graphic>
          </wp:anchor>
        </w:drawing>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231F20"/>
        </w:rPr>
        <w:t>Current and future delivery requests can be submitted using the options below.</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231F20"/>
        </w:rPr>
        <w:t>If you request an email copy, you will receive an email with a link to the current meeting materials.</w:t>
      </w:r>
    </w:p>
    <w:p>
      <w:pPr>
        <w:spacing w:after="0" w:line="198" w:lineRule="exact"/>
        <w:rPr>
          <w:sz w:val="20"/>
          <w:szCs w:val="20"/>
          <w:color w:val="auto"/>
        </w:rPr>
      </w:pPr>
    </w:p>
    <w:p>
      <w:pPr>
        <w:ind w:left="1300" w:right="60"/>
        <w:spacing w:after="0" w:line="271" w:lineRule="auto"/>
        <w:rPr>
          <w:sz w:val="20"/>
          <w:szCs w:val="20"/>
          <w:color w:val="auto"/>
        </w:rPr>
      </w:pPr>
      <w:r>
        <w:rPr>
          <w:rFonts w:ascii="Arial" w:cs="Arial" w:eastAsia="Arial" w:hAnsi="Arial"/>
          <w:sz w:val="18"/>
          <w:szCs w:val="18"/>
          <w:b w:val="1"/>
          <w:bCs w:val="1"/>
          <w:color w:val="231F20"/>
        </w:rPr>
        <w:t xml:space="preserve">PLEASE NOTE: </w:t>
      </w:r>
      <w:r>
        <w:rPr>
          <w:rFonts w:ascii="Arial" w:cs="Arial" w:eastAsia="Arial" w:hAnsi="Arial"/>
          <w:sz w:val="18"/>
          <w:szCs w:val="18"/>
          <w:color w:val="231F20"/>
        </w:rPr>
        <w:t>You must use the number in the shaded bar on the reverse side when requesting a copy of the proxy</w:t>
      </w:r>
      <w:r>
        <w:rPr>
          <w:rFonts w:ascii="Arial" w:cs="Arial" w:eastAsia="Arial" w:hAnsi="Arial"/>
          <w:sz w:val="18"/>
          <w:szCs w:val="18"/>
          <w:b w:val="1"/>
          <w:bCs w:val="1"/>
          <w:color w:val="231F20"/>
        </w:rPr>
        <w:t xml:space="preserve"> </w:t>
      </w:r>
      <w:r>
        <w:rPr>
          <w:rFonts w:ascii="Arial" w:cs="Arial" w:eastAsia="Arial" w:hAnsi="Arial"/>
          <w:sz w:val="18"/>
          <w:szCs w:val="18"/>
          <w:color w:val="231F20"/>
        </w:rPr>
        <w:t>materials.</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231F20"/>
        </w:rPr>
        <w:t xml:space="preserve">–   </w:t>
      </w:r>
      <w:r>
        <w:rPr>
          <w:rFonts w:ascii="Arial" w:cs="Arial" w:eastAsia="Arial" w:hAnsi="Arial"/>
          <w:sz w:val="18"/>
          <w:szCs w:val="18"/>
          <w:b w:val="1"/>
          <w:bCs w:val="1"/>
          <w:color w:val="231F20"/>
        </w:rPr>
        <w:t>Internet</w:t>
      </w:r>
      <w:r>
        <w:rPr>
          <w:rFonts w:ascii="Arial" w:cs="Arial" w:eastAsia="Arial" w:hAnsi="Arial"/>
          <w:sz w:val="18"/>
          <w:szCs w:val="18"/>
          <w:color w:val="231F20"/>
        </w:rPr>
        <w:t xml:space="preserve"> – Go to </w:t>
      </w:r>
      <w:r>
        <w:rPr>
          <w:rFonts w:ascii="Arial" w:cs="Arial" w:eastAsia="Arial" w:hAnsi="Arial"/>
          <w:sz w:val="18"/>
          <w:szCs w:val="18"/>
          <w:b w:val="1"/>
          <w:bCs w:val="1"/>
          <w:color w:val="231F20"/>
        </w:rPr>
        <w:t>www.envisionreports.com/iosp.</w:t>
      </w:r>
      <w:r>
        <w:rPr>
          <w:rFonts w:ascii="Arial" w:cs="Arial" w:eastAsia="Arial" w:hAnsi="Arial"/>
          <w:sz w:val="18"/>
          <w:szCs w:val="18"/>
          <w:color w:val="231F20"/>
        </w:rPr>
        <w:t xml:space="preserve"> Click Cast Your Vote or Request Materials.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Phone</w:t>
      </w:r>
      <w:r>
        <w:rPr>
          <w:rFonts w:ascii="Arial" w:cs="Arial" w:eastAsia="Arial" w:hAnsi="Arial"/>
          <w:sz w:val="18"/>
          <w:szCs w:val="18"/>
          <w:color w:val="auto"/>
        </w:rPr>
        <w:t xml:space="preserve"> – Call us free of charge at 1-866-641-4276.</w:t>
      </w:r>
    </w:p>
    <w:p>
      <w:pPr>
        <w:spacing w:after="0" w:line="198" w:lineRule="exact"/>
        <w:rPr>
          <w:sz w:val="20"/>
          <w:szCs w:val="20"/>
          <w:color w:val="auto"/>
        </w:rPr>
      </w:pPr>
    </w:p>
    <w:p>
      <w:pPr>
        <w:ind w:left="1620" w:right="280" w:hanging="324"/>
        <w:spacing w:after="0" w:line="253" w:lineRule="auto"/>
        <w:rPr>
          <w:sz w:val="20"/>
          <w:szCs w:val="20"/>
          <w:color w:val="auto"/>
        </w:rPr>
      </w:pPr>
      <w:r>
        <w:rPr>
          <w:rFonts w:ascii="Arial" w:cs="Arial" w:eastAsia="Arial" w:hAnsi="Arial"/>
          <w:sz w:val="18"/>
          <w:szCs w:val="18"/>
          <w:color w:val="231F20"/>
        </w:rPr>
        <w:t xml:space="preserve">– </w:t>
      </w:r>
      <w:r>
        <w:rPr>
          <w:rFonts w:ascii="Arial" w:cs="Arial" w:eastAsia="Arial" w:hAnsi="Arial"/>
          <w:sz w:val="18"/>
          <w:szCs w:val="18"/>
          <w:b w:val="1"/>
          <w:bCs w:val="1"/>
          <w:color w:val="231F20"/>
        </w:rPr>
        <w:t>Email</w:t>
      </w:r>
      <w:r>
        <w:rPr>
          <w:rFonts w:ascii="Arial" w:cs="Arial" w:eastAsia="Arial" w:hAnsi="Arial"/>
          <w:sz w:val="18"/>
          <w:szCs w:val="18"/>
          <w:color w:val="231F20"/>
        </w:rPr>
        <w:t xml:space="preserve"> – Send an email to investorvote@computershare.com with “Proxy Materials Innospec Inc.” in the subject line. Include your full name and address, plus the number located in the shaded bar on the reverse side, and state that you want a paper copy of the meeting materials.</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To facilitate timely delivery, all requests for a paper copy of proxy materials must be received by 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740"/>
      </w:cols>
      <w:pgMar w:left="320" w:top="1033" w:right="839" w:bottom="85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2026-03-26T08:03:44Z</dcterms:created>
  <dcterms:modified xsi:type="dcterms:W3CDTF">2026-03-26T08:03:44Z</dcterms:modified>
</cp:coreProperties>
</file>