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3844"/>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PECIALIZED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ISCLOSURE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Innospec Inc.</w:t>
      </w:r>
    </w:p>
    <w:p>
      <w:pPr>
        <w:spacing w:after="0" w:line="58" w:lineRule="exact"/>
        <w:rPr>
          <w:sz w:val="24"/>
          <w:szCs w:val="24"/>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64" w:type="dxa"/>
        <w:tblCellMar>
          <w:top w:w="0" w:type="dxa"/>
          <w:left w:w="0" w:type="dxa"/>
          <w:bottom w:w="0" w:type="dxa"/>
          <w:right w:w="0" w:type="dxa"/>
        </w:tblCellMar>
      </w:tblPr>
      <w:tr>
        <w:trPr>
          <w:trHeight w:val="214"/>
        </w:trPr>
        <w:tc>
          <w:tcPr>
            <w:tcW w:w="4080" w:type="dxa"/>
            <w:vAlign w:val="bottom"/>
          </w:tcPr>
          <w:p>
            <w:pPr>
              <w:jc w:val="center"/>
              <w:ind w:right="21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jc w:val="center"/>
              <w:ind w:right="1082"/>
              <w:spacing w:after="0"/>
              <w:rPr>
                <w:sz w:val="20"/>
                <w:szCs w:val="20"/>
                <w:color w:val="auto"/>
              </w:rPr>
            </w:pPr>
            <w:r>
              <w:rPr>
                <w:rFonts w:ascii="Times New Roman" w:cs="Times New Roman" w:eastAsia="Times New Roman" w:hAnsi="Times New Roman"/>
                <w:sz w:val="18"/>
                <w:szCs w:val="18"/>
                <w:b w:val="1"/>
                <w:bCs w:val="1"/>
                <w:color w:val="auto"/>
                <w:w w:val="99"/>
              </w:rPr>
              <w:t>1-13879</w:t>
            </w:r>
          </w:p>
        </w:tc>
        <w:tc>
          <w:tcPr>
            <w:tcW w:w="242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98-0181725</w:t>
            </w:r>
          </w:p>
        </w:tc>
      </w:tr>
      <w:tr>
        <w:trPr>
          <w:trHeight w:val="149"/>
        </w:trPr>
        <w:tc>
          <w:tcPr>
            <w:tcW w:w="4080" w:type="dxa"/>
            <w:vAlign w:val="bottom"/>
          </w:tcPr>
          <w:p>
            <w:pPr>
              <w:jc w:val="center"/>
              <w:ind w:right="219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20" w:type="dxa"/>
            <w:vAlign w:val="bottom"/>
          </w:tcPr>
          <w:p>
            <w:pPr>
              <w:jc w:val="center"/>
              <w:ind w:right="10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2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80" w:type="dxa"/>
            <w:vAlign w:val="bottom"/>
          </w:tcPr>
          <w:p>
            <w:pPr>
              <w:jc w:val="center"/>
              <w:ind w:right="2177"/>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32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2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80" w:type="dxa"/>
            <w:vAlign w:val="bottom"/>
          </w:tcPr>
          <w:p>
            <w:pPr>
              <w:jc w:val="center"/>
              <w:ind w:left="1297"/>
              <w:spacing w:after="0"/>
              <w:rPr>
                <w:sz w:val="20"/>
                <w:szCs w:val="20"/>
                <w:color w:val="auto"/>
              </w:rPr>
            </w:pPr>
            <w:r>
              <w:rPr>
                <w:rFonts w:ascii="Times New Roman" w:cs="Times New Roman" w:eastAsia="Times New Roman" w:hAnsi="Times New Roman"/>
                <w:sz w:val="18"/>
                <w:szCs w:val="18"/>
                <w:b w:val="1"/>
                <w:bCs w:val="1"/>
                <w:color w:val="auto"/>
                <w:w w:val="98"/>
              </w:rPr>
              <w:t>8310 South Valley Highway</w:t>
            </w:r>
          </w:p>
        </w:tc>
        <w:tc>
          <w:tcPr>
            <w:tcW w:w="23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4080" w:type="dxa"/>
            <w:vAlign w:val="bottom"/>
          </w:tcPr>
          <w:p>
            <w:pPr>
              <w:jc w:val="center"/>
              <w:ind w:left="1297"/>
              <w:spacing w:after="0"/>
              <w:rPr>
                <w:sz w:val="20"/>
                <w:szCs w:val="20"/>
                <w:color w:val="auto"/>
              </w:rPr>
            </w:pPr>
            <w:r>
              <w:rPr>
                <w:rFonts w:ascii="Times New Roman" w:cs="Times New Roman" w:eastAsia="Times New Roman" w:hAnsi="Times New Roman"/>
                <w:sz w:val="18"/>
                <w:szCs w:val="18"/>
                <w:b w:val="1"/>
                <w:bCs w:val="1"/>
                <w:color w:val="auto"/>
                <w:w w:val="99"/>
              </w:rPr>
              <w:t>Suite 350</w:t>
            </w:r>
          </w:p>
        </w:tc>
        <w:tc>
          <w:tcPr>
            <w:tcW w:w="23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4080" w:type="dxa"/>
            <w:vAlign w:val="bottom"/>
          </w:tcPr>
          <w:p>
            <w:pPr>
              <w:jc w:val="center"/>
              <w:ind w:left="1297"/>
              <w:spacing w:after="0"/>
              <w:rPr>
                <w:sz w:val="20"/>
                <w:szCs w:val="20"/>
                <w:color w:val="auto"/>
              </w:rPr>
            </w:pPr>
            <w:r>
              <w:rPr>
                <w:rFonts w:ascii="Times New Roman" w:cs="Times New Roman" w:eastAsia="Times New Roman" w:hAnsi="Times New Roman"/>
                <w:sz w:val="18"/>
                <w:szCs w:val="18"/>
                <w:b w:val="1"/>
                <w:bCs w:val="1"/>
                <w:color w:val="auto"/>
              </w:rPr>
              <w:t>Englewood</w:t>
            </w:r>
          </w:p>
        </w:tc>
        <w:tc>
          <w:tcPr>
            <w:tcW w:w="23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4080" w:type="dxa"/>
            <w:vAlign w:val="bottom"/>
          </w:tcPr>
          <w:p>
            <w:pPr>
              <w:jc w:val="center"/>
              <w:ind w:left="1277"/>
              <w:spacing w:after="0"/>
              <w:rPr>
                <w:sz w:val="20"/>
                <w:szCs w:val="20"/>
                <w:color w:val="auto"/>
              </w:rPr>
            </w:pPr>
            <w:r>
              <w:rPr>
                <w:rFonts w:ascii="Times New Roman" w:cs="Times New Roman" w:eastAsia="Times New Roman" w:hAnsi="Times New Roman"/>
                <w:sz w:val="18"/>
                <w:szCs w:val="18"/>
                <w:b w:val="1"/>
                <w:bCs w:val="1"/>
                <w:color w:val="auto"/>
                <w:w w:val="99"/>
              </w:rPr>
              <w:t>Colorado</w:t>
            </w:r>
          </w:p>
        </w:tc>
        <w:tc>
          <w:tcPr>
            <w:tcW w:w="2320" w:type="dxa"/>
            <w:vAlign w:val="bottom"/>
          </w:tcPr>
          <w:p>
            <w:pPr>
              <w:spacing w:after="0"/>
              <w:rPr>
                <w:sz w:val="18"/>
                <w:szCs w:val="18"/>
                <w:color w:val="auto"/>
              </w:rPr>
            </w:pPr>
          </w:p>
        </w:tc>
        <w:tc>
          <w:tcPr>
            <w:tcW w:w="242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80112</w:t>
            </w:r>
          </w:p>
        </w:tc>
      </w:tr>
      <w:tr>
        <w:trPr>
          <w:trHeight w:val="190"/>
        </w:trPr>
        <w:tc>
          <w:tcPr>
            <w:tcW w:w="4080" w:type="dxa"/>
            <w:vAlign w:val="bottom"/>
          </w:tcPr>
          <w:p>
            <w:pPr>
              <w:jc w:val="center"/>
              <w:ind w:left="1297"/>
              <w:spacing w:after="0"/>
              <w:rPr>
                <w:sz w:val="20"/>
                <w:szCs w:val="20"/>
                <w:color w:val="auto"/>
              </w:rPr>
            </w:pPr>
            <w:r>
              <w:rPr>
                <w:rFonts w:ascii="Times New Roman" w:cs="Times New Roman" w:eastAsia="Times New Roman" w:hAnsi="Times New Roman"/>
                <w:sz w:val="14"/>
                <w:szCs w:val="14"/>
                <w:b w:val="1"/>
                <w:bCs w:val="1"/>
                <w:color w:val="auto"/>
              </w:rPr>
              <w:t>(Address of principle executive offices)</w:t>
            </w:r>
          </w:p>
        </w:tc>
        <w:tc>
          <w:tcPr>
            <w:tcW w:w="2320" w:type="dxa"/>
            <w:vAlign w:val="bottom"/>
          </w:tcPr>
          <w:p>
            <w:pPr>
              <w:spacing w:after="0"/>
              <w:rPr>
                <w:sz w:val="16"/>
                <w:szCs w:val="16"/>
                <w:color w:val="auto"/>
              </w:rPr>
            </w:pPr>
          </w:p>
        </w:tc>
        <w:tc>
          <w:tcPr>
            <w:tcW w:w="242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David B. Jones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&amp; Chief Compliance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(303) 792 5554</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23" w:lineRule="exact"/>
        <w:rPr>
          <w:sz w:val="24"/>
          <w:szCs w:val="24"/>
          <w:color w:val="auto"/>
        </w:rPr>
      </w:pPr>
    </w:p>
    <w:p>
      <w:pPr>
        <w:ind w:left="4"/>
        <w:spacing w:after="0" w:line="207" w:lineRule="exact"/>
        <w:tabs>
          <w:tab w:leader="none" w:pos="404" w:val="left"/>
          <w:tab w:leader="none" w:pos="7224" w:val="left"/>
          <w:tab w:leader="none" w:pos="7404" w:val="left"/>
          <w:tab w:leader="none" w:pos="758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Rule 13q-1 under the Securities Exchange Act (17 CFR 240.13q-1) for the fiscal year ended </w:t>
        <w:tab/>
        <w:t> </w:t>
        <w:tab/>
        <w:t>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17780</wp:posOffset>
            </wp:positionV>
            <wp:extent cx="342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Form SD of Innospec Inc. (the “Company” or “Innospec”) for the year ended December 31, 2025 is filed pursuant to Rule 13p-1 (“Rule”) under the Securities Exchange Act of 1934, as amended. The Rule was adopted by the Securities and Exchange Commission (“SEC”) to implement reporting and disclosure requirements related to “conflict minerals” as directed by the Dodd-Frank Wall Street Reform and Consumer Protection Act of 2010 (“Dodd-Frank Act”). Conflict minerals are defined by the SEC as gold, columbite-tantalite (coltan), cassiterite, wolframite or their derivatives, which are limited to tantalum, tin, and tungsten. The Rule imposes certain reporting obligations on SEC registrants whose products contain conflict minerals that are necessary to the functionality or production of their products (such necessary minerals are referred to as “necessary conflict minerals”). For products that contain necessary conflict minerals, the registrant must conduct in good faith a reasonable country of origin inquiry (“RCOI”) designed to determine whether any of the conflict minerals originated in the Democratic Republic of the Congo (“DRC”) or adjoining countries, collectively defined as the “Covered Countries”.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Commencing in January of each year, Innospec’s Legal Compliance department directs and oversees a review of Innospec’s products, with input from other departments, product managers and other relevant employees, to make a determination as to whether conflict minerals were “necessary to the functionality or production” of any of the products that Innospec manufactured or contracted to manufacture during the prior calendar year. If, as a result of the internal review, the Legal Compliance department determines that conflict minerals were necessary to the functionality or production of any Innospec product manufactured or sold during the prior calendar year, it will commence and oversee an RCOI and otherwise ensure compliance with the Rule.</w:t>
      </w:r>
    </w:p>
    <w:p>
      <w:pPr>
        <w:spacing w:after="0" w:line="187"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Based on its internal review process, the Company determined that, during the year ended December 31, 2025, the Company used six catalysts containing tin as a component (the “Catalysts”), which were sourced from four different suppliers, in the manufacture of certain products.</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Catalysts are filtered during the production process but not washed out of the relevant Company products. Other than the products containing the Catalysts, the Company does not believe that any of its other products manufactured or sold during 2025 contained necessary conflict minerals.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accordance with the Rule, Innospec conducted an RCOI by seeking certifications from each supplier regarding the source of the tin contained in the Catalysts. Each supplier represented to the Company in writing that “... the tin based products that it manufactures are produced from tin sourced from smelters on the RMI compliant smelter list”. In addition, each supplier provided a list containing names of the tin smelters which the supplier used, and the countries in which such smelters are located (the “Supplier List”). According to that Supplier List, one of the suppliers indicated that the tin may have been sourced from a RMI compliant smelter in a Covered Country.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results of its RCOI, the Company believes that the tin contained in the Catalysts all originated from smelters which are RMI compliant.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conflict minerals disclosure is publicly available on the Company’s website at https://innospec.com/about-us/supplier-relations/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INNOSPEC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285875" cy="505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B. Jones</w:t>
            </w:r>
          </w:p>
        </w:tc>
        <w:tc>
          <w:tcPr>
            <w:tcW w:w="338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7"/>
              </w:rPr>
              <w:t>29 May, 2026</w:t>
            </w:r>
          </w:p>
        </w:tc>
      </w:tr>
    </w:tbl>
    <w:p>
      <w:pPr>
        <w:spacing w:after="0"/>
        <w:rPr>
          <w:sz w:val="20"/>
          <w:szCs w:val="20"/>
          <w:color w:val="auto"/>
        </w:rPr>
      </w:pPr>
      <w:r>
        <w:rPr>
          <w:rFonts w:ascii="Times New Roman" w:cs="Times New Roman" w:eastAsia="Times New Roman" w:hAnsi="Times New Roman"/>
          <w:sz w:val="18"/>
          <w:szCs w:val="18"/>
          <w:color w:val="auto"/>
        </w:rPr>
        <w:t>SVP, General Counsel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Compliance Officer</w:t>
      </w:r>
    </w:p>
    <w:sectPr>
      <w:pgSz w:w="11900" w:h="16838" w:orient="portrait"/>
      <w:cols w:equalWidth="0" w:num="1">
        <w:col w:w="10640"/>
      </w:cols>
      <w:pgMar w:left="440" w:top="26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2026-05-29T05:38:07Z</dcterms:created>
  <dcterms:modified xsi:type="dcterms:W3CDTF">2026-05-29T05:38:07Z</dcterms:modified>
</cp:coreProperties>
</file>